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4B" w:rsidRPr="002B5E4B" w:rsidRDefault="002B5E4B" w:rsidP="002B5E4B">
      <w:pPr>
        <w:spacing w:before="1560" w:after="0" w:line="240" w:lineRule="auto"/>
        <w:rPr>
          <w:rFonts w:ascii="Times New Roman" w:hAnsi="Times New Roman" w:cs="Times New Roman"/>
          <w:sz w:val="24"/>
          <w:szCs w:val="24"/>
        </w:rPr>
      </w:pPr>
      <w:bookmarkStart w:id="0" w:name="_GoBack"/>
      <w:bookmarkEnd w:id="0"/>
      <w:r w:rsidRPr="002B5E4B">
        <w:rPr>
          <w:rFonts w:ascii="Times New Roman" w:hAnsi="Times New Roman" w:cs="Times New Roman"/>
          <w:sz w:val="24"/>
          <w:szCs w:val="24"/>
        </w:rPr>
        <w:t>Senator Richard Di Natale</w:t>
      </w:r>
    </w:p>
    <w:p w:rsidR="002B5E4B" w:rsidRPr="002B5E4B" w:rsidRDefault="002B5E4B" w:rsidP="002B5E4B">
      <w:pPr>
        <w:spacing w:before="0" w:after="0" w:line="240" w:lineRule="auto"/>
        <w:rPr>
          <w:rFonts w:ascii="Times New Roman" w:hAnsi="Times New Roman" w:cs="Times New Roman"/>
          <w:sz w:val="24"/>
          <w:szCs w:val="24"/>
        </w:rPr>
      </w:pPr>
      <w:r w:rsidRPr="002B5E4B">
        <w:rPr>
          <w:rFonts w:ascii="Times New Roman" w:hAnsi="Times New Roman" w:cs="Times New Roman"/>
          <w:sz w:val="24"/>
          <w:szCs w:val="24"/>
        </w:rPr>
        <w:t>Leader of the Australian Greens</w:t>
      </w:r>
    </w:p>
    <w:p w:rsidR="002B5E4B" w:rsidRPr="002B5E4B" w:rsidRDefault="002B5E4B" w:rsidP="002B5E4B">
      <w:pPr>
        <w:spacing w:before="0" w:after="0" w:line="240" w:lineRule="auto"/>
        <w:rPr>
          <w:rFonts w:ascii="Times New Roman" w:hAnsi="Times New Roman" w:cs="Times New Roman"/>
          <w:sz w:val="24"/>
          <w:szCs w:val="24"/>
        </w:rPr>
      </w:pPr>
      <w:r w:rsidRPr="002B5E4B">
        <w:rPr>
          <w:rFonts w:ascii="Times New Roman" w:hAnsi="Times New Roman" w:cs="Times New Roman"/>
          <w:sz w:val="24"/>
          <w:szCs w:val="24"/>
        </w:rPr>
        <w:t>Parliament House</w:t>
      </w:r>
    </w:p>
    <w:p w:rsidR="00040DCE" w:rsidRPr="00002D5D" w:rsidRDefault="002B5E4B" w:rsidP="002B5E4B">
      <w:pPr>
        <w:spacing w:before="0" w:after="0" w:line="240" w:lineRule="auto"/>
        <w:rPr>
          <w:rFonts w:ascii="Times New Roman" w:hAnsi="Times New Roman" w:cs="Times New Roman"/>
          <w:sz w:val="24"/>
          <w:szCs w:val="24"/>
        </w:rPr>
      </w:pPr>
      <w:proofErr w:type="gramStart"/>
      <w:r w:rsidRPr="002B5E4B">
        <w:rPr>
          <w:rFonts w:ascii="Times New Roman" w:hAnsi="Times New Roman" w:cs="Times New Roman"/>
          <w:sz w:val="24"/>
          <w:szCs w:val="24"/>
        </w:rPr>
        <w:t>CANBERRA  ACT</w:t>
      </w:r>
      <w:proofErr w:type="gramEnd"/>
      <w:r w:rsidRPr="002B5E4B">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B5E4B">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806A9D" w:rsidRPr="00806A9D">
        <w:rPr>
          <w:i/>
        </w:rPr>
        <w:t>Increas</w:t>
      </w:r>
      <w:r w:rsidR="008C7233">
        <w:rPr>
          <w:i/>
        </w:rPr>
        <w:t>ing</w:t>
      </w:r>
      <w:r w:rsidR="002B5E4B">
        <w:rPr>
          <w:i/>
        </w:rPr>
        <w:t xml:space="preserve"> Rent Assistance</w:t>
      </w:r>
      <w:r w:rsidRPr="00806A9D">
        <w:rPr>
          <w:i/>
        </w:rPr>
        <w:t xml:space="preserve"> </w:t>
      </w:r>
      <w:r w:rsidR="00806A9D" w:rsidRPr="00806A9D">
        <w:rPr>
          <w:i/>
        </w:rPr>
        <w:t>by 30 per cent</w:t>
      </w:r>
      <w:r w:rsidR="00806A9D">
        <w:t xml:space="preserve"> </w:t>
      </w:r>
      <w:r w:rsidRPr="00002D5D">
        <w:t xml:space="preserve">(letter of </w:t>
      </w:r>
      <w:r w:rsidR="007F1560">
        <w:t xml:space="preserve">1 July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E976E6" w:rsidP="00E976E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D5A6D">
        <w:rPr>
          <w:rFonts w:ascii="Times New Roman" w:hAnsi="Times New Roman" w:cs="Times New Roman"/>
          <w:sz w:val="24"/>
          <w:szCs w:val="24"/>
        </w:rPr>
        <w:t>Ju</w:t>
      </w:r>
      <w:r w:rsidR="005E04E0">
        <w:rPr>
          <w:rFonts w:ascii="Times New Roman" w:hAnsi="Times New Roman" w:cs="Times New Roman"/>
          <w:sz w:val="24"/>
          <w:szCs w:val="24"/>
        </w:rPr>
        <w:t>ly</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ayout w:type="fixed"/>
        <w:tblLook w:val="04A0" w:firstRow="1" w:lastRow="0" w:firstColumn="1" w:lastColumn="0" w:noHBand="0" w:noVBand="1"/>
      </w:tblPr>
      <w:tblGrid>
        <w:gridCol w:w="3005"/>
        <w:gridCol w:w="5335"/>
      </w:tblGrid>
      <w:tr w:rsidR="004D5525" w:rsidRPr="006B1908" w:rsidTr="00E84B96">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6B1908" w:rsidRDefault="004D5525" w:rsidP="004D5525">
            <w:pPr>
              <w:pStyle w:val="BodyText"/>
              <w:rPr>
                <w:b/>
              </w:rPr>
            </w:pPr>
            <w:r w:rsidRPr="006B1908">
              <w:rPr>
                <w:b/>
              </w:rPr>
              <w:t>Name of proposal:</w:t>
            </w:r>
          </w:p>
        </w:tc>
        <w:tc>
          <w:tcPr>
            <w:tcW w:w="5335" w:type="dxa"/>
          </w:tcPr>
          <w:p w:rsidR="004D5525" w:rsidRPr="006B1908" w:rsidRDefault="00B230B0" w:rsidP="008C7233">
            <w:pPr>
              <w:pStyle w:val="BodyText"/>
              <w:rPr>
                <w:b/>
              </w:rPr>
            </w:pPr>
            <w:r w:rsidRPr="00B230B0">
              <w:rPr>
                <w:b/>
              </w:rPr>
              <w:t>Increas</w:t>
            </w:r>
            <w:r w:rsidR="008C7233">
              <w:rPr>
                <w:b/>
              </w:rPr>
              <w:t>ing</w:t>
            </w:r>
            <w:r w:rsidRPr="00B230B0">
              <w:rPr>
                <w:b/>
              </w:rPr>
              <w:t xml:space="preserve"> Rent Assistance by 30</w:t>
            </w:r>
            <w:r>
              <w:rPr>
                <w:b/>
              </w:rPr>
              <w:t xml:space="preserve"> per cent</w:t>
            </w:r>
          </w:p>
        </w:tc>
      </w:tr>
      <w:tr w:rsidR="004D5525" w:rsidTr="00E84B96">
        <w:tc>
          <w:tcPr>
            <w:tcW w:w="3005" w:type="dxa"/>
          </w:tcPr>
          <w:p w:rsidR="004D5525" w:rsidRDefault="004D5525" w:rsidP="004D5525">
            <w:pPr>
              <w:pStyle w:val="BodyText"/>
            </w:pPr>
            <w:r>
              <w:t>Summary of proposal:</w:t>
            </w:r>
          </w:p>
        </w:tc>
        <w:tc>
          <w:tcPr>
            <w:tcW w:w="5335" w:type="dxa"/>
          </w:tcPr>
          <w:p w:rsidR="002B5E4B" w:rsidRDefault="002B5E4B" w:rsidP="004D5525">
            <w:pPr>
              <w:pStyle w:val="BodyText"/>
            </w:pPr>
            <w:r w:rsidRPr="00A04DE7">
              <w:t>The proposal would</w:t>
            </w:r>
            <w:r w:rsidR="00EE424C">
              <w:t xml:space="preserve"> progressively</w:t>
            </w:r>
            <w:r w:rsidRPr="00A04DE7">
              <w:t xml:space="preserve"> increas</w:t>
            </w:r>
            <w:r w:rsidR="00E16DD4">
              <w:t>e</w:t>
            </w:r>
            <w:r w:rsidR="008A3F4C">
              <w:t xml:space="preserve"> </w:t>
            </w:r>
            <w:r w:rsidR="008A3F4C" w:rsidRPr="00A04DE7">
              <w:t>the maximum amount of Commonwealth Rent Assistance payable</w:t>
            </w:r>
            <w:r w:rsidR="008A3F4C">
              <w:t xml:space="preserve"> </w:t>
            </w:r>
            <w:r w:rsidR="003F7452">
              <w:t xml:space="preserve">by </w:t>
            </w:r>
            <w:r w:rsidRPr="00A04DE7">
              <w:t xml:space="preserve">30 per cent </w:t>
            </w:r>
            <w:r w:rsidR="008A3F4C">
              <w:t xml:space="preserve">over three years.  </w:t>
            </w:r>
          </w:p>
          <w:p w:rsidR="004D5525" w:rsidRDefault="00E16DD4" w:rsidP="007F1560">
            <w:pPr>
              <w:pStyle w:val="BodyText"/>
            </w:pPr>
            <w:r>
              <w:t xml:space="preserve">The maximum rate of rent assistance would be increased by 10 per cent </w:t>
            </w:r>
            <w:r w:rsidR="00EE424C">
              <w:t>on</w:t>
            </w:r>
            <w:r>
              <w:t xml:space="preserve"> </w:t>
            </w:r>
            <w:r w:rsidR="008A3F4C">
              <w:t>1 July 2017</w:t>
            </w:r>
            <w:r>
              <w:t xml:space="preserve">, </w:t>
            </w:r>
            <w:r w:rsidR="008A3F4C">
              <w:t>1 July 2018</w:t>
            </w:r>
            <w:r>
              <w:t xml:space="preserve"> and </w:t>
            </w:r>
            <w:r w:rsidR="008A3F4C">
              <w:t>1</w:t>
            </w:r>
            <w:r>
              <w:t> </w:t>
            </w:r>
            <w:r w:rsidR="008A3F4C">
              <w:t>July</w:t>
            </w:r>
            <w:r>
              <w:t> </w:t>
            </w:r>
            <w:r w:rsidR="008A3F4C">
              <w:t>2019</w:t>
            </w:r>
            <w:r w:rsidR="00B65F37">
              <w:t>.</w:t>
            </w:r>
          </w:p>
        </w:tc>
      </w:tr>
      <w:tr w:rsidR="004D5525" w:rsidTr="00E84B96">
        <w:tc>
          <w:tcPr>
            <w:tcW w:w="3005" w:type="dxa"/>
          </w:tcPr>
          <w:p w:rsidR="004D5525" w:rsidRDefault="004D5525" w:rsidP="004D5525">
            <w:pPr>
              <w:pStyle w:val="BodyText"/>
            </w:pPr>
            <w:r>
              <w:t>Person/party requesting costing:</w:t>
            </w:r>
          </w:p>
        </w:tc>
        <w:tc>
          <w:tcPr>
            <w:tcW w:w="5335" w:type="dxa"/>
          </w:tcPr>
          <w:p w:rsidR="00E84B96" w:rsidRDefault="00A04DE7" w:rsidP="00E84B96">
            <w:pPr>
              <w:pStyle w:val="BodyText"/>
            </w:pPr>
            <w:r w:rsidRPr="00A04DE7">
              <w:t>Senator Richard Di Natale, Australian Greens</w:t>
            </w:r>
          </w:p>
        </w:tc>
      </w:tr>
      <w:tr w:rsidR="007D3577" w:rsidTr="00E84B96">
        <w:tc>
          <w:tcPr>
            <w:tcW w:w="3005" w:type="dxa"/>
          </w:tcPr>
          <w:p w:rsidR="007D3577" w:rsidRDefault="007D3577" w:rsidP="002B5E4B">
            <w:pPr>
              <w:pStyle w:val="BodyText"/>
            </w:pPr>
            <w:r>
              <w:t>Date of public release of policy:</w:t>
            </w:r>
          </w:p>
        </w:tc>
        <w:tc>
          <w:tcPr>
            <w:tcW w:w="5335" w:type="dxa"/>
          </w:tcPr>
          <w:p w:rsidR="007F1560" w:rsidRDefault="007F1560" w:rsidP="007F1560">
            <w:pPr>
              <w:pStyle w:val="BodyText"/>
            </w:pPr>
            <w:r>
              <w:t>30 June 2016</w:t>
            </w:r>
          </w:p>
          <w:p w:rsidR="00E84B96" w:rsidRPr="00C17112" w:rsidRDefault="00D46CCD" w:rsidP="007F1560">
            <w:pPr>
              <w:pStyle w:val="BodyText"/>
            </w:pPr>
            <w:hyperlink r:id="rId14" w:history="1">
              <w:r w:rsidR="00E84B96" w:rsidRPr="002C3D72">
                <w:rPr>
                  <w:rStyle w:val="Hyperlink"/>
                </w:rPr>
                <w:t>http://greens.org.au/sites/greens.org.au/files/increasing%20rent%20assistance.pdf</w:t>
              </w:r>
            </w:hyperlink>
          </w:p>
        </w:tc>
      </w:tr>
      <w:tr w:rsidR="004D5525" w:rsidTr="00E84B96">
        <w:tc>
          <w:tcPr>
            <w:tcW w:w="3005" w:type="dxa"/>
          </w:tcPr>
          <w:p w:rsidR="004D5525" w:rsidRDefault="004D5525" w:rsidP="004D5525">
            <w:pPr>
              <w:pStyle w:val="BodyText"/>
            </w:pPr>
            <w:r>
              <w:t>Date costing request received:</w:t>
            </w:r>
          </w:p>
        </w:tc>
        <w:tc>
          <w:tcPr>
            <w:tcW w:w="5335" w:type="dxa"/>
          </w:tcPr>
          <w:p w:rsidR="004D5525" w:rsidRDefault="007F1560" w:rsidP="004D5525">
            <w:pPr>
              <w:pStyle w:val="BodyText"/>
            </w:pPr>
            <w:r>
              <w:t>1 July 2016</w:t>
            </w:r>
          </w:p>
        </w:tc>
      </w:tr>
      <w:tr w:rsidR="004D5525" w:rsidTr="00E84B96">
        <w:tc>
          <w:tcPr>
            <w:tcW w:w="3005" w:type="dxa"/>
          </w:tcPr>
          <w:p w:rsidR="004D5525" w:rsidRDefault="004D5525" w:rsidP="004D5525">
            <w:pPr>
              <w:pStyle w:val="BodyText"/>
            </w:pPr>
            <w:r>
              <w:t>Date costing completed</w:t>
            </w:r>
          </w:p>
        </w:tc>
        <w:tc>
          <w:tcPr>
            <w:tcW w:w="5335" w:type="dxa"/>
          </w:tcPr>
          <w:p w:rsidR="004D5525" w:rsidRPr="00C17112" w:rsidRDefault="007F1560" w:rsidP="004D5525">
            <w:pPr>
              <w:pStyle w:val="BodyText"/>
            </w:pPr>
            <w:r>
              <w:t>1 July 2016</w:t>
            </w:r>
          </w:p>
        </w:tc>
      </w:tr>
      <w:tr w:rsidR="004D5525" w:rsidTr="00E84B96">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1329B1" w:rsidP="00220BE5">
            <w:pPr>
              <w:pStyle w:val="BodyText"/>
            </w:pPr>
            <w:r w:rsidRPr="001329B1">
              <w:t>Release of the next economic and fiscal outlook report</w:t>
            </w:r>
          </w:p>
        </w:tc>
      </w:tr>
    </w:tbl>
    <w:p w:rsidR="0055581F" w:rsidRPr="00002D5D" w:rsidRDefault="008030EC" w:rsidP="00FC6579">
      <w:pPr>
        <w:pStyle w:val="Heading2"/>
      </w:pPr>
      <w:r w:rsidRPr="00002D5D">
        <w:t>Costing overview</w:t>
      </w:r>
    </w:p>
    <w:p w:rsidR="00A04DE7" w:rsidRDefault="00A04DE7" w:rsidP="00A04DE7">
      <w:r>
        <w:t>The proposal would be expected to decrease the fiscal balance by $</w:t>
      </w:r>
      <w:r w:rsidR="00E16DD4">
        <w:t>2</w:t>
      </w:r>
      <w:r>
        <w:t>,</w:t>
      </w:r>
      <w:r w:rsidR="00E16DD4">
        <w:t>217</w:t>
      </w:r>
      <w:r w:rsidR="00840746">
        <w:t>.0</w:t>
      </w:r>
      <w:r>
        <w:t xml:space="preserve"> million and decrease the underlying cash balance by $</w:t>
      </w:r>
      <w:r w:rsidR="00E16DD4">
        <w:t>2</w:t>
      </w:r>
      <w:r>
        <w:t>,</w:t>
      </w:r>
      <w:r w:rsidR="00E16DD4">
        <w:t>19</w:t>
      </w:r>
      <w:r>
        <w:t>6</w:t>
      </w:r>
      <w:r w:rsidR="00840746">
        <w:t>.0</w:t>
      </w:r>
      <w:r>
        <w:t xml:space="preserve"> million over the 2016</w:t>
      </w:r>
      <w:r w:rsidR="00E16DD4">
        <w:noBreakHyphen/>
        <w:t>1</w:t>
      </w:r>
      <w:r>
        <w:t>7 Budget forward estimates period.  The decrease in the fiscal balance reflects an increase in administered expenses of $</w:t>
      </w:r>
      <w:r w:rsidR="00E16DD4">
        <w:t>2</w:t>
      </w:r>
      <w:r>
        <w:t>,2</w:t>
      </w:r>
      <w:r w:rsidR="00E16DD4">
        <w:t>16</w:t>
      </w:r>
      <w:r w:rsidR="00840746">
        <w:t>.0</w:t>
      </w:r>
      <w:r>
        <w:t xml:space="preserve"> million and an increase in departmental expenses of $1</w:t>
      </w:r>
      <w:r w:rsidR="00840746">
        <w:t>.0</w:t>
      </w:r>
      <w:r>
        <w:t xml:space="preserve"> million over this period.</w:t>
      </w:r>
    </w:p>
    <w:p w:rsidR="008D3909" w:rsidRDefault="00A04DE7" w:rsidP="00A04DE7">
      <w:r>
        <w:t xml:space="preserve">The proposal would have ongoing financial implications that extend beyond the forward estimates period.  </w:t>
      </w:r>
      <w:r w:rsidR="00EE424C">
        <w:t xml:space="preserve">The ongoing annual impact would be in line with the impact in 2019-20, growing at around $50 million per year. </w:t>
      </w:r>
    </w:p>
    <w:p w:rsidR="00E56148" w:rsidRDefault="00E56148" w:rsidP="00E56148">
      <w:r>
        <w:t xml:space="preserve">This costing is considered to be of medium reliability.  Estimates are sensitive to changes in economic and demographic factors.  </w:t>
      </w:r>
    </w:p>
    <w:p w:rsidR="00E56148" w:rsidRPr="00002D5D" w:rsidRDefault="00E56148" w:rsidP="00E56148">
      <w:pPr>
        <w:rPr>
          <w:highlight w:val="yellow"/>
        </w:rPr>
      </w:pPr>
      <w:r>
        <w:t>The underlying cash balance implications of this proposal differ from the fiscal balance implications because there would be a delay between the recognition of Family Tax Benefit expenses incurred and the payment of these expenses.</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AE5755">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6B190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6B1908">
              <w:rPr>
                <w:rFonts w:ascii="Calibri" w:hAnsi="Calibri"/>
                <w:b/>
                <w:szCs w:val="20"/>
              </w:rPr>
              <w:t>Total</w:t>
            </w:r>
          </w:p>
        </w:tc>
      </w:tr>
      <w:tr w:rsidR="00A04DE7"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A04DE7" w:rsidRPr="00B73AC8" w:rsidRDefault="00A04DE7" w:rsidP="00AE5755">
            <w:pPr>
              <w:pStyle w:val="TableTextCentred"/>
              <w:keepNext/>
              <w:keepLines/>
              <w:jc w:val="left"/>
              <w:rPr>
                <w:szCs w:val="20"/>
              </w:rPr>
            </w:pPr>
            <w:r w:rsidRPr="00B73AC8">
              <w:rPr>
                <w:szCs w:val="20"/>
              </w:rPr>
              <w:t>Fiscal balance</w:t>
            </w:r>
          </w:p>
        </w:tc>
        <w:tc>
          <w:tcPr>
            <w:tcW w:w="682" w:type="pct"/>
          </w:tcPr>
          <w:p w:rsidR="00A04DE7" w:rsidRPr="00033D04" w:rsidRDefault="00A04DE7" w:rsidP="00A04DE7">
            <w:pPr>
              <w:spacing w:before="70" w:after="70" w:line="260" w:lineRule="atLeast"/>
              <w:jc w:val="right"/>
              <w:cnfStyle w:val="000000100000" w:firstRow="0" w:lastRow="0" w:firstColumn="0" w:lastColumn="0" w:oddVBand="0" w:evenVBand="0" w:oddHBand="1" w:evenHBand="0" w:firstRowFirstColumn="0" w:firstRowLastColumn="0" w:lastRowFirstColumn="0" w:lastRowLastColumn="0"/>
            </w:pPr>
            <w:r w:rsidRPr="00033D04">
              <w:t xml:space="preserve"> -   </w:t>
            </w:r>
          </w:p>
        </w:tc>
        <w:tc>
          <w:tcPr>
            <w:tcW w:w="682" w:type="pct"/>
          </w:tcPr>
          <w:p w:rsidR="00A04DE7" w:rsidRPr="00033D04" w:rsidRDefault="00A04DE7" w:rsidP="00E16DD4">
            <w:pPr>
              <w:spacing w:before="70" w:after="70" w:line="260" w:lineRule="atLeast"/>
              <w:jc w:val="right"/>
              <w:cnfStyle w:val="000000100000" w:firstRow="0" w:lastRow="0" w:firstColumn="0" w:lastColumn="0" w:oddVBand="0" w:evenVBand="0" w:oddHBand="1" w:evenHBand="0" w:firstRowFirstColumn="0" w:firstRowLastColumn="0" w:lastRowFirstColumn="0" w:lastRowLastColumn="0"/>
            </w:pPr>
            <w:r w:rsidRPr="00033D04">
              <w:t>-</w:t>
            </w:r>
            <w:r w:rsidR="00E16DD4">
              <w:t>357</w:t>
            </w:r>
            <w:r w:rsidR="00840746">
              <w:t>.0</w:t>
            </w:r>
            <w:r w:rsidRPr="00033D04">
              <w:t xml:space="preserve"> </w:t>
            </w:r>
          </w:p>
        </w:tc>
        <w:tc>
          <w:tcPr>
            <w:tcW w:w="682" w:type="pct"/>
          </w:tcPr>
          <w:p w:rsidR="00A04DE7" w:rsidRPr="00033D04" w:rsidRDefault="00A04DE7" w:rsidP="00E16DD4">
            <w:pPr>
              <w:spacing w:before="70" w:after="70" w:line="260" w:lineRule="atLeast"/>
              <w:jc w:val="right"/>
              <w:cnfStyle w:val="000000100000" w:firstRow="0" w:lastRow="0" w:firstColumn="0" w:lastColumn="0" w:oddVBand="0" w:evenVBand="0" w:oddHBand="1" w:evenHBand="0" w:firstRowFirstColumn="0" w:firstRowLastColumn="0" w:lastRowFirstColumn="0" w:lastRowLastColumn="0"/>
            </w:pPr>
            <w:r w:rsidRPr="00033D04">
              <w:t>-</w:t>
            </w:r>
            <w:r w:rsidR="00E16DD4">
              <w:t>730</w:t>
            </w:r>
            <w:r w:rsidR="00840746">
              <w:t>.0</w:t>
            </w:r>
            <w:r w:rsidRPr="00033D04">
              <w:t xml:space="preserve"> </w:t>
            </w:r>
          </w:p>
        </w:tc>
        <w:tc>
          <w:tcPr>
            <w:tcW w:w="682" w:type="pct"/>
          </w:tcPr>
          <w:p w:rsidR="00A04DE7" w:rsidRPr="00033D04" w:rsidRDefault="00A04DE7" w:rsidP="00A04DE7">
            <w:pPr>
              <w:spacing w:before="70" w:after="70" w:line="260" w:lineRule="atLeast"/>
              <w:jc w:val="right"/>
              <w:cnfStyle w:val="000000100000" w:firstRow="0" w:lastRow="0" w:firstColumn="0" w:lastColumn="0" w:oddVBand="0" w:evenVBand="0" w:oddHBand="1" w:evenHBand="0" w:firstRowFirstColumn="0" w:firstRowLastColumn="0" w:lastRowFirstColumn="0" w:lastRowLastColumn="0"/>
            </w:pPr>
            <w:r w:rsidRPr="00033D04">
              <w:t>-1,130</w:t>
            </w:r>
            <w:r w:rsidR="00840746">
              <w:t>.0</w:t>
            </w:r>
            <w:r w:rsidRPr="00033D04">
              <w:t xml:space="preserve"> </w:t>
            </w:r>
          </w:p>
        </w:tc>
        <w:tc>
          <w:tcPr>
            <w:tcW w:w="681" w:type="pct"/>
          </w:tcPr>
          <w:p w:rsidR="00A04DE7" w:rsidRPr="006B1908" w:rsidRDefault="00A04DE7" w:rsidP="00E16DD4">
            <w:pPr>
              <w:spacing w:before="70" w:after="70" w:line="260" w:lineRule="atLeast"/>
              <w:jc w:val="right"/>
              <w:cnfStyle w:val="000000100000" w:firstRow="0" w:lastRow="0" w:firstColumn="0" w:lastColumn="0" w:oddVBand="0" w:evenVBand="0" w:oddHBand="1" w:evenHBand="0" w:firstRowFirstColumn="0" w:firstRowLastColumn="0" w:lastRowFirstColumn="0" w:lastRowLastColumn="0"/>
              <w:rPr>
                <w:b/>
              </w:rPr>
            </w:pPr>
            <w:r w:rsidRPr="006B1908">
              <w:rPr>
                <w:b/>
              </w:rPr>
              <w:t>-</w:t>
            </w:r>
            <w:r w:rsidR="00E16DD4">
              <w:rPr>
                <w:b/>
              </w:rPr>
              <w:t>2</w:t>
            </w:r>
            <w:r w:rsidRPr="006B1908">
              <w:rPr>
                <w:b/>
              </w:rPr>
              <w:t>,21</w:t>
            </w:r>
            <w:r w:rsidR="00E16DD4">
              <w:rPr>
                <w:b/>
              </w:rPr>
              <w:t>7</w:t>
            </w:r>
            <w:r w:rsidR="00840746">
              <w:rPr>
                <w:b/>
              </w:rPr>
              <w:t>.0</w:t>
            </w:r>
            <w:r w:rsidRPr="006B1908">
              <w:rPr>
                <w:b/>
              </w:rPr>
              <w:t xml:space="preserve"> </w:t>
            </w:r>
          </w:p>
        </w:tc>
      </w:tr>
      <w:tr w:rsidR="00A04DE7"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A04DE7" w:rsidRPr="00B73AC8" w:rsidRDefault="00A04DE7" w:rsidP="00AE5755">
            <w:pPr>
              <w:pStyle w:val="TableTextCentred"/>
              <w:keepNext/>
              <w:keepLines/>
              <w:jc w:val="left"/>
              <w:rPr>
                <w:szCs w:val="20"/>
              </w:rPr>
            </w:pPr>
            <w:r w:rsidRPr="00B73AC8">
              <w:rPr>
                <w:szCs w:val="20"/>
              </w:rPr>
              <w:t>Underlying cash balance</w:t>
            </w:r>
          </w:p>
        </w:tc>
        <w:tc>
          <w:tcPr>
            <w:tcW w:w="682" w:type="pct"/>
          </w:tcPr>
          <w:p w:rsidR="00A04DE7" w:rsidRPr="00033D04" w:rsidRDefault="00A04DE7" w:rsidP="00A04DE7">
            <w:pPr>
              <w:spacing w:before="70" w:after="70" w:line="260" w:lineRule="atLeast"/>
              <w:jc w:val="right"/>
              <w:cnfStyle w:val="000000000000" w:firstRow="0" w:lastRow="0" w:firstColumn="0" w:lastColumn="0" w:oddVBand="0" w:evenVBand="0" w:oddHBand="0" w:evenHBand="0" w:firstRowFirstColumn="0" w:firstRowLastColumn="0" w:lastRowFirstColumn="0" w:lastRowLastColumn="0"/>
            </w:pPr>
            <w:r w:rsidRPr="00033D04">
              <w:t xml:space="preserve"> -   </w:t>
            </w:r>
          </w:p>
        </w:tc>
        <w:tc>
          <w:tcPr>
            <w:tcW w:w="682" w:type="pct"/>
          </w:tcPr>
          <w:p w:rsidR="00A04DE7" w:rsidRPr="00033D04" w:rsidRDefault="00A04DE7" w:rsidP="00E16DD4">
            <w:pPr>
              <w:spacing w:before="70" w:after="70" w:line="260" w:lineRule="atLeast"/>
              <w:jc w:val="right"/>
              <w:cnfStyle w:val="000000000000" w:firstRow="0" w:lastRow="0" w:firstColumn="0" w:lastColumn="0" w:oddVBand="0" w:evenVBand="0" w:oddHBand="0" w:evenHBand="0" w:firstRowFirstColumn="0" w:firstRowLastColumn="0" w:lastRowFirstColumn="0" w:lastRowLastColumn="0"/>
            </w:pPr>
            <w:r w:rsidRPr="00033D04">
              <w:t>-</w:t>
            </w:r>
            <w:r w:rsidR="00E16DD4">
              <w:t>353</w:t>
            </w:r>
            <w:r w:rsidR="00840746">
              <w:t>.0</w:t>
            </w:r>
            <w:r w:rsidRPr="00033D04">
              <w:t xml:space="preserve"> </w:t>
            </w:r>
          </w:p>
        </w:tc>
        <w:tc>
          <w:tcPr>
            <w:tcW w:w="682" w:type="pct"/>
          </w:tcPr>
          <w:p w:rsidR="00A04DE7" w:rsidRPr="00033D04" w:rsidRDefault="00A04DE7" w:rsidP="00E16DD4">
            <w:pPr>
              <w:spacing w:before="70" w:after="70" w:line="260" w:lineRule="atLeast"/>
              <w:jc w:val="right"/>
              <w:cnfStyle w:val="000000000000" w:firstRow="0" w:lastRow="0" w:firstColumn="0" w:lastColumn="0" w:oddVBand="0" w:evenVBand="0" w:oddHBand="0" w:evenHBand="0" w:firstRowFirstColumn="0" w:firstRowLastColumn="0" w:lastRowFirstColumn="0" w:lastRowLastColumn="0"/>
            </w:pPr>
            <w:r w:rsidRPr="00033D04">
              <w:t>-</w:t>
            </w:r>
            <w:r w:rsidR="00E16DD4">
              <w:t>723</w:t>
            </w:r>
            <w:r w:rsidR="00840746">
              <w:t>.0</w:t>
            </w:r>
            <w:r w:rsidRPr="00033D04">
              <w:t xml:space="preserve"> </w:t>
            </w:r>
          </w:p>
        </w:tc>
        <w:tc>
          <w:tcPr>
            <w:tcW w:w="682" w:type="pct"/>
          </w:tcPr>
          <w:p w:rsidR="00A04DE7" w:rsidRPr="00033D04" w:rsidRDefault="00A04DE7" w:rsidP="00A04DE7">
            <w:pPr>
              <w:spacing w:before="70" w:after="70" w:line="260" w:lineRule="atLeast"/>
              <w:jc w:val="right"/>
              <w:cnfStyle w:val="000000000000" w:firstRow="0" w:lastRow="0" w:firstColumn="0" w:lastColumn="0" w:oddVBand="0" w:evenVBand="0" w:oddHBand="0" w:evenHBand="0" w:firstRowFirstColumn="0" w:firstRowLastColumn="0" w:lastRowFirstColumn="0" w:lastRowLastColumn="0"/>
            </w:pPr>
            <w:r w:rsidRPr="00033D04">
              <w:t>-1,120</w:t>
            </w:r>
            <w:r w:rsidR="00840746">
              <w:t>.0</w:t>
            </w:r>
            <w:r w:rsidRPr="00033D04">
              <w:t xml:space="preserve"> </w:t>
            </w:r>
          </w:p>
        </w:tc>
        <w:tc>
          <w:tcPr>
            <w:tcW w:w="681" w:type="pct"/>
          </w:tcPr>
          <w:p w:rsidR="00A04DE7" w:rsidRPr="006B1908" w:rsidRDefault="00A04DE7" w:rsidP="00E16DD4">
            <w:pPr>
              <w:spacing w:before="70" w:after="70" w:line="260" w:lineRule="atLeast"/>
              <w:jc w:val="right"/>
              <w:cnfStyle w:val="000000000000" w:firstRow="0" w:lastRow="0" w:firstColumn="0" w:lastColumn="0" w:oddVBand="0" w:evenVBand="0" w:oddHBand="0" w:evenHBand="0" w:firstRowFirstColumn="0" w:firstRowLastColumn="0" w:lastRowFirstColumn="0" w:lastRowLastColumn="0"/>
              <w:rPr>
                <w:b/>
              </w:rPr>
            </w:pPr>
            <w:r w:rsidRPr="006B1908">
              <w:rPr>
                <w:b/>
              </w:rPr>
              <w:t>-</w:t>
            </w:r>
            <w:r w:rsidR="00E16DD4">
              <w:rPr>
                <w:b/>
              </w:rPr>
              <w:t>2</w:t>
            </w:r>
            <w:r w:rsidRPr="006B1908">
              <w:rPr>
                <w:b/>
              </w:rPr>
              <w:t>,1</w:t>
            </w:r>
            <w:r w:rsidR="00E16DD4">
              <w:rPr>
                <w:b/>
              </w:rPr>
              <w:t>96</w:t>
            </w:r>
            <w:r w:rsidR="00840746">
              <w:rPr>
                <w:b/>
              </w:rPr>
              <w:t>.0</w:t>
            </w:r>
            <w:r w:rsidRPr="006B1908">
              <w:rPr>
                <w:b/>
              </w:rPr>
              <w:t xml:space="preserve"> </w:t>
            </w:r>
          </w:p>
        </w:tc>
      </w:tr>
    </w:tbl>
    <w:p w:rsidR="00BD5A6D" w:rsidRDefault="00BD5A6D" w:rsidP="00BD5A6D">
      <w:pPr>
        <w:pStyle w:val="Footnotes"/>
        <w:keepNext/>
        <w:keepLines/>
        <w:numPr>
          <w:ilvl w:val="0"/>
          <w:numId w:val="7"/>
        </w:numPr>
        <w:ind w:left="284" w:hanging="284"/>
      </w:pPr>
      <w:r>
        <w:t xml:space="preserve">A positive number represents an increase in the relevant budget </w:t>
      </w:r>
      <w:proofErr w:type="gramStart"/>
      <w:r>
        <w:t>balance,</w:t>
      </w:r>
      <w:proofErr w:type="gramEnd"/>
      <w:r>
        <w:t xml:space="preserve"> a negative number represents a decrease.</w:t>
      </w:r>
    </w:p>
    <w:p w:rsidR="00BD5A6D" w:rsidRDefault="00BD5A6D" w:rsidP="00BD5A6D">
      <w:pPr>
        <w:pStyle w:val="Footnotes"/>
        <w:keepNext/>
        <w:keepLines/>
        <w:numPr>
          <w:ilvl w:val="0"/>
          <w:numId w:val="7"/>
        </w:numPr>
        <w:ind w:left="284" w:hanging="284"/>
      </w:pPr>
      <w:r>
        <w:t>Figures may not sum to totals due to rounding.</w:t>
      </w:r>
    </w:p>
    <w:p w:rsidR="005E3562" w:rsidRPr="00FC6579" w:rsidRDefault="005E3562" w:rsidP="00E40B8B">
      <w:pPr>
        <w:pStyle w:val="Heading2"/>
      </w:pPr>
      <w:r w:rsidRPr="00FC6579">
        <w:t>Methodology</w:t>
      </w:r>
    </w:p>
    <w:p w:rsidR="00E56148" w:rsidRDefault="00E56148" w:rsidP="00E56148">
      <w:r>
        <w:t xml:space="preserve">The costing </w:t>
      </w:r>
      <w:r w:rsidR="002F1B90">
        <w:t xml:space="preserve">estimates represent the difference between total Commonwealth financial implications under the proposal less total expected financial implications in the absence of the proposal using parameters </w:t>
      </w:r>
      <w:r>
        <w:t>as at the 2016 Pre-Election Economic and Fiscal Outlook.</w:t>
      </w:r>
    </w:p>
    <w:p w:rsidR="002F1B90" w:rsidRDefault="00E56148" w:rsidP="00E56148">
      <w:r>
        <w:t>Administered expenses were estimated using a combination of the Department of Social</w:t>
      </w:r>
      <w:r w:rsidR="002563B1">
        <w:t> </w:t>
      </w:r>
      <w:r>
        <w:t>Services’ (DSS) Policy and Evaluation Model (</w:t>
      </w:r>
      <w:proofErr w:type="spellStart"/>
      <w:r>
        <w:t>PoEM</w:t>
      </w:r>
      <w:proofErr w:type="spellEnd"/>
      <w:r>
        <w:t xml:space="preserve">) and the Treasury CAPITA model.  </w:t>
      </w:r>
    </w:p>
    <w:p w:rsidR="00E56148" w:rsidRDefault="00E56148" w:rsidP="002F1B90">
      <w:pPr>
        <w:pStyle w:val="Bullet1"/>
      </w:pPr>
      <w:proofErr w:type="spellStart"/>
      <w:r>
        <w:t>PoEM</w:t>
      </w:r>
      <w:proofErr w:type="spellEnd"/>
      <w:r>
        <w:t xml:space="preserve"> is based on </w:t>
      </w:r>
      <w:r w:rsidR="002563B1">
        <w:t>DSS</w:t>
      </w:r>
      <w:r>
        <w:t xml:space="preserve"> administrative data and covers the existing DSS client base, while CAPITA is based on Australian Bureau of Statistics Survey of Income and Household data which captures information for the broader population but with less detail.  </w:t>
      </w:r>
    </w:p>
    <w:p w:rsidR="00E56148" w:rsidRDefault="00E56148" w:rsidP="00E56148">
      <w:proofErr w:type="spellStart"/>
      <w:r>
        <w:t>PoEM</w:t>
      </w:r>
      <w:proofErr w:type="spellEnd"/>
      <w:r>
        <w:t xml:space="preserve"> was used to estimate the financial implications of the proposal for the current beneficiary population.  The number of additional beneficiaries who become eligible for a part rate benefit payment as a result of the increase in rent assistance payments was estimated using CAPITA. </w:t>
      </w:r>
    </w:p>
    <w:p w:rsidR="007F1560" w:rsidRDefault="007F1560" w:rsidP="007F1560">
      <w:r>
        <w:t xml:space="preserve">The elements of this costing that involve conducting reviews into </w:t>
      </w:r>
      <w:r w:rsidRPr="00D7220B">
        <w:t xml:space="preserve">the structure of </w:t>
      </w:r>
      <w:r w:rsidR="002563B1">
        <w:t xml:space="preserve">Commonwealth Rent Assistance </w:t>
      </w:r>
      <w:r w:rsidRPr="00D7220B">
        <w:t xml:space="preserve">payments </w:t>
      </w:r>
      <w:r>
        <w:t xml:space="preserve">and </w:t>
      </w:r>
      <w:r w:rsidRPr="00D7220B">
        <w:t>linking payments to the level of rent paid, rather than the type of livi</w:t>
      </w:r>
      <w:r>
        <w:t>ng arrangement people may be in</w:t>
      </w:r>
      <w:r w:rsidR="002563B1">
        <w:t>,</w:t>
      </w:r>
      <w:r>
        <w:t xml:space="preserve"> </w:t>
      </w:r>
      <w:r w:rsidR="008C7233">
        <w:t>are assumed to be conducted within existing departmental funding.</w:t>
      </w:r>
    </w:p>
    <w:p w:rsidR="00E56148" w:rsidRDefault="00E56148" w:rsidP="00E56148">
      <w:r>
        <w:t xml:space="preserve">Departmental estimates were calculated by multiplying the Department of Human Services (DHS) per unit processing cost by the number of new recipients that would receive rent assistance as a result of this proposal.  </w:t>
      </w:r>
    </w:p>
    <w:p w:rsidR="005E3562" w:rsidRPr="00002D5D" w:rsidRDefault="00E56148" w:rsidP="00E56148">
      <w:r>
        <w:t>Administered expenses have been rounded to the nearest $5 million.  Departmental expenses have been rounded to the nearest $1 million.</w:t>
      </w:r>
    </w:p>
    <w:p w:rsidR="005E3562" w:rsidRPr="00FC6579" w:rsidRDefault="005E3562" w:rsidP="00E40B8B">
      <w:pPr>
        <w:pStyle w:val="Heading2"/>
      </w:pPr>
      <w:r w:rsidRPr="00FC6579">
        <w:t>Data sources</w:t>
      </w:r>
    </w:p>
    <w:p w:rsidR="00E56148" w:rsidRPr="00E56148" w:rsidRDefault="00E56148" w:rsidP="00E56148">
      <w:pPr>
        <w:pStyle w:val="Bullet1"/>
      </w:pPr>
      <w:r w:rsidRPr="00E56148">
        <w:t xml:space="preserve">Rent and other dwelling service, 2016-17 Budget, Department of </w:t>
      </w:r>
      <w:r w:rsidR="002563B1">
        <w:t xml:space="preserve">the </w:t>
      </w:r>
      <w:r w:rsidRPr="00E56148">
        <w:t>Treasury.</w:t>
      </w:r>
    </w:p>
    <w:p w:rsidR="00E56148" w:rsidRPr="00E56148" w:rsidRDefault="00E56148" w:rsidP="00E56148">
      <w:pPr>
        <w:pStyle w:val="Bullet1"/>
      </w:pPr>
      <w:r w:rsidRPr="00E56148">
        <w:t xml:space="preserve">Policy and Evaluation Model, </w:t>
      </w:r>
      <w:r w:rsidR="002563B1">
        <w:t>DSS</w:t>
      </w:r>
      <w:r w:rsidRPr="00E56148">
        <w:t>.</w:t>
      </w:r>
    </w:p>
    <w:p w:rsidR="00E56148" w:rsidRPr="00E56148" w:rsidRDefault="00E56148" w:rsidP="00E56148">
      <w:pPr>
        <w:pStyle w:val="Bullet1"/>
      </w:pPr>
      <w:r w:rsidRPr="00E56148">
        <w:t xml:space="preserve">CAPITA microsimulation model, Department of </w:t>
      </w:r>
      <w:r w:rsidR="002563B1">
        <w:t xml:space="preserve">the </w:t>
      </w:r>
      <w:r w:rsidRPr="00E56148">
        <w:t>Treasury.</w:t>
      </w:r>
    </w:p>
    <w:p w:rsidR="00E56148" w:rsidRPr="00E56148" w:rsidRDefault="00E56148" w:rsidP="00E779D2">
      <w:pPr>
        <w:pStyle w:val="Bullet1"/>
      </w:pPr>
      <w:r w:rsidRPr="00E56148">
        <w:t xml:space="preserve">DHS departmental estimates for ‘Family Payment Reform - a new </w:t>
      </w:r>
      <w:proofErr w:type="gramStart"/>
      <w:r w:rsidRPr="00E56148">
        <w:t>families</w:t>
      </w:r>
      <w:proofErr w:type="gramEnd"/>
      <w:r w:rsidRPr="00E56148">
        <w:t xml:space="preserve"> package’ measure contained in 2015-16 Mid-Year Economic and Fiscal Outlook (MYEFO).</w:t>
      </w:r>
    </w:p>
    <w:p w:rsidR="00CA5D42" w:rsidRPr="00FC6579" w:rsidRDefault="00CA5D42" w:rsidP="00FC6579">
      <w:pPr>
        <w:pStyle w:val="Bullet3"/>
        <w:rPr>
          <w:highlight w:val="yellow"/>
        </w:rPr>
        <w:sectPr w:rsidR="00CA5D42"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B154F5">
        <w:t xml:space="preserve"> </w:t>
      </w:r>
      <w:r w:rsidR="00907206" w:rsidRPr="00907206">
        <w:t>Increas</w:t>
      </w:r>
      <w:r w:rsidR="008C7233">
        <w:t>ing</w:t>
      </w:r>
      <w:r w:rsidR="00907206" w:rsidRPr="00907206">
        <w:t xml:space="preserve"> Rent Assistance by 30 per cent</w:t>
      </w:r>
      <w:r w:rsidR="00440E32">
        <w:t>—financial implications</w:t>
      </w:r>
    </w:p>
    <w:p w:rsidR="00F52474" w:rsidRPr="00FC6579" w:rsidRDefault="00F52474" w:rsidP="00FC6579">
      <w:pPr>
        <w:pStyle w:val="Captionheading"/>
      </w:pPr>
      <w:r w:rsidRPr="00FC6579">
        <w:t xml:space="preserve">Table </w:t>
      </w:r>
      <w:r w:rsidR="004A7456">
        <w:t>A.1</w:t>
      </w:r>
      <w:r w:rsidRPr="00FC6579">
        <w:t xml:space="preserve">: </w:t>
      </w:r>
      <w:r w:rsidR="004A7456" w:rsidRPr="004A7456">
        <w:t>Increasing Rent Assistance by 30 per cent</w:t>
      </w:r>
      <w:r w:rsidR="00B54770">
        <w:t xml:space="preserve">–Financial </w:t>
      </w:r>
      <w:proofErr w:type="gramStart"/>
      <w:r w:rsidR="00B54770">
        <w:t>implications</w:t>
      </w:r>
      <w:r w:rsidR="004A7456" w:rsidRPr="004A7456">
        <w:rPr>
          <w:vertAlign w:val="superscript"/>
        </w:rPr>
        <w:t>(</w:t>
      </w:r>
      <w:proofErr w:type="gramEnd"/>
      <w:r w:rsidR="004A7456" w:rsidRPr="004A7456">
        <w:rPr>
          <w:vertAlign w:val="superscript"/>
        </w:rPr>
        <w:t>a)</w:t>
      </w:r>
      <w:r w:rsidR="002563B1">
        <w:rPr>
          <w:vertAlign w:val="superscript"/>
        </w:rPr>
        <w:t>(b)</w:t>
      </w:r>
    </w:p>
    <w:tbl>
      <w:tblPr>
        <w:tblStyle w:val="TableGrid"/>
        <w:tblW w:w="4993" w:type="pct"/>
        <w:tblLook w:val="0680" w:firstRow="0" w:lastRow="0" w:firstColumn="1" w:lastColumn="0" w:noHBand="1" w:noVBand="1"/>
      </w:tblPr>
      <w:tblGrid>
        <w:gridCol w:w="2639"/>
        <w:gridCol w:w="1133"/>
        <w:gridCol w:w="1134"/>
        <w:gridCol w:w="1134"/>
        <w:gridCol w:w="1134"/>
        <w:gridCol w:w="1137"/>
      </w:tblGrid>
      <w:tr w:rsidR="008C7233" w:rsidRPr="00B31810" w:rsidTr="00422236">
        <w:trPr>
          <w:cantSplit/>
        </w:trPr>
        <w:tc>
          <w:tcPr>
            <w:cnfStyle w:val="001000000000" w:firstRow="0" w:lastRow="0" w:firstColumn="1" w:lastColumn="0" w:oddVBand="0" w:evenVBand="0" w:oddHBand="0" w:evenHBand="0" w:firstRowFirstColumn="0" w:firstRowLastColumn="0" w:lastRowFirstColumn="0" w:lastRowLastColumn="0"/>
            <w:tcW w:w="1588" w:type="pct"/>
            <w:tcBorders>
              <w:bottom w:val="single" w:sz="4" w:space="0" w:color="808080"/>
            </w:tcBorders>
            <w:shd w:val="clear" w:color="auto" w:fill="D7DDE9"/>
          </w:tcPr>
          <w:p w:rsidR="008C7233" w:rsidRPr="00B31810" w:rsidRDefault="008C7233" w:rsidP="00AE5755">
            <w:pPr>
              <w:keepNext/>
              <w:keepLines/>
              <w:spacing w:before="70" w:after="70" w:line="260" w:lineRule="atLeast"/>
            </w:pPr>
            <w:r w:rsidRPr="00B31810">
              <w:t>($m)</w:t>
            </w:r>
          </w:p>
        </w:tc>
        <w:tc>
          <w:tcPr>
            <w:tcW w:w="682" w:type="pct"/>
            <w:tcBorders>
              <w:bottom w:val="single" w:sz="4" w:space="0" w:color="808080"/>
            </w:tcBorders>
            <w:shd w:val="clear" w:color="auto" w:fill="D7DDE9"/>
          </w:tcPr>
          <w:p w:rsidR="008C7233" w:rsidRPr="00C24267" w:rsidRDefault="008C7233" w:rsidP="00AE5755">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682" w:type="pct"/>
            <w:tcBorders>
              <w:bottom w:val="single" w:sz="4" w:space="0" w:color="808080"/>
            </w:tcBorders>
            <w:shd w:val="clear" w:color="auto" w:fill="D7DDE9"/>
          </w:tcPr>
          <w:p w:rsidR="008C7233" w:rsidRPr="00C24267" w:rsidRDefault="008C7233" w:rsidP="00AE5755">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682" w:type="pct"/>
            <w:tcBorders>
              <w:bottom w:val="single" w:sz="4" w:space="0" w:color="808080"/>
            </w:tcBorders>
            <w:shd w:val="clear" w:color="auto" w:fill="D7DDE9"/>
          </w:tcPr>
          <w:p w:rsidR="008C7233" w:rsidRPr="00C24267" w:rsidRDefault="008C7233" w:rsidP="00AE5755">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682" w:type="pct"/>
            <w:tcBorders>
              <w:bottom w:val="single" w:sz="4" w:space="0" w:color="808080"/>
            </w:tcBorders>
            <w:shd w:val="clear" w:color="auto" w:fill="D7DDE9"/>
          </w:tcPr>
          <w:p w:rsidR="008C7233" w:rsidRPr="00C24267" w:rsidRDefault="008C7233" w:rsidP="00AE5755">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683" w:type="pct"/>
            <w:tcBorders>
              <w:bottom w:val="single" w:sz="4" w:space="0" w:color="808080"/>
            </w:tcBorders>
            <w:shd w:val="clear" w:color="auto" w:fill="D7DDE9"/>
          </w:tcPr>
          <w:p w:rsidR="008C7233" w:rsidRPr="00840746" w:rsidRDefault="008C7233" w:rsidP="00AE5755">
            <w:pPr>
              <w:pStyle w:val="TableHeadingCentred"/>
              <w:cnfStyle w:val="000000000000" w:firstRow="0" w:lastRow="0" w:firstColumn="0" w:lastColumn="0" w:oddVBand="0" w:evenVBand="0" w:oddHBand="0" w:evenHBand="0" w:firstRowFirstColumn="0" w:firstRowLastColumn="0" w:lastRowFirstColumn="0" w:lastRowLastColumn="0"/>
              <w:rPr>
                <w:b/>
              </w:rPr>
            </w:pPr>
            <w:r w:rsidRPr="00840746">
              <w:rPr>
                <w:b/>
              </w:rPr>
              <w:t>Total to 2019–20</w:t>
            </w:r>
          </w:p>
        </w:tc>
      </w:tr>
      <w:tr w:rsidR="003F7452" w:rsidRPr="003F7452" w:rsidTr="00422236">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3F7452" w:rsidRPr="00E84B96" w:rsidRDefault="003F7452" w:rsidP="00E84B96">
            <w:pPr>
              <w:spacing w:before="70" w:after="70" w:line="260" w:lineRule="atLeast"/>
              <w:ind w:left="57" w:right="57"/>
              <w:rPr>
                <w:b/>
              </w:rPr>
            </w:pPr>
            <w:r w:rsidRPr="00E84B96">
              <w:rPr>
                <w:b/>
              </w:rPr>
              <w:t>Impact on fiscal balance</w:t>
            </w:r>
          </w:p>
        </w:tc>
      </w:tr>
      <w:tr w:rsidR="008C7233" w:rsidTr="00422236">
        <w:trPr>
          <w:cantSplit/>
        </w:trPr>
        <w:tc>
          <w:tcPr>
            <w:cnfStyle w:val="001000000000" w:firstRow="0" w:lastRow="0" w:firstColumn="1" w:lastColumn="0" w:oddVBand="0" w:evenVBand="0" w:oddHBand="0" w:evenHBand="0" w:firstRowFirstColumn="0" w:firstRowLastColumn="0" w:lastRowFirstColumn="0" w:lastRowLastColumn="0"/>
            <w:tcW w:w="1588" w:type="pct"/>
          </w:tcPr>
          <w:p w:rsidR="008C7233" w:rsidRPr="00FC6C4B" w:rsidRDefault="008C7233" w:rsidP="004A7456">
            <w:pPr>
              <w:keepNext/>
              <w:keepLines/>
              <w:spacing w:before="70" w:after="70" w:line="260" w:lineRule="atLeast"/>
              <w:rPr>
                <w:i/>
              </w:rPr>
            </w:pPr>
            <w:r w:rsidRPr="00FC6C4B">
              <w:rPr>
                <w:i/>
              </w:rPr>
              <w:t xml:space="preserve">Administered </w:t>
            </w:r>
          </w:p>
        </w:tc>
        <w:tc>
          <w:tcPr>
            <w:tcW w:w="682" w:type="pct"/>
          </w:tcPr>
          <w:p w:rsidR="008C7233" w:rsidRPr="00B54770"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pPr>
            <w:r w:rsidRPr="00B54770">
              <w:t xml:space="preserve"> -   </w:t>
            </w:r>
          </w:p>
        </w:tc>
        <w:tc>
          <w:tcPr>
            <w:tcW w:w="682" w:type="pct"/>
            <w:vAlign w:val="bottom"/>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-357</w:t>
            </w:r>
          </w:p>
        </w:tc>
        <w:tc>
          <w:tcPr>
            <w:tcW w:w="682" w:type="pct"/>
            <w:vAlign w:val="bottom"/>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-730</w:t>
            </w:r>
          </w:p>
        </w:tc>
        <w:tc>
          <w:tcPr>
            <w:tcW w:w="682" w:type="pct"/>
            <w:vAlign w:val="bottom"/>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-1,130</w:t>
            </w:r>
          </w:p>
        </w:tc>
        <w:tc>
          <w:tcPr>
            <w:tcW w:w="683" w:type="pct"/>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i/>
              </w:rPr>
            </w:pPr>
            <w:r w:rsidRPr="008C7233">
              <w:rPr>
                <w:b/>
                <w:i/>
              </w:rPr>
              <w:t xml:space="preserve">-2,216 </w:t>
            </w:r>
          </w:p>
        </w:tc>
      </w:tr>
      <w:tr w:rsidR="008C7233" w:rsidTr="00422236">
        <w:trPr>
          <w:cantSplit/>
        </w:trPr>
        <w:tc>
          <w:tcPr>
            <w:cnfStyle w:val="001000000000" w:firstRow="0" w:lastRow="0" w:firstColumn="1" w:lastColumn="0" w:oddVBand="0" w:evenVBand="0" w:oddHBand="0" w:evenHBand="0" w:firstRowFirstColumn="0" w:firstRowLastColumn="0" w:lastRowFirstColumn="0" w:lastRowLastColumn="0"/>
            <w:tcW w:w="1588" w:type="pct"/>
          </w:tcPr>
          <w:p w:rsidR="008C7233" w:rsidRPr="00FC6C4B" w:rsidRDefault="008C7233" w:rsidP="004A7456">
            <w:pPr>
              <w:keepNext/>
              <w:keepLines/>
              <w:spacing w:before="70" w:after="70" w:line="260" w:lineRule="atLeast"/>
              <w:rPr>
                <w:i/>
              </w:rPr>
            </w:pPr>
            <w:r w:rsidRPr="00FC6C4B">
              <w:rPr>
                <w:i/>
              </w:rPr>
              <w:t>Departmental</w:t>
            </w:r>
          </w:p>
        </w:tc>
        <w:tc>
          <w:tcPr>
            <w:tcW w:w="682" w:type="pct"/>
          </w:tcPr>
          <w:p w:rsidR="008C7233" w:rsidRPr="00B54770"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pPr>
            <w:r w:rsidRPr="00B54770">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3" w:type="pct"/>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i/>
              </w:rPr>
            </w:pPr>
            <w:r w:rsidRPr="008C7233">
              <w:rPr>
                <w:b/>
                <w:i/>
              </w:rPr>
              <w:t xml:space="preserve">-1 </w:t>
            </w:r>
          </w:p>
        </w:tc>
      </w:tr>
      <w:tr w:rsidR="008C7233" w:rsidRPr="00B31810" w:rsidTr="00422236">
        <w:trPr>
          <w:cantSplit/>
        </w:trPr>
        <w:tc>
          <w:tcPr>
            <w:cnfStyle w:val="001000000000" w:firstRow="0" w:lastRow="0" w:firstColumn="1" w:lastColumn="0" w:oddVBand="0" w:evenVBand="0" w:oddHBand="0" w:evenHBand="0" w:firstRowFirstColumn="0" w:firstRowLastColumn="0" w:lastRowFirstColumn="0" w:lastRowLastColumn="0"/>
            <w:tcW w:w="1588" w:type="pct"/>
            <w:shd w:val="clear" w:color="auto" w:fill="D7DDE9"/>
          </w:tcPr>
          <w:p w:rsidR="008C7233" w:rsidRPr="00B31810" w:rsidRDefault="008C7233" w:rsidP="008F0A56">
            <w:pPr>
              <w:keepNext/>
              <w:keepLines/>
              <w:spacing w:before="70" w:after="70" w:line="260" w:lineRule="atLeast"/>
            </w:pPr>
            <w:r w:rsidRPr="00840746">
              <w:rPr>
                <w:b/>
              </w:rPr>
              <w:t>Total</w:t>
            </w:r>
          </w:p>
        </w:tc>
        <w:tc>
          <w:tcPr>
            <w:tcW w:w="682" w:type="pct"/>
            <w:shd w:val="clear" w:color="auto" w:fill="D7DDE9"/>
          </w:tcPr>
          <w:p w:rsidR="008C7233" w:rsidRPr="00B54770" w:rsidRDefault="008C7233" w:rsidP="008F0A5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B54770">
              <w:rPr>
                <w:b/>
              </w:rPr>
              <w:t xml:space="preserve"> -   </w:t>
            </w:r>
          </w:p>
        </w:tc>
        <w:tc>
          <w:tcPr>
            <w:tcW w:w="682" w:type="pct"/>
            <w:shd w:val="clear" w:color="auto" w:fill="D7DDE9"/>
            <w:vAlign w:val="bottom"/>
          </w:tcPr>
          <w:p w:rsidR="008C7233" w:rsidRPr="00907206" w:rsidRDefault="008C7233" w:rsidP="00B67BB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-357</w:t>
            </w:r>
          </w:p>
        </w:tc>
        <w:tc>
          <w:tcPr>
            <w:tcW w:w="682" w:type="pct"/>
            <w:shd w:val="clear" w:color="auto" w:fill="D7DDE9"/>
            <w:vAlign w:val="bottom"/>
          </w:tcPr>
          <w:p w:rsidR="008C7233" w:rsidRPr="00907206" w:rsidRDefault="008C7233" w:rsidP="00B67BB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-730</w:t>
            </w:r>
          </w:p>
        </w:tc>
        <w:tc>
          <w:tcPr>
            <w:tcW w:w="682" w:type="pct"/>
            <w:shd w:val="clear" w:color="auto" w:fill="D7DDE9"/>
            <w:vAlign w:val="bottom"/>
          </w:tcPr>
          <w:p w:rsidR="008C7233" w:rsidRPr="00907206" w:rsidRDefault="008C7233" w:rsidP="00B67BB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-1,130</w:t>
            </w:r>
          </w:p>
        </w:tc>
        <w:tc>
          <w:tcPr>
            <w:tcW w:w="683" w:type="pct"/>
            <w:shd w:val="clear" w:color="auto" w:fill="D7DDE9"/>
          </w:tcPr>
          <w:p w:rsidR="008C7233" w:rsidRPr="00B54770"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B54770">
              <w:rPr>
                <w:b/>
              </w:rPr>
              <w:t>-</w:t>
            </w:r>
            <w:r>
              <w:rPr>
                <w:b/>
              </w:rPr>
              <w:t>2</w:t>
            </w:r>
            <w:r w:rsidRPr="00B54770">
              <w:rPr>
                <w:b/>
              </w:rPr>
              <w:t>,2</w:t>
            </w:r>
            <w:r>
              <w:rPr>
                <w:b/>
              </w:rPr>
              <w:t>17</w:t>
            </w:r>
            <w:r w:rsidRPr="00B54770">
              <w:rPr>
                <w:b/>
              </w:rPr>
              <w:t xml:space="preserve"> </w:t>
            </w:r>
          </w:p>
        </w:tc>
      </w:tr>
      <w:tr w:rsidR="003F7452" w:rsidTr="00422236">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3F7452" w:rsidRPr="008C7233" w:rsidRDefault="003F7452" w:rsidP="00E84B96">
            <w:pPr>
              <w:spacing w:before="70" w:after="70" w:line="260" w:lineRule="atLeast"/>
              <w:ind w:left="57" w:right="57"/>
              <w:rPr>
                <w:b/>
                <w:i/>
              </w:rPr>
            </w:pPr>
            <w:r>
              <w:rPr>
                <w:b/>
              </w:rPr>
              <w:t>Impact on underlying cash balance</w:t>
            </w:r>
          </w:p>
        </w:tc>
      </w:tr>
      <w:tr w:rsidR="008C7233" w:rsidTr="00422236">
        <w:trPr>
          <w:cantSplit/>
        </w:trPr>
        <w:tc>
          <w:tcPr>
            <w:cnfStyle w:val="001000000000" w:firstRow="0" w:lastRow="0" w:firstColumn="1" w:lastColumn="0" w:oddVBand="0" w:evenVBand="0" w:oddHBand="0" w:evenHBand="0" w:firstRowFirstColumn="0" w:firstRowLastColumn="0" w:lastRowFirstColumn="0" w:lastRowLastColumn="0"/>
            <w:tcW w:w="1588" w:type="pct"/>
          </w:tcPr>
          <w:p w:rsidR="008C7233" w:rsidRPr="00FC6C4B" w:rsidRDefault="008C7233" w:rsidP="00893C50">
            <w:pPr>
              <w:keepNext/>
              <w:keepLines/>
              <w:spacing w:before="70" w:after="70" w:line="260" w:lineRule="atLeast"/>
              <w:rPr>
                <w:i/>
              </w:rPr>
            </w:pPr>
            <w:r w:rsidRPr="00FC6C4B">
              <w:rPr>
                <w:i/>
              </w:rPr>
              <w:t xml:space="preserve">Administered </w:t>
            </w:r>
          </w:p>
        </w:tc>
        <w:tc>
          <w:tcPr>
            <w:tcW w:w="682" w:type="pct"/>
          </w:tcPr>
          <w:p w:rsidR="008C7233" w:rsidRPr="00B54770"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pPr>
            <w:r w:rsidRPr="00B54770">
              <w:t xml:space="preserve"> -   </w:t>
            </w:r>
          </w:p>
        </w:tc>
        <w:tc>
          <w:tcPr>
            <w:tcW w:w="682" w:type="pct"/>
            <w:vAlign w:val="bottom"/>
          </w:tcPr>
          <w:p w:rsidR="008C7233" w:rsidRPr="008C7233" w:rsidRDefault="008C7233">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8C7233">
              <w:rPr>
                <w:rFonts w:ascii="Calibri" w:hAnsi="Calibri"/>
                <w:i/>
                <w:color w:val="000000"/>
                <w:szCs w:val="20"/>
              </w:rPr>
              <w:t>-353</w:t>
            </w:r>
          </w:p>
        </w:tc>
        <w:tc>
          <w:tcPr>
            <w:tcW w:w="682" w:type="pct"/>
            <w:vAlign w:val="bottom"/>
          </w:tcPr>
          <w:p w:rsidR="008C7233" w:rsidRPr="008C7233" w:rsidRDefault="008C7233">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8C7233">
              <w:rPr>
                <w:rFonts w:ascii="Calibri" w:hAnsi="Calibri"/>
                <w:i/>
                <w:color w:val="000000"/>
                <w:szCs w:val="20"/>
              </w:rPr>
              <w:t>-723</w:t>
            </w:r>
          </w:p>
        </w:tc>
        <w:tc>
          <w:tcPr>
            <w:tcW w:w="682" w:type="pct"/>
            <w:vAlign w:val="bottom"/>
          </w:tcPr>
          <w:p w:rsidR="008C7233" w:rsidRPr="008C7233" w:rsidRDefault="008C7233">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8C7233">
              <w:rPr>
                <w:rFonts w:ascii="Calibri" w:hAnsi="Calibri"/>
                <w:i/>
                <w:color w:val="000000"/>
                <w:szCs w:val="20"/>
              </w:rPr>
              <w:t>-1,120</w:t>
            </w:r>
          </w:p>
        </w:tc>
        <w:tc>
          <w:tcPr>
            <w:tcW w:w="683" w:type="pct"/>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i/>
              </w:rPr>
            </w:pPr>
            <w:r w:rsidRPr="008C7233">
              <w:rPr>
                <w:b/>
                <w:i/>
              </w:rPr>
              <w:t xml:space="preserve">-2,195 </w:t>
            </w:r>
          </w:p>
        </w:tc>
      </w:tr>
      <w:tr w:rsidR="008C7233" w:rsidTr="00422236">
        <w:trPr>
          <w:cantSplit/>
        </w:trPr>
        <w:tc>
          <w:tcPr>
            <w:cnfStyle w:val="001000000000" w:firstRow="0" w:lastRow="0" w:firstColumn="1" w:lastColumn="0" w:oddVBand="0" w:evenVBand="0" w:oddHBand="0" w:evenHBand="0" w:firstRowFirstColumn="0" w:firstRowLastColumn="0" w:lastRowFirstColumn="0" w:lastRowLastColumn="0"/>
            <w:tcW w:w="1588" w:type="pct"/>
          </w:tcPr>
          <w:p w:rsidR="008C7233" w:rsidRPr="00FC6C4B" w:rsidRDefault="008C7233" w:rsidP="00893C50">
            <w:pPr>
              <w:keepNext/>
              <w:keepLines/>
              <w:spacing w:before="70" w:after="70" w:line="260" w:lineRule="atLeast"/>
              <w:rPr>
                <w:i/>
              </w:rPr>
            </w:pPr>
            <w:r w:rsidRPr="00FC6C4B">
              <w:rPr>
                <w:i/>
              </w:rPr>
              <w:t>Departmental</w:t>
            </w:r>
          </w:p>
        </w:tc>
        <w:tc>
          <w:tcPr>
            <w:tcW w:w="682" w:type="pct"/>
          </w:tcPr>
          <w:p w:rsidR="008C7233" w:rsidRPr="00B54770"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pPr>
            <w:r w:rsidRPr="00B54770">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2" w:type="pct"/>
          </w:tcPr>
          <w:p w:rsidR="008C7233" w:rsidRPr="008C7233" w:rsidRDefault="008C7233" w:rsidP="005601D8">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i/>
              </w:rPr>
            </w:pPr>
            <w:r w:rsidRPr="008C7233">
              <w:rPr>
                <w:i/>
              </w:rPr>
              <w:t xml:space="preserve"> .. </w:t>
            </w:r>
          </w:p>
        </w:tc>
        <w:tc>
          <w:tcPr>
            <w:tcW w:w="683" w:type="pct"/>
          </w:tcPr>
          <w:p w:rsidR="008C7233" w:rsidRPr="008C7233"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i/>
              </w:rPr>
            </w:pPr>
            <w:r w:rsidRPr="008C7233">
              <w:rPr>
                <w:b/>
                <w:i/>
              </w:rPr>
              <w:t xml:space="preserve">-1 </w:t>
            </w:r>
          </w:p>
        </w:tc>
      </w:tr>
      <w:tr w:rsidR="008C7233" w:rsidRPr="00B31810" w:rsidTr="00422236">
        <w:trPr>
          <w:cantSplit/>
        </w:trPr>
        <w:tc>
          <w:tcPr>
            <w:cnfStyle w:val="001000000000" w:firstRow="0" w:lastRow="0" w:firstColumn="1" w:lastColumn="0" w:oddVBand="0" w:evenVBand="0" w:oddHBand="0" w:evenHBand="0" w:firstRowFirstColumn="0" w:firstRowLastColumn="0" w:lastRowFirstColumn="0" w:lastRowLastColumn="0"/>
            <w:tcW w:w="1588" w:type="pct"/>
            <w:shd w:val="clear" w:color="auto" w:fill="D7DDE9"/>
          </w:tcPr>
          <w:p w:rsidR="008C7233" w:rsidRPr="00B31810" w:rsidRDefault="008C7233" w:rsidP="008F0A56">
            <w:pPr>
              <w:keepNext/>
              <w:keepLines/>
              <w:spacing w:before="70" w:after="70" w:line="260" w:lineRule="atLeast"/>
            </w:pPr>
            <w:r w:rsidRPr="00840746">
              <w:rPr>
                <w:b/>
              </w:rPr>
              <w:t>Total</w:t>
            </w:r>
          </w:p>
        </w:tc>
        <w:tc>
          <w:tcPr>
            <w:tcW w:w="682" w:type="pct"/>
            <w:shd w:val="clear" w:color="auto" w:fill="D7DDE9"/>
          </w:tcPr>
          <w:p w:rsidR="008C7233" w:rsidRPr="00B54770" w:rsidRDefault="008C7233" w:rsidP="008F0A5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B54770">
              <w:rPr>
                <w:b/>
              </w:rPr>
              <w:t xml:space="preserve"> -   </w:t>
            </w:r>
          </w:p>
        </w:tc>
        <w:tc>
          <w:tcPr>
            <w:tcW w:w="682" w:type="pct"/>
            <w:shd w:val="clear" w:color="auto" w:fill="D7DDE9"/>
            <w:vAlign w:val="bottom"/>
          </w:tcPr>
          <w:p w:rsidR="008C7233" w:rsidRPr="00907206"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-353</w:t>
            </w:r>
          </w:p>
        </w:tc>
        <w:tc>
          <w:tcPr>
            <w:tcW w:w="682" w:type="pct"/>
            <w:shd w:val="clear" w:color="auto" w:fill="D7DDE9"/>
            <w:vAlign w:val="bottom"/>
          </w:tcPr>
          <w:p w:rsidR="008C7233" w:rsidRPr="00907206"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-723</w:t>
            </w:r>
          </w:p>
        </w:tc>
        <w:tc>
          <w:tcPr>
            <w:tcW w:w="682" w:type="pct"/>
            <w:shd w:val="clear" w:color="auto" w:fill="D7DDE9"/>
            <w:vAlign w:val="bottom"/>
          </w:tcPr>
          <w:p w:rsidR="008C7233" w:rsidRPr="00907206"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907206">
              <w:rPr>
                <w:b/>
              </w:rPr>
              <w:t>-1,120</w:t>
            </w:r>
          </w:p>
        </w:tc>
        <w:tc>
          <w:tcPr>
            <w:tcW w:w="683" w:type="pct"/>
            <w:shd w:val="clear" w:color="auto" w:fill="D7DDE9"/>
          </w:tcPr>
          <w:p w:rsidR="008C7233" w:rsidRPr="00B54770" w:rsidRDefault="008C7233" w:rsidP="00907206">
            <w:pPr>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b/>
              </w:rPr>
            </w:pPr>
            <w:r w:rsidRPr="00B54770">
              <w:rPr>
                <w:b/>
              </w:rPr>
              <w:t>-</w:t>
            </w:r>
            <w:r>
              <w:rPr>
                <w:b/>
              </w:rPr>
              <w:t>2</w:t>
            </w:r>
            <w:r w:rsidRPr="00B54770">
              <w:rPr>
                <w:b/>
              </w:rPr>
              <w:t>,</w:t>
            </w:r>
            <w:r>
              <w:rPr>
                <w:b/>
              </w:rPr>
              <w:t>196</w:t>
            </w:r>
            <w:r w:rsidRPr="00B54770">
              <w:rPr>
                <w:b/>
              </w:rPr>
              <w:t xml:space="preserve"> </w:t>
            </w:r>
          </w:p>
        </w:tc>
      </w:tr>
    </w:tbl>
    <w:p w:rsidR="00FC6C4B" w:rsidRDefault="00FC6C4B" w:rsidP="00422236">
      <w:pPr>
        <w:pStyle w:val="Footnotes"/>
        <w:numPr>
          <w:ilvl w:val="0"/>
          <w:numId w:val="22"/>
        </w:numPr>
        <w:ind w:left="284" w:hanging="284"/>
      </w:pPr>
      <w:r w:rsidRPr="00DB3B7E">
        <w:t xml:space="preserve">A positive number indicates an increase in revenue or decrease in expenses or net capital investment in accrual and cash terms. </w:t>
      </w:r>
      <w:r>
        <w:t xml:space="preserve"> </w:t>
      </w:r>
      <w:r w:rsidRPr="00DB3B7E">
        <w:t>A negative number indicates a decrease in revenue or an increase in expenses or net capital investment in accrual and cash term</w:t>
      </w:r>
      <w:r>
        <w:t>s.</w:t>
      </w:r>
    </w:p>
    <w:p w:rsidR="00FC6C4B" w:rsidRDefault="00FC6C4B" w:rsidP="00FC6C4B">
      <w:pPr>
        <w:pStyle w:val="Footnotes"/>
        <w:ind w:left="284" w:hanging="284"/>
      </w:pPr>
      <w:r w:rsidRPr="00DB3B7E">
        <w:t>Figures may not sum to totals due to rounding</w:t>
      </w:r>
      <w:r>
        <w:t>.</w:t>
      </w:r>
    </w:p>
    <w:p w:rsidR="003F7452" w:rsidRDefault="003F7452" w:rsidP="00FC6C4B">
      <w:pPr>
        <w:pStyle w:val="Footnotes"/>
        <w:numPr>
          <w:ilvl w:val="0"/>
          <w:numId w:val="0"/>
        </w:numPr>
        <w:ind w:left="284" w:hanging="284"/>
      </w:pPr>
      <w:r>
        <w:t>..</w:t>
      </w:r>
      <w:r>
        <w:tab/>
        <w:t>Indicates not zero, but rounded to zero.</w:t>
      </w:r>
    </w:p>
    <w:p w:rsidR="00FC6C4B" w:rsidRDefault="00FC6C4B" w:rsidP="00FC6C4B">
      <w:pPr>
        <w:pStyle w:val="Footnotes"/>
        <w:numPr>
          <w:ilvl w:val="0"/>
          <w:numId w:val="0"/>
        </w:numPr>
        <w:ind w:left="284" w:hanging="284"/>
      </w:pPr>
      <w:r w:rsidRPr="002C6C53">
        <w:t>-</w:t>
      </w:r>
      <w:r>
        <w:tab/>
        <w:t>I</w:t>
      </w:r>
      <w:r w:rsidRPr="002C6C53">
        <w:t>ndicates a nil value.</w:t>
      </w:r>
    </w:p>
    <w:p w:rsidR="004A7456" w:rsidRPr="00FC6579" w:rsidRDefault="004A7456" w:rsidP="004A7456">
      <w:pPr>
        <w:pStyle w:val="Footnotes"/>
        <w:numPr>
          <w:ilvl w:val="0"/>
          <w:numId w:val="0"/>
        </w:numPr>
        <w:ind w:left="360" w:hanging="360"/>
      </w:pPr>
    </w:p>
    <w:sectPr w:rsidR="004A7456" w:rsidRPr="00FC6579" w:rsidSect="00E84B96">
      <w:headerReference w:type="first" r:id="rId17"/>
      <w:footerReference w:type="first" r:id="rId18"/>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4B" w:rsidRDefault="002B5E4B" w:rsidP="008F588A">
      <w:pPr>
        <w:spacing w:line="240" w:lineRule="auto"/>
      </w:pPr>
      <w:r>
        <w:separator/>
      </w:r>
    </w:p>
    <w:p w:rsidR="002B5E4B" w:rsidRDefault="002B5E4B"/>
  </w:endnote>
  <w:endnote w:type="continuationSeparator" w:id="0">
    <w:p w:rsidR="002B5E4B" w:rsidRDefault="002B5E4B" w:rsidP="008F588A">
      <w:pPr>
        <w:spacing w:line="240" w:lineRule="auto"/>
      </w:pPr>
      <w:r>
        <w:continuationSeparator/>
      </w:r>
    </w:p>
    <w:p w:rsidR="002B5E4B" w:rsidRDefault="002B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24267" w:rsidRDefault="002B5E4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46CCD">
      <w:rPr>
        <w:noProof/>
      </w:rPr>
      <w:t>3</w:t>
    </w:r>
    <w:r w:rsidRPr="00C24267">
      <w:fldChar w:fldCharType="end"/>
    </w:r>
    <w:r w:rsidRPr="00C24267">
      <w:t xml:space="preserve"> of </w:t>
    </w:r>
    <w:r w:rsidR="00D46CCD">
      <w:fldChar w:fldCharType="begin"/>
    </w:r>
    <w:r w:rsidR="00D46CCD">
      <w:instrText xml:space="preserve"> NUMPAGES  \* Arabic  \* MERGEFORMAT </w:instrText>
    </w:r>
    <w:r w:rsidR="00D46CCD">
      <w:fldChar w:fldCharType="separate"/>
    </w:r>
    <w:r w:rsidR="00D46CCD">
      <w:rPr>
        <w:noProof/>
      </w:rPr>
      <w:t>3</w:t>
    </w:r>
    <w:r w:rsidR="00D46CC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24267" w:rsidRDefault="002B5E4B" w:rsidP="00C24267">
    <w:pPr>
      <w:pStyle w:val="Letterfooter"/>
    </w:pPr>
    <w:r w:rsidRPr="00C24267">
      <w:t>Parliamentary Budget Office   PO Box 6010   Parliament House   Canberra ACT 2600</w:t>
    </w:r>
  </w:p>
  <w:p w:rsidR="002B5E4B" w:rsidRPr="00C24267" w:rsidRDefault="002B5E4B"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24267" w:rsidRDefault="002B5E4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46CCD">
      <w:rPr>
        <w:noProof/>
      </w:rPr>
      <w:t>2</w:t>
    </w:r>
    <w:r w:rsidRPr="00C24267">
      <w:fldChar w:fldCharType="end"/>
    </w:r>
    <w:r w:rsidRPr="00C24267">
      <w:t xml:space="preserve"> of </w:t>
    </w:r>
    <w:r w:rsidR="00D46CCD">
      <w:fldChar w:fldCharType="begin"/>
    </w:r>
    <w:r w:rsidR="00D46CCD">
      <w:instrText xml:space="preserve"> NUMPAGES  \* Arabic  \* MERGEFORMAT </w:instrText>
    </w:r>
    <w:r w:rsidR="00D46CCD">
      <w:fldChar w:fldCharType="separate"/>
    </w:r>
    <w:r w:rsidR="00D46CCD">
      <w:rPr>
        <w:noProof/>
      </w:rPr>
      <w:t>2</w:t>
    </w:r>
    <w:r w:rsidR="00D46CC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24267" w:rsidRDefault="002B5E4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46CCD">
      <w:rPr>
        <w:noProof/>
      </w:rPr>
      <w:t>4</w:t>
    </w:r>
    <w:r w:rsidRPr="00C24267">
      <w:fldChar w:fldCharType="end"/>
    </w:r>
    <w:r w:rsidRPr="00C24267">
      <w:t xml:space="preserve"> of </w:t>
    </w:r>
    <w:r w:rsidR="00D46CCD">
      <w:fldChar w:fldCharType="begin"/>
    </w:r>
    <w:r w:rsidR="00D46CCD">
      <w:instrText xml:space="preserve"> NUMPAGES  \* Arabic  \* MERGEFORMAT </w:instrText>
    </w:r>
    <w:r w:rsidR="00D46CCD">
      <w:fldChar w:fldCharType="separate"/>
    </w:r>
    <w:r w:rsidR="00D46CCD">
      <w:rPr>
        <w:noProof/>
      </w:rPr>
      <w:t>4</w:t>
    </w:r>
    <w:r w:rsidR="00D46C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4B" w:rsidRDefault="002B5E4B" w:rsidP="008F588A">
      <w:pPr>
        <w:spacing w:line="240" w:lineRule="auto"/>
      </w:pPr>
      <w:r>
        <w:separator/>
      </w:r>
    </w:p>
    <w:p w:rsidR="002B5E4B" w:rsidRDefault="002B5E4B"/>
  </w:footnote>
  <w:footnote w:type="continuationSeparator" w:id="0">
    <w:p w:rsidR="002B5E4B" w:rsidRDefault="002B5E4B" w:rsidP="008F588A">
      <w:pPr>
        <w:spacing w:line="240" w:lineRule="auto"/>
      </w:pPr>
      <w:r>
        <w:continuationSeparator/>
      </w:r>
    </w:p>
    <w:p w:rsidR="002B5E4B" w:rsidRDefault="002B5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17112" w:rsidRDefault="002B5E4B" w:rsidP="00C17112">
    <w:pPr>
      <w:pStyle w:val="Header"/>
      <w:spacing w:before="0" w:after="0"/>
      <w:jc w:val="right"/>
      <w:rPr>
        <w:b/>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Default="002B5E4B" w:rsidP="00CB40E1">
    <w:pPr>
      <w:pStyle w:val="Header"/>
    </w:pPr>
    <w:r>
      <w:rPr>
        <w:noProof/>
        <w:lang w:eastAsia="en-AU"/>
      </w:rPr>
      <w:drawing>
        <wp:inline distT="0" distB="0" distL="0" distR="0" wp14:anchorId="10F9B5A1" wp14:editId="56B9AB11">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B5E4B" w:rsidRPr="00DA1C8A" w:rsidRDefault="002B5E4B"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17112" w:rsidRDefault="002B5E4B" w:rsidP="00C17112">
    <w:pPr>
      <w:pStyle w:val="Header"/>
    </w:pPr>
    <w:r>
      <w:rPr>
        <w:noProof/>
        <w:lang w:eastAsia="en-AU"/>
      </w:rPr>
      <w:drawing>
        <wp:inline distT="0" distB="0" distL="0" distR="0" wp14:anchorId="7435F969" wp14:editId="55AE3218">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4B" w:rsidRPr="00C17112" w:rsidRDefault="002B5E4B" w:rsidP="00C17112">
    <w:pPr>
      <w:pStyle w:val="Header"/>
      <w:spacing w:before="0" w:after="0"/>
      <w:jc w:val="right"/>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3E9D4560"/>
    <w:multiLevelType w:val="hybridMultilevel"/>
    <w:tmpl w:val="517A4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8"/>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num>
  <w:num w:numId="20">
    <w:abstractNumId w:val="6"/>
    <w:lvlOverride w:ilvl="0">
      <w:startOverride w:val="1"/>
    </w:lvlOverride>
  </w:num>
  <w:num w:numId="21">
    <w:abstractNumId w:val="7"/>
  </w:num>
  <w:num w:numId="22">
    <w:abstractNumId w:val="6"/>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AB"/>
    <w:rsid w:val="00002D5D"/>
    <w:rsid w:val="00015FB2"/>
    <w:rsid w:val="00040DCE"/>
    <w:rsid w:val="00091A00"/>
    <w:rsid w:val="00096F3A"/>
    <w:rsid w:val="000C1A75"/>
    <w:rsid w:val="001278D0"/>
    <w:rsid w:val="001329B1"/>
    <w:rsid w:val="0014239B"/>
    <w:rsid w:val="001A02D1"/>
    <w:rsid w:val="001B34BD"/>
    <w:rsid w:val="00220BE5"/>
    <w:rsid w:val="002422A3"/>
    <w:rsid w:val="002563B1"/>
    <w:rsid w:val="00291B57"/>
    <w:rsid w:val="002B5E4B"/>
    <w:rsid w:val="002F1B90"/>
    <w:rsid w:val="00315E34"/>
    <w:rsid w:val="00326DE2"/>
    <w:rsid w:val="003D7744"/>
    <w:rsid w:val="003E4F5F"/>
    <w:rsid w:val="003F254A"/>
    <w:rsid w:val="003F73CA"/>
    <w:rsid w:val="003F7452"/>
    <w:rsid w:val="00422236"/>
    <w:rsid w:val="00440E32"/>
    <w:rsid w:val="00461597"/>
    <w:rsid w:val="00485374"/>
    <w:rsid w:val="004A3CE2"/>
    <w:rsid w:val="004A7456"/>
    <w:rsid w:val="004C283B"/>
    <w:rsid w:val="004D13ED"/>
    <w:rsid w:val="004D5525"/>
    <w:rsid w:val="005035DA"/>
    <w:rsid w:val="00507897"/>
    <w:rsid w:val="00515A85"/>
    <w:rsid w:val="00545F24"/>
    <w:rsid w:val="0055581F"/>
    <w:rsid w:val="005601D8"/>
    <w:rsid w:val="0056229A"/>
    <w:rsid w:val="00570154"/>
    <w:rsid w:val="00570B5A"/>
    <w:rsid w:val="00587422"/>
    <w:rsid w:val="005B1A4A"/>
    <w:rsid w:val="005C2B29"/>
    <w:rsid w:val="005C6967"/>
    <w:rsid w:val="005E04E0"/>
    <w:rsid w:val="005E3562"/>
    <w:rsid w:val="005F7DE0"/>
    <w:rsid w:val="00600857"/>
    <w:rsid w:val="00640346"/>
    <w:rsid w:val="00660385"/>
    <w:rsid w:val="00662E65"/>
    <w:rsid w:val="0066665A"/>
    <w:rsid w:val="00692DD8"/>
    <w:rsid w:val="006B1908"/>
    <w:rsid w:val="006F0CE9"/>
    <w:rsid w:val="007202A8"/>
    <w:rsid w:val="007229A9"/>
    <w:rsid w:val="0074166F"/>
    <w:rsid w:val="007B029A"/>
    <w:rsid w:val="007D33AA"/>
    <w:rsid w:val="007D3577"/>
    <w:rsid w:val="007F1560"/>
    <w:rsid w:val="007F7BCF"/>
    <w:rsid w:val="008030EC"/>
    <w:rsid w:val="00806A9D"/>
    <w:rsid w:val="00811D6D"/>
    <w:rsid w:val="00817E8E"/>
    <w:rsid w:val="00840746"/>
    <w:rsid w:val="00844776"/>
    <w:rsid w:val="008850D9"/>
    <w:rsid w:val="008A3F4C"/>
    <w:rsid w:val="008A4578"/>
    <w:rsid w:val="008C03C3"/>
    <w:rsid w:val="008C7233"/>
    <w:rsid w:val="008D3909"/>
    <w:rsid w:val="008D6ECA"/>
    <w:rsid w:val="008F588A"/>
    <w:rsid w:val="00902D2D"/>
    <w:rsid w:val="00907206"/>
    <w:rsid w:val="00915804"/>
    <w:rsid w:val="00957285"/>
    <w:rsid w:val="009573AF"/>
    <w:rsid w:val="00961FE6"/>
    <w:rsid w:val="009963ED"/>
    <w:rsid w:val="009972CB"/>
    <w:rsid w:val="009A0884"/>
    <w:rsid w:val="009D4063"/>
    <w:rsid w:val="00A04DE7"/>
    <w:rsid w:val="00A41BD3"/>
    <w:rsid w:val="00A449C2"/>
    <w:rsid w:val="00A6178A"/>
    <w:rsid w:val="00A65EA3"/>
    <w:rsid w:val="00AA3D6F"/>
    <w:rsid w:val="00AB55AE"/>
    <w:rsid w:val="00AB6F7D"/>
    <w:rsid w:val="00AC7878"/>
    <w:rsid w:val="00AD493E"/>
    <w:rsid w:val="00AE5755"/>
    <w:rsid w:val="00B06055"/>
    <w:rsid w:val="00B154F5"/>
    <w:rsid w:val="00B230B0"/>
    <w:rsid w:val="00B44D8A"/>
    <w:rsid w:val="00B54770"/>
    <w:rsid w:val="00B65F37"/>
    <w:rsid w:val="00B73AC8"/>
    <w:rsid w:val="00B747A7"/>
    <w:rsid w:val="00B908C6"/>
    <w:rsid w:val="00BC559C"/>
    <w:rsid w:val="00BD5A6D"/>
    <w:rsid w:val="00C17112"/>
    <w:rsid w:val="00C24267"/>
    <w:rsid w:val="00C53365"/>
    <w:rsid w:val="00CA5D42"/>
    <w:rsid w:val="00CB40E1"/>
    <w:rsid w:val="00CE06AA"/>
    <w:rsid w:val="00CF6DB6"/>
    <w:rsid w:val="00D134CA"/>
    <w:rsid w:val="00D241FC"/>
    <w:rsid w:val="00D37F05"/>
    <w:rsid w:val="00D46CCD"/>
    <w:rsid w:val="00D52D5F"/>
    <w:rsid w:val="00D949A3"/>
    <w:rsid w:val="00DA1C8A"/>
    <w:rsid w:val="00DB44F0"/>
    <w:rsid w:val="00DD109E"/>
    <w:rsid w:val="00DD3E18"/>
    <w:rsid w:val="00E12103"/>
    <w:rsid w:val="00E15AAE"/>
    <w:rsid w:val="00E16DD4"/>
    <w:rsid w:val="00E21184"/>
    <w:rsid w:val="00E40B8B"/>
    <w:rsid w:val="00E53362"/>
    <w:rsid w:val="00E56148"/>
    <w:rsid w:val="00E5742E"/>
    <w:rsid w:val="00E779D2"/>
    <w:rsid w:val="00E84B96"/>
    <w:rsid w:val="00E976E6"/>
    <w:rsid w:val="00EA265F"/>
    <w:rsid w:val="00EA5685"/>
    <w:rsid w:val="00ED43FF"/>
    <w:rsid w:val="00EE424C"/>
    <w:rsid w:val="00EE6600"/>
    <w:rsid w:val="00EF1D6A"/>
    <w:rsid w:val="00EF2E51"/>
    <w:rsid w:val="00F31E24"/>
    <w:rsid w:val="00F52474"/>
    <w:rsid w:val="00F5529D"/>
    <w:rsid w:val="00F5669E"/>
    <w:rsid w:val="00F67C81"/>
    <w:rsid w:val="00F75D33"/>
    <w:rsid w:val="00F954CF"/>
    <w:rsid w:val="00FB27AB"/>
    <w:rsid w:val="00FC6579"/>
    <w:rsid w:val="00FC6C4B"/>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FE1053"/>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aliases w:val="List Paragraph1,Recommendation,List Paragraph11"/>
    <w:basedOn w:val="Normal"/>
    <w:link w:val="ListParagraphChar"/>
    <w:uiPriority w:val="1"/>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EE424C"/>
    <w:rPr>
      <w:sz w:val="16"/>
      <w:szCs w:val="16"/>
    </w:rPr>
  </w:style>
  <w:style w:type="paragraph" w:styleId="CommentText">
    <w:name w:val="annotation text"/>
    <w:basedOn w:val="Normal"/>
    <w:link w:val="CommentTextChar"/>
    <w:uiPriority w:val="99"/>
    <w:semiHidden/>
    <w:unhideWhenUsed/>
    <w:rsid w:val="00EE424C"/>
    <w:pPr>
      <w:spacing w:line="240" w:lineRule="auto"/>
    </w:pPr>
    <w:rPr>
      <w:sz w:val="20"/>
      <w:szCs w:val="20"/>
    </w:rPr>
  </w:style>
  <w:style w:type="character" w:customStyle="1" w:styleId="CommentTextChar">
    <w:name w:val="Comment Text Char"/>
    <w:basedOn w:val="DefaultParagraphFont"/>
    <w:link w:val="CommentText"/>
    <w:uiPriority w:val="99"/>
    <w:semiHidden/>
    <w:rsid w:val="00EE424C"/>
    <w:rPr>
      <w:sz w:val="20"/>
      <w:szCs w:val="20"/>
    </w:rPr>
  </w:style>
  <w:style w:type="paragraph" w:styleId="CommentSubject">
    <w:name w:val="annotation subject"/>
    <w:basedOn w:val="CommentText"/>
    <w:next w:val="CommentText"/>
    <w:link w:val="CommentSubjectChar"/>
    <w:uiPriority w:val="99"/>
    <w:semiHidden/>
    <w:unhideWhenUsed/>
    <w:rsid w:val="00EE424C"/>
    <w:rPr>
      <w:b/>
      <w:bCs/>
    </w:rPr>
  </w:style>
  <w:style w:type="character" w:customStyle="1" w:styleId="CommentSubjectChar">
    <w:name w:val="Comment Subject Char"/>
    <w:basedOn w:val="CommentTextChar"/>
    <w:link w:val="CommentSubject"/>
    <w:uiPriority w:val="99"/>
    <w:semiHidden/>
    <w:rsid w:val="00EE424C"/>
    <w:rPr>
      <w:b/>
      <w:bCs/>
      <w:sz w:val="20"/>
      <w:szCs w:val="20"/>
    </w:rPr>
  </w:style>
  <w:style w:type="paragraph" w:styleId="Revision">
    <w:name w:val="Revision"/>
    <w:hidden/>
    <w:uiPriority w:val="99"/>
    <w:semiHidden/>
    <w:rsid w:val="003F7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FE1053"/>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aliases w:val="List Paragraph1,Recommendation,List Paragraph11"/>
    <w:basedOn w:val="Normal"/>
    <w:link w:val="ListParagraphChar"/>
    <w:uiPriority w:val="1"/>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EE424C"/>
    <w:rPr>
      <w:sz w:val="16"/>
      <w:szCs w:val="16"/>
    </w:rPr>
  </w:style>
  <w:style w:type="paragraph" w:styleId="CommentText">
    <w:name w:val="annotation text"/>
    <w:basedOn w:val="Normal"/>
    <w:link w:val="CommentTextChar"/>
    <w:uiPriority w:val="99"/>
    <w:semiHidden/>
    <w:unhideWhenUsed/>
    <w:rsid w:val="00EE424C"/>
    <w:pPr>
      <w:spacing w:line="240" w:lineRule="auto"/>
    </w:pPr>
    <w:rPr>
      <w:sz w:val="20"/>
      <w:szCs w:val="20"/>
    </w:rPr>
  </w:style>
  <w:style w:type="character" w:customStyle="1" w:styleId="CommentTextChar">
    <w:name w:val="Comment Text Char"/>
    <w:basedOn w:val="DefaultParagraphFont"/>
    <w:link w:val="CommentText"/>
    <w:uiPriority w:val="99"/>
    <w:semiHidden/>
    <w:rsid w:val="00EE424C"/>
    <w:rPr>
      <w:sz w:val="20"/>
      <w:szCs w:val="20"/>
    </w:rPr>
  </w:style>
  <w:style w:type="paragraph" w:styleId="CommentSubject">
    <w:name w:val="annotation subject"/>
    <w:basedOn w:val="CommentText"/>
    <w:next w:val="CommentText"/>
    <w:link w:val="CommentSubjectChar"/>
    <w:uiPriority w:val="99"/>
    <w:semiHidden/>
    <w:unhideWhenUsed/>
    <w:rsid w:val="00EE424C"/>
    <w:rPr>
      <w:b/>
      <w:bCs/>
    </w:rPr>
  </w:style>
  <w:style w:type="character" w:customStyle="1" w:styleId="CommentSubjectChar">
    <w:name w:val="Comment Subject Char"/>
    <w:basedOn w:val="CommentTextChar"/>
    <w:link w:val="CommentSubject"/>
    <w:uiPriority w:val="99"/>
    <w:semiHidden/>
    <w:rsid w:val="00EE424C"/>
    <w:rPr>
      <w:b/>
      <w:bCs/>
      <w:sz w:val="20"/>
      <w:szCs w:val="20"/>
    </w:rPr>
  </w:style>
  <w:style w:type="paragraph" w:styleId="Revision">
    <w:name w:val="Revision"/>
    <w:hidden/>
    <w:uiPriority w:val="99"/>
    <w:semiHidden/>
    <w:rsid w:val="003F7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sites/greens.org.au/files/increasing%20rent%20assist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2C3EA7-EFD5-4A46-9DA9-07E33726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8</TotalTime>
  <Pages>4</Pages>
  <Words>867</Words>
  <Characters>4738</Characters>
  <Application>Microsoft Office Word</Application>
  <DocSecurity>0</DocSecurity>
  <Lines>169</Lines>
  <Paragraphs>143</Paragraphs>
  <ScaleCrop>false</ScaleCrop>
  <HeadingPairs>
    <vt:vector size="2" baseType="variant">
      <vt:variant>
        <vt:lpstr>Title</vt:lpstr>
      </vt:variant>
      <vt:variant>
        <vt:i4>1</vt:i4>
      </vt:variant>
    </vt:vector>
  </HeadingPairs>
  <TitlesOfParts>
    <vt:vector size="1" baseType="lpstr">
      <vt:lpstr>PBO - GRN079 - Increasing Rent Assistance by 30 per cent - 1 July 2016</vt:lpstr>
    </vt:vector>
  </TitlesOfParts>
  <Company>Parliament of Australia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GRN079 - Increasing Rent Assistance by 30 per cent - 1 July 2016</dc:title>
  <dc:creator>PBO@pbo.gov.au</dc:creator>
  <cp:lastModifiedBy>Moorhouse, Helen (PBO)</cp:lastModifiedBy>
  <cp:revision>7</cp:revision>
  <cp:lastPrinted>2016-07-01T04:27:00Z</cp:lastPrinted>
  <dcterms:created xsi:type="dcterms:W3CDTF">2016-07-01T04:35:00Z</dcterms:created>
  <dcterms:modified xsi:type="dcterms:W3CDTF">2016-07-01T05:00:00Z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