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E162E8" w:rsidP="002473AF">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 Richard Di Natale</w:t>
      </w:r>
    </w:p>
    <w:p w:rsidR="002473AF" w:rsidRPr="00002D5D" w:rsidRDefault="002473AF" w:rsidP="002473AF">
      <w:pPr>
        <w:spacing w:before="0" w:after="0" w:line="240" w:lineRule="auto"/>
        <w:rPr>
          <w:rFonts w:ascii="Times New Roman" w:hAnsi="Times New Roman" w:cs="Times New Roman"/>
          <w:sz w:val="24"/>
          <w:szCs w:val="24"/>
        </w:rPr>
      </w:pPr>
      <w:r w:rsidRPr="002473AF">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2473AF" w:rsidRPr="006C473F">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EB5FC3" w:rsidRPr="00EB5FC3">
        <w:rPr>
          <w:i/>
        </w:rPr>
        <w:t>Migrant Communities Employment Fund</w:t>
      </w:r>
      <w:r w:rsidRPr="00002D5D">
        <w:t xml:space="preserve"> (letter of </w:t>
      </w:r>
      <w:r w:rsidR="00BF5408">
        <w:t>30</w:t>
      </w:r>
      <w:r w:rsidR="002473AF">
        <w:t xml:space="preserve"> June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9B78F6">
        <w:t>Brown on (02) 6277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D2359C" w:rsidP="00D2359C">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2473AF">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ook w:val="04A0" w:firstRow="1" w:lastRow="0" w:firstColumn="1" w:lastColumn="0" w:noHBand="0" w:noVBand="1"/>
      </w:tblPr>
      <w:tblGrid>
        <w:gridCol w:w="3005"/>
        <w:gridCol w:w="5335"/>
      </w:tblGrid>
      <w:tr w:rsidR="004D5525" w:rsidTr="004D5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E162E8">
            <w:r>
              <w:t>Name of proposal:</w:t>
            </w:r>
          </w:p>
        </w:tc>
        <w:tc>
          <w:tcPr>
            <w:tcW w:w="5335" w:type="dxa"/>
          </w:tcPr>
          <w:p w:rsidR="004D5525" w:rsidRDefault="00EB5FC3" w:rsidP="00E162E8">
            <w:pPr>
              <w:cnfStyle w:val="100000000000" w:firstRow="1" w:lastRow="0" w:firstColumn="0" w:lastColumn="0" w:oddVBand="0" w:evenVBand="0" w:oddHBand="0" w:evenHBand="0" w:firstRowFirstColumn="0" w:firstRowLastColumn="0" w:lastRowFirstColumn="0" w:lastRowLastColumn="0"/>
            </w:pPr>
            <w:r w:rsidRPr="00EB5FC3">
              <w:t>Migrant Communities Employment Fund</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E162E8">
            <w:r>
              <w:t>Summary of proposal:</w:t>
            </w:r>
          </w:p>
        </w:tc>
        <w:tc>
          <w:tcPr>
            <w:tcW w:w="5335" w:type="dxa"/>
          </w:tcPr>
          <w:p w:rsidR="00CE6F4C" w:rsidRDefault="00EB5FC3" w:rsidP="00E162E8">
            <w:pPr>
              <w:cnfStyle w:val="000000100000" w:firstRow="0" w:lastRow="0" w:firstColumn="0" w:lastColumn="0" w:oddVBand="0" w:evenVBand="0" w:oddHBand="1" w:evenHBand="0" w:firstRowFirstColumn="0" w:firstRowLastColumn="0" w:lastRowFirstColumn="0" w:lastRowLastColumn="0"/>
            </w:pPr>
            <w:r w:rsidRPr="00E16868">
              <w:t xml:space="preserve">The proposal would re-establish the Migrant Communities Employment Fund with $22 million in funding over </w:t>
            </w:r>
            <w:r w:rsidR="00CE6F4C">
              <w:t>the Budget 2016</w:t>
            </w:r>
            <w:r w:rsidR="00CE6F4C">
              <w:noBreakHyphen/>
              <w:t>17 forward estimates.</w:t>
            </w:r>
          </w:p>
          <w:p w:rsidR="004D5525" w:rsidRDefault="00CE6F4C" w:rsidP="00E162E8">
            <w:pPr>
              <w:cnfStyle w:val="000000100000" w:firstRow="0" w:lastRow="0" w:firstColumn="0" w:lastColumn="0" w:oddVBand="0" w:evenVBand="0" w:oddHBand="1" w:evenHBand="0" w:firstRowFirstColumn="0" w:firstRowLastColumn="0" w:lastRowFirstColumn="0" w:lastRowLastColumn="0"/>
            </w:pPr>
            <w:r>
              <w:t>Funding would be evenly distributed across each of the 2016</w:t>
            </w:r>
            <w:r>
              <w:noBreakHyphen/>
              <w:t xml:space="preserve">17 Budget forward estimate years. </w:t>
            </w:r>
            <w:r w:rsidR="00C45601">
              <w:t xml:space="preserve"> </w:t>
            </w:r>
            <w:r>
              <w:t>A</w:t>
            </w:r>
            <w:r w:rsidR="00EB5FC3">
              <w:t>dministration costs would be in addition to the capped funding amount specified above.</w:t>
            </w:r>
          </w:p>
          <w:p w:rsidR="00CE6F4C" w:rsidRDefault="00CE6F4C" w:rsidP="00E162E8">
            <w:pPr>
              <w:cnfStyle w:val="000000100000" w:firstRow="0" w:lastRow="0" w:firstColumn="0" w:lastColumn="0" w:oddVBand="0" w:evenVBand="0" w:oddHBand="1" w:evenHBand="0" w:firstRowFirstColumn="0" w:firstRowLastColumn="0" w:lastRowFirstColumn="0" w:lastRowLastColumn="0"/>
            </w:pPr>
            <w:r>
              <w:t>This proposal would commence on 1 September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E162E8">
            <w:r>
              <w:t>Person/party requesting costing:</w:t>
            </w:r>
          </w:p>
        </w:tc>
        <w:tc>
          <w:tcPr>
            <w:tcW w:w="5335" w:type="dxa"/>
          </w:tcPr>
          <w:p w:rsidR="004D5525" w:rsidRDefault="00376E63" w:rsidP="00E162E8">
            <w:pPr>
              <w:cnfStyle w:val="000000000000" w:firstRow="0" w:lastRow="0" w:firstColumn="0" w:lastColumn="0" w:oddVBand="0" w:evenVBand="0" w:oddHBand="0" w:evenHBand="0" w:firstRowFirstColumn="0" w:firstRowLastColumn="0" w:lastRowFirstColumn="0" w:lastRowLastColumn="0"/>
            </w:pPr>
            <w:r w:rsidRPr="00376E63">
              <w:t>Senator Richard Di Natale, Australian Greens</w:t>
            </w:r>
          </w:p>
        </w:tc>
      </w:tr>
      <w:tr w:rsidR="009B78F6" w:rsidTr="00522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9B78F6" w:rsidRDefault="009B78F6" w:rsidP="00E162E8">
            <w:r>
              <w:t>Date of public release of policy:</w:t>
            </w:r>
          </w:p>
        </w:tc>
        <w:tc>
          <w:tcPr>
            <w:tcW w:w="5335" w:type="dxa"/>
          </w:tcPr>
          <w:p w:rsidR="00BF5408" w:rsidRDefault="00BF5408" w:rsidP="00E162E8">
            <w:pPr>
              <w:cnfStyle w:val="000000100000" w:firstRow="0" w:lastRow="0" w:firstColumn="0" w:lastColumn="0" w:oddVBand="0" w:evenVBand="0" w:oddHBand="1" w:evenHBand="0" w:firstRowFirstColumn="0" w:firstRowLastColumn="0" w:lastRowFirstColumn="0" w:lastRowLastColumn="0"/>
            </w:pPr>
            <w:r>
              <w:t>29 June 2016</w:t>
            </w:r>
            <w:r w:rsidR="009B78F6" w:rsidRPr="00C17112">
              <w:t xml:space="preserve">  </w:t>
            </w:r>
          </w:p>
          <w:p w:rsidR="009B78F6" w:rsidRPr="00C17112" w:rsidRDefault="00914531" w:rsidP="00E162E8">
            <w:pPr>
              <w:cnfStyle w:val="000000100000" w:firstRow="0" w:lastRow="0" w:firstColumn="0" w:lastColumn="0" w:oddVBand="0" w:evenVBand="0" w:oddHBand="1" w:evenHBand="0" w:firstRowFirstColumn="0" w:firstRowLastColumn="0" w:lastRowFirstColumn="0" w:lastRowLastColumn="0"/>
            </w:pPr>
            <w:hyperlink r:id="rId13" w:history="1">
              <w:r w:rsidR="00BF5408" w:rsidRPr="00C17553">
                <w:rPr>
                  <w:rStyle w:val="Hyperlink"/>
                  <w:color w:val="2398C9"/>
                  <w:bdr w:val="none" w:sz="0" w:space="0" w:color="auto" w:frame="1"/>
                  <w:shd w:val="clear" w:color="auto" w:fill="FFFFFF"/>
                </w:rPr>
                <w:t>http://www.adambandt.com/160629</w:t>
              </w:r>
            </w:hyperlink>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E162E8">
            <w:r>
              <w:t>Date costing request received:</w:t>
            </w:r>
          </w:p>
        </w:tc>
        <w:tc>
          <w:tcPr>
            <w:tcW w:w="5335" w:type="dxa"/>
          </w:tcPr>
          <w:p w:rsidR="004D5525" w:rsidRDefault="00BF5408" w:rsidP="00E162E8">
            <w:pPr>
              <w:cnfStyle w:val="000000000000" w:firstRow="0" w:lastRow="0" w:firstColumn="0" w:lastColumn="0" w:oddVBand="0" w:evenVBand="0" w:oddHBand="0" w:evenHBand="0" w:firstRowFirstColumn="0" w:firstRowLastColumn="0" w:lastRowFirstColumn="0" w:lastRowLastColumn="0"/>
            </w:pPr>
            <w:r>
              <w:t>30</w:t>
            </w:r>
            <w:r w:rsidR="00376E63">
              <w:t xml:space="preserve"> June 2016</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E162E8">
            <w:r>
              <w:t>Date costing completed</w:t>
            </w:r>
            <w:r w:rsidR="00E162E8">
              <w:t>:</w:t>
            </w:r>
          </w:p>
        </w:tc>
        <w:tc>
          <w:tcPr>
            <w:tcW w:w="5335" w:type="dxa"/>
          </w:tcPr>
          <w:p w:rsidR="004D5525" w:rsidRPr="00C17112" w:rsidRDefault="00BF5408" w:rsidP="00E162E8">
            <w:pPr>
              <w:cnfStyle w:val="000000100000" w:firstRow="0" w:lastRow="0" w:firstColumn="0" w:lastColumn="0" w:oddVBand="0" w:evenVBand="0" w:oddHBand="1" w:evenHBand="0" w:firstRowFirstColumn="0" w:firstRowLastColumn="0" w:lastRowFirstColumn="0" w:lastRowLastColumn="0"/>
            </w:pPr>
            <w:r>
              <w:t>30</w:t>
            </w:r>
            <w:r w:rsidR="00376E63">
              <w:t xml:space="preserve"> June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E162E8">
            <w:r w:rsidRPr="00220BE5">
              <w:t>Expiry date for the costing:</w:t>
            </w:r>
          </w:p>
        </w:tc>
        <w:tc>
          <w:tcPr>
            <w:tcW w:w="5335" w:type="dxa"/>
          </w:tcPr>
          <w:p w:rsidR="004D5525" w:rsidRPr="00220BE5" w:rsidRDefault="0041251A" w:rsidP="00E162E8">
            <w:pPr>
              <w:cnfStyle w:val="000000000000" w:firstRow="0" w:lastRow="0" w:firstColumn="0" w:lastColumn="0" w:oddVBand="0" w:evenVBand="0" w:oddHBand="0" w:evenHBand="0" w:firstRowFirstColumn="0" w:firstRowLastColumn="0" w:lastRowFirstColumn="0" w:lastRowLastColumn="0"/>
            </w:pPr>
            <w:r w:rsidRPr="002434ED">
              <w:t>Release of the next economic and fiscal outlook report</w:t>
            </w:r>
          </w:p>
        </w:tc>
      </w:tr>
    </w:tbl>
    <w:p w:rsidR="0055581F" w:rsidRPr="00002D5D" w:rsidRDefault="008030EC" w:rsidP="00FC6579">
      <w:pPr>
        <w:pStyle w:val="Heading2"/>
      </w:pPr>
      <w:r w:rsidRPr="00002D5D">
        <w:t>Costing overview</w:t>
      </w:r>
    </w:p>
    <w:p w:rsidR="00EB5FC3" w:rsidRDefault="00EB5FC3" w:rsidP="00EB5FC3">
      <w:r w:rsidRPr="001D00AD">
        <w:t xml:space="preserve">This proposal would be expected to </w:t>
      </w:r>
      <w:r>
        <w:t>decrease both</w:t>
      </w:r>
      <w:r w:rsidRPr="001D00AD">
        <w:t xml:space="preserve"> the</w:t>
      </w:r>
      <w:r w:rsidR="00C45601">
        <w:t xml:space="preserve"> fiscal and</w:t>
      </w:r>
      <w:r w:rsidRPr="001D00AD">
        <w:t xml:space="preserve"> underlying cash balances by $</w:t>
      </w:r>
      <w:r>
        <w:t>22.7</w:t>
      </w:r>
      <w:r w:rsidRPr="001D00AD">
        <w:t> million over the 201</w:t>
      </w:r>
      <w:r>
        <w:t>6</w:t>
      </w:r>
      <w:r w:rsidRPr="001D00AD">
        <w:t>-1</w:t>
      </w:r>
      <w:r>
        <w:t>7</w:t>
      </w:r>
      <w:r w:rsidRPr="001D00AD">
        <w:t xml:space="preserve"> Budget forward estimates period.  This reflects </w:t>
      </w:r>
      <w:r>
        <w:t>an</w:t>
      </w:r>
      <w:r w:rsidRPr="001D00AD">
        <w:t xml:space="preserve"> increase in administered expen</w:t>
      </w:r>
      <w:r w:rsidR="00C45601">
        <w:t>ses</w:t>
      </w:r>
      <w:r w:rsidRPr="001D00AD">
        <w:t xml:space="preserve"> of $</w:t>
      </w:r>
      <w:r>
        <w:t>22.0</w:t>
      </w:r>
      <w:r w:rsidRPr="001D00AD">
        <w:t> million</w:t>
      </w:r>
      <w:r>
        <w:t xml:space="preserve"> </w:t>
      </w:r>
      <w:r w:rsidRPr="001D00AD">
        <w:t>and</w:t>
      </w:r>
      <w:r>
        <w:t xml:space="preserve"> an increase</w:t>
      </w:r>
      <w:r w:rsidRPr="001D00AD">
        <w:t xml:space="preserve"> in departmental expen</w:t>
      </w:r>
      <w:r w:rsidR="00C45601">
        <w:t>s</w:t>
      </w:r>
      <w:r w:rsidRPr="001D00AD">
        <w:t>e</w:t>
      </w:r>
      <w:r w:rsidR="00C45601">
        <w:t>s</w:t>
      </w:r>
      <w:r w:rsidRPr="001D00AD">
        <w:t xml:space="preserve"> of $</w:t>
      </w:r>
      <w:r>
        <w:t>0.7</w:t>
      </w:r>
      <w:r w:rsidRPr="001D00AD">
        <w:t> million.</w:t>
      </w:r>
      <w:r>
        <w:t xml:space="preserve"> </w:t>
      </w:r>
      <w:r w:rsidR="00117D74">
        <w:t xml:space="preserve"> </w:t>
      </w:r>
      <w:r>
        <w:t xml:space="preserve">A breakdown of </w:t>
      </w:r>
      <w:r w:rsidR="00A75B39">
        <w:t xml:space="preserve">the </w:t>
      </w:r>
      <w:r w:rsidR="00642AB6">
        <w:t>financial implications</w:t>
      </w:r>
      <w:r>
        <w:t xml:space="preserve"> is provided at </w:t>
      </w:r>
      <w:r w:rsidRPr="00945C0E">
        <w:rPr>
          <w:u w:val="single"/>
        </w:rPr>
        <w:t>Attachment A</w:t>
      </w:r>
      <w:r>
        <w:t>.</w:t>
      </w:r>
    </w:p>
    <w:p w:rsidR="00EB5FC3" w:rsidRDefault="00EB5FC3" w:rsidP="00EB5FC3">
      <w:r>
        <w:t>The proposal would not</w:t>
      </w:r>
      <w:r w:rsidR="00BF5408">
        <w:t xml:space="preserve"> be expected to</w:t>
      </w:r>
      <w:r>
        <w:t xml:space="preserve"> have an impact beyond the</w:t>
      </w:r>
      <w:r w:rsidR="00BF5408">
        <w:t xml:space="preserve"> 2016</w:t>
      </w:r>
      <w:r w:rsidR="00BF5408">
        <w:noBreakHyphen/>
        <w:t>17 Budget</w:t>
      </w:r>
      <w:r>
        <w:t xml:space="preserve"> forward estimates as </w:t>
      </w:r>
      <w:r w:rsidR="00BF5408">
        <w:t>funding for the proposal would terminate on 30 June 2020.</w:t>
      </w:r>
    </w:p>
    <w:p w:rsidR="00EB5FC3" w:rsidRPr="00E26F7C" w:rsidRDefault="00EB5FC3" w:rsidP="00EB5FC3">
      <w:r>
        <w:t xml:space="preserve">The costing is considered to be of </w:t>
      </w:r>
      <w:r w:rsidRPr="00BF6457">
        <w:t>high</w:t>
      </w:r>
      <w:r>
        <w:t xml:space="preserve"> reliability as it is based on specified capped amounts and the application of administrative costs based on similar programs.</w:t>
      </w:r>
    </w:p>
    <w:p w:rsidR="005E3562" w:rsidRPr="00FC6579" w:rsidRDefault="005E3562" w:rsidP="00FC6579">
      <w:pPr>
        <w:pStyle w:val="Captionheading"/>
      </w:pPr>
      <w:r w:rsidRPr="00FC6579">
        <w:lastRenderedPageBreak/>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641835">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D71CE6" w:rsidRDefault="00CA5D42" w:rsidP="00E162E8">
            <w:pPr>
              <w:pStyle w:val="TableText"/>
              <w:keepNext/>
              <w:keepLines/>
              <w:spacing w:line="240" w:lineRule="auto"/>
              <w:ind w:left="57" w:right="57"/>
              <w:rPr>
                <w:rFonts w:ascii="Calibri" w:hAnsi="Calibri"/>
                <w:b w:val="0"/>
                <w:szCs w:val="20"/>
              </w:rPr>
            </w:pPr>
            <w:r w:rsidRPr="00D71CE6">
              <w:rPr>
                <w:rFonts w:ascii="Calibri" w:hAnsi="Calibri"/>
                <w:b w:val="0"/>
                <w:szCs w:val="20"/>
              </w:rPr>
              <w:t>Impact on</w:t>
            </w:r>
            <w:r w:rsidR="00461597" w:rsidRPr="00D71CE6">
              <w:rPr>
                <w:rFonts w:ascii="Calibri" w:hAnsi="Calibri"/>
                <w:b w:val="0"/>
                <w:szCs w:val="20"/>
              </w:rPr>
              <w:t xml:space="preserve"> ($m)</w:t>
            </w:r>
          </w:p>
        </w:tc>
        <w:tc>
          <w:tcPr>
            <w:tcW w:w="682" w:type="pct"/>
          </w:tcPr>
          <w:p w:rsidR="00CA5D42" w:rsidRPr="00D71CE6" w:rsidRDefault="00CA5D42" w:rsidP="00E162E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D71CE6">
              <w:rPr>
                <w:rFonts w:ascii="Calibri" w:hAnsi="Calibri"/>
                <w:b w:val="0"/>
                <w:sz w:val="20"/>
                <w:szCs w:val="20"/>
              </w:rPr>
              <w:t>2016–17</w:t>
            </w:r>
          </w:p>
        </w:tc>
        <w:tc>
          <w:tcPr>
            <w:tcW w:w="682" w:type="pct"/>
          </w:tcPr>
          <w:p w:rsidR="00CA5D42" w:rsidRPr="00D71CE6" w:rsidRDefault="00CA5D42" w:rsidP="00E162E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D71CE6">
              <w:rPr>
                <w:rFonts w:ascii="Calibri" w:hAnsi="Calibri"/>
                <w:b w:val="0"/>
                <w:sz w:val="20"/>
                <w:szCs w:val="20"/>
              </w:rPr>
              <w:t>2017–18</w:t>
            </w:r>
          </w:p>
        </w:tc>
        <w:tc>
          <w:tcPr>
            <w:tcW w:w="682" w:type="pct"/>
          </w:tcPr>
          <w:p w:rsidR="00CA5D42" w:rsidRPr="00D71CE6" w:rsidRDefault="00CA5D42" w:rsidP="00E162E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D71CE6">
              <w:rPr>
                <w:rFonts w:ascii="Calibri" w:hAnsi="Calibri"/>
                <w:b w:val="0"/>
                <w:sz w:val="20"/>
                <w:szCs w:val="20"/>
              </w:rPr>
              <w:t>2018–19</w:t>
            </w:r>
          </w:p>
        </w:tc>
        <w:tc>
          <w:tcPr>
            <w:tcW w:w="682" w:type="pct"/>
          </w:tcPr>
          <w:p w:rsidR="00CA5D42" w:rsidRPr="00D71CE6" w:rsidRDefault="00CA5D42" w:rsidP="00E162E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D71CE6">
              <w:rPr>
                <w:rFonts w:ascii="Calibri" w:hAnsi="Calibri"/>
                <w:b w:val="0"/>
                <w:sz w:val="20"/>
                <w:szCs w:val="20"/>
              </w:rPr>
              <w:t>2019–20</w:t>
            </w:r>
          </w:p>
        </w:tc>
        <w:tc>
          <w:tcPr>
            <w:tcW w:w="681" w:type="pct"/>
          </w:tcPr>
          <w:p w:rsidR="00CA5D42" w:rsidRPr="00B73AC8" w:rsidRDefault="00CA5D42" w:rsidP="00E162E8">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Total</w:t>
            </w:r>
          </w:p>
        </w:tc>
      </w:tr>
      <w:tr w:rsidR="00EA265F"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A265F" w:rsidRPr="00B73AC8" w:rsidRDefault="00EA265F" w:rsidP="00E162E8">
            <w:pPr>
              <w:pStyle w:val="TableTextCentred"/>
              <w:keepNext/>
              <w:keepLines/>
              <w:spacing w:line="240" w:lineRule="auto"/>
              <w:ind w:left="57" w:right="57"/>
              <w:jc w:val="left"/>
              <w:rPr>
                <w:rFonts w:ascii="Calibri" w:hAnsi="Calibri"/>
                <w:szCs w:val="20"/>
              </w:rPr>
            </w:pPr>
            <w:r w:rsidRPr="00B73AC8">
              <w:rPr>
                <w:rFonts w:ascii="Calibri" w:hAnsi="Calibri"/>
                <w:szCs w:val="20"/>
              </w:rPr>
              <w:t>Fiscal balance</w:t>
            </w:r>
          </w:p>
        </w:tc>
        <w:tc>
          <w:tcPr>
            <w:tcW w:w="682" w:type="pct"/>
          </w:tcPr>
          <w:p w:rsidR="00EA265F" w:rsidRPr="00B73AC8" w:rsidRDefault="00EB5FC3" w:rsidP="00E162E8">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A265F" w:rsidRPr="00B73AC8" w:rsidRDefault="00EB5FC3" w:rsidP="00E162E8">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A265F" w:rsidRPr="00B73AC8" w:rsidRDefault="00EB5FC3" w:rsidP="00E162E8">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A265F" w:rsidRPr="00B73AC8" w:rsidRDefault="00EB5FC3" w:rsidP="00E162E8">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-5.7</w:t>
            </w:r>
          </w:p>
        </w:tc>
        <w:tc>
          <w:tcPr>
            <w:tcW w:w="681" w:type="pct"/>
          </w:tcPr>
          <w:p w:rsidR="00EA265F" w:rsidRPr="00D71CE6" w:rsidRDefault="00EB5FC3" w:rsidP="00E162E8">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sidRPr="00D71CE6">
              <w:rPr>
                <w:rFonts w:ascii="Calibri" w:hAnsi="Calibri"/>
                <w:b/>
                <w:szCs w:val="20"/>
              </w:rPr>
              <w:t>-22.7</w:t>
            </w:r>
          </w:p>
        </w:tc>
      </w:tr>
      <w:tr w:rsidR="00EB5FC3"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EB5FC3" w:rsidRPr="00B73AC8" w:rsidRDefault="00EB5FC3" w:rsidP="00E162E8">
            <w:pPr>
              <w:pStyle w:val="TableTextCentred"/>
              <w:keepNext/>
              <w:keepLines/>
              <w:spacing w:line="240" w:lineRule="auto"/>
              <w:ind w:left="57" w:right="57"/>
              <w:jc w:val="left"/>
              <w:rPr>
                <w:rFonts w:ascii="Calibri" w:hAnsi="Calibri"/>
                <w:szCs w:val="20"/>
              </w:rPr>
            </w:pPr>
            <w:r w:rsidRPr="00B73AC8">
              <w:rPr>
                <w:rFonts w:ascii="Calibri" w:hAnsi="Calibri"/>
                <w:szCs w:val="20"/>
              </w:rPr>
              <w:t>Underlying cash balance</w:t>
            </w:r>
          </w:p>
        </w:tc>
        <w:tc>
          <w:tcPr>
            <w:tcW w:w="682" w:type="pct"/>
          </w:tcPr>
          <w:p w:rsidR="00EB5FC3" w:rsidRPr="00B73AC8" w:rsidRDefault="00EB5FC3" w:rsidP="00E162E8">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B5FC3" w:rsidRPr="00B73AC8" w:rsidRDefault="00EB5FC3" w:rsidP="00E162E8">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B5FC3" w:rsidRPr="00B73AC8" w:rsidRDefault="00EB5FC3" w:rsidP="00E162E8">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-5.7</w:t>
            </w:r>
          </w:p>
        </w:tc>
        <w:tc>
          <w:tcPr>
            <w:tcW w:w="682" w:type="pct"/>
          </w:tcPr>
          <w:p w:rsidR="00EB5FC3" w:rsidRPr="00B73AC8" w:rsidRDefault="00EB5FC3" w:rsidP="00E162E8">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-5.7</w:t>
            </w:r>
          </w:p>
        </w:tc>
        <w:tc>
          <w:tcPr>
            <w:tcW w:w="681" w:type="pct"/>
          </w:tcPr>
          <w:p w:rsidR="00EB5FC3" w:rsidRPr="00D71CE6" w:rsidRDefault="00EB5FC3" w:rsidP="00E162E8">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D71CE6">
              <w:rPr>
                <w:rFonts w:ascii="Calibri" w:hAnsi="Calibri"/>
                <w:b/>
                <w:szCs w:val="20"/>
              </w:rPr>
              <w:t>-22.7</w:t>
            </w:r>
          </w:p>
        </w:tc>
      </w:tr>
    </w:tbl>
    <w:p w:rsidR="00641835" w:rsidRPr="00641835" w:rsidRDefault="00641835" w:rsidP="00641835">
      <w:pPr>
        <w:pStyle w:val="Footnotes"/>
        <w:keepNext/>
        <w:numPr>
          <w:ilvl w:val="0"/>
          <w:numId w:val="15"/>
        </w:numPr>
        <w:ind w:left="284" w:hanging="284"/>
        <w:rPr>
          <w:rFonts w:ascii="Calibri" w:hAnsi="Calibri"/>
        </w:rPr>
      </w:pPr>
      <w:r w:rsidRPr="00641835">
        <w:t>A positive number indicates an increase in the relevant budget balance, a negative number a decrease.</w:t>
      </w:r>
    </w:p>
    <w:p w:rsidR="00641835" w:rsidRPr="00641835" w:rsidRDefault="00641835" w:rsidP="00641835">
      <w:pPr>
        <w:pStyle w:val="Footnotes"/>
        <w:keepNext/>
        <w:numPr>
          <w:ilvl w:val="0"/>
          <w:numId w:val="15"/>
        </w:numPr>
        <w:ind w:left="284" w:hanging="284"/>
        <w:rPr>
          <w:rFonts w:ascii="Times New Roman" w:eastAsia="Times New Roman" w:hAnsi="Times New Roman"/>
          <w:lang w:eastAsia="en-AU"/>
        </w:rPr>
      </w:pPr>
      <w:r w:rsidRPr="00641835">
        <w:t>Figures may not sum to totals due to rounding.</w:t>
      </w:r>
    </w:p>
    <w:p w:rsidR="008D3909" w:rsidRPr="00FC6579" w:rsidRDefault="005E3562" w:rsidP="00E40B8B">
      <w:pPr>
        <w:pStyle w:val="Heading2"/>
      </w:pPr>
      <w:r w:rsidRPr="00FC6579">
        <w:t>Key assumptions</w:t>
      </w:r>
    </w:p>
    <w:p w:rsidR="005E3562" w:rsidRPr="00002D5D" w:rsidRDefault="00EB5FC3" w:rsidP="00FC6579">
      <w:r>
        <w:t>It has been assumed that a full year of funding would be provided in 2016-17.</w:t>
      </w:r>
    </w:p>
    <w:p w:rsidR="005E3562" w:rsidRPr="00FC6579" w:rsidRDefault="005E3562" w:rsidP="00E40B8B">
      <w:pPr>
        <w:pStyle w:val="Heading2"/>
      </w:pPr>
      <w:r w:rsidRPr="00FC6579">
        <w:t>Methodology</w:t>
      </w:r>
    </w:p>
    <w:p w:rsidR="00EB5FC3" w:rsidRDefault="00EB5FC3" w:rsidP="00EB5FC3">
      <w:r>
        <w:t>Administered expen</w:t>
      </w:r>
      <w:r w:rsidR="00C45601">
        <w:t>se</w:t>
      </w:r>
      <w:r>
        <w:t xml:space="preserve"> estimates are as specified in the request.  </w:t>
      </w:r>
      <w:r w:rsidR="00D07A9F">
        <w:t>The d</w:t>
      </w:r>
      <w:r>
        <w:t>epartmental expen</w:t>
      </w:r>
      <w:r w:rsidR="00C45601">
        <w:t>se</w:t>
      </w:r>
      <w:r>
        <w:t xml:space="preserve"> </w:t>
      </w:r>
      <w:r w:rsidR="00D07A9F" w:rsidRPr="00D07A9F">
        <w:t>estimates are in addition to capped amounts, as specified, and are based on other like initiatives and estimates account for the net effect of indexation parameters and the efficiency dividend, in accordance with the Department of Finance’s costing practices.</w:t>
      </w:r>
    </w:p>
    <w:p w:rsidR="005E3562" w:rsidRPr="00FC6579" w:rsidRDefault="005E3562" w:rsidP="00E40B8B">
      <w:pPr>
        <w:pStyle w:val="Heading2"/>
      </w:pPr>
      <w:r w:rsidRPr="00FC6579">
        <w:t>Data sources</w:t>
      </w:r>
    </w:p>
    <w:p w:rsidR="00117D74" w:rsidRDefault="00117D74" w:rsidP="00117D74">
      <w:r>
        <w:t>Department of Finance provided indexation and efficiency dividend parameters</w:t>
      </w:r>
      <w:r w:rsidR="002F2949">
        <w:t>.</w:t>
      </w:r>
    </w:p>
    <w:p w:rsidR="00E162E8" w:rsidRDefault="00E162E8" w:rsidP="00117D74"/>
    <w:p w:rsidR="00E162E8" w:rsidRDefault="00E162E8">
      <w:pPr>
        <w:spacing w:before="0" w:after="200" w:line="276" w:lineRule="auto"/>
        <w:sectPr w:rsidR="00E162E8" w:rsidSect="00EB5FC3">
          <w:headerReference w:type="first" r:id="rId14"/>
          <w:footerReference w:type="first" r:id="rId15"/>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E737B7">
        <w:t xml:space="preserve"> </w:t>
      </w:r>
      <w:r w:rsidR="00EB5FC3" w:rsidRPr="00EB5FC3">
        <w:t>Migrant Communities Employment Fund</w:t>
      </w:r>
      <w:r w:rsidR="00440E32">
        <w:t>—financial</w:t>
      </w:r>
      <w:r w:rsidR="00E162E8">
        <w:t> </w:t>
      </w:r>
      <w:r w:rsidR="00440E32">
        <w:t>implications</w:t>
      </w:r>
    </w:p>
    <w:p w:rsidR="00641835" w:rsidRPr="00E40B8B" w:rsidRDefault="00641835" w:rsidP="00641835">
      <w:pPr>
        <w:pStyle w:val="Captionheading"/>
        <w:rPr>
          <w:vertAlign w:val="superscript"/>
        </w:rPr>
      </w:pPr>
      <w:r w:rsidRPr="00FC6579">
        <w:t xml:space="preserve">Table </w:t>
      </w:r>
      <w:r>
        <w:t>A1</w:t>
      </w:r>
      <w:r w:rsidRPr="00FC6579">
        <w:t xml:space="preserve">: </w:t>
      </w:r>
      <w:r>
        <w:t>Migrant Communities Employment Fund—Financial implications (outturn prices</w:t>
      </w:r>
      <w:proofErr w:type="gramStart"/>
      <w:r>
        <w:t>)</w:t>
      </w:r>
      <w:r>
        <w:rPr>
          <w:vertAlign w:val="superscript"/>
        </w:rPr>
        <w:t>(</w:t>
      </w:r>
      <w:proofErr w:type="gramEnd"/>
      <w:r>
        <w:rPr>
          <w:vertAlign w:val="superscript"/>
        </w:rPr>
        <w:t>a)(b)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641835" w:rsidRPr="00EF1D6A" w:rsidTr="00E0106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641835" w:rsidRPr="00E162E8" w:rsidRDefault="00641835" w:rsidP="00E162E8">
            <w:pPr>
              <w:pStyle w:val="TableText"/>
              <w:keepNext/>
              <w:keepLines/>
              <w:spacing w:line="240" w:lineRule="auto"/>
              <w:ind w:left="57" w:right="57"/>
              <w:rPr>
                <w:rFonts w:ascii="Calibri" w:hAnsi="Calibri"/>
                <w:b w:val="0"/>
                <w:szCs w:val="20"/>
              </w:rPr>
            </w:pPr>
            <w:r w:rsidRPr="00E162E8">
              <w:rPr>
                <w:rFonts w:ascii="Calibri" w:hAnsi="Calibri"/>
                <w:b w:val="0"/>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E162E8" w:rsidRDefault="00641835" w:rsidP="00E162E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val="0"/>
                <w:szCs w:val="20"/>
              </w:rPr>
            </w:pPr>
            <w:r w:rsidRPr="00E162E8">
              <w:rPr>
                <w:b w:val="0"/>
              </w:rPr>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E162E8" w:rsidRDefault="00641835" w:rsidP="00E162E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val="0"/>
                <w:szCs w:val="20"/>
              </w:rPr>
            </w:pPr>
            <w:r w:rsidRPr="00E162E8">
              <w:rPr>
                <w:b w:val="0"/>
              </w:rPr>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E162E8" w:rsidRDefault="00641835" w:rsidP="00E162E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val="0"/>
                <w:szCs w:val="20"/>
              </w:rPr>
            </w:pPr>
            <w:r w:rsidRPr="00E162E8">
              <w:rPr>
                <w:b w:val="0"/>
              </w:rPr>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E162E8" w:rsidRDefault="00641835" w:rsidP="00E162E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val="0"/>
                <w:szCs w:val="20"/>
              </w:rPr>
            </w:pPr>
            <w:r w:rsidRPr="00E162E8">
              <w:rPr>
                <w:b w:val="0"/>
              </w:rPr>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AE30B5" w:rsidRDefault="00641835" w:rsidP="00E162E8">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val="0"/>
                <w:szCs w:val="20"/>
                <w:vertAlign w:val="superscript"/>
              </w:rPr>
            </w:pPr>
            <w:r w:rsidRPr="00AE30B5">
              <w:t>Total</w:t>
            </w:r>
            <w:r w:rsidRPr="00AE30B5">
              <w:rPr>
                <w:szCs w:val="20"/>
              </w:rPr>
              <w:t xml:space="preserve"> to 2019–20</w:t>
            </w:r>
          </w:p>
        </w:tc>
      </w:tr>
      <w:tr w:rsidR="00641835" w:rsidRPr="00EF1D6A" w:rsidTr="00E010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641835" w:rsidRPr="00AE30B5" w:rsidRDefault="00EF01BD" w:rsidP="00E162E8">
            <w:pPr>
              <w:pStyle w:val="TableHeadingCentred"/>
              <w:spacing w:line="240" w:lineRule="auto"/>
              <w:ind w:left="57" w:right="57"/>
              <w:jc w:val="left"/>
              <w:rPr>
                <w:b/>
              </w:rPr>
            </w:pPr>
            <w:r>
              <w:rPr>
                <w:b/>
              </w:rPr>
              <w:t>Impact on fiscal and underlying cash balances</w:t>
            </w:r>
          </w:p>
        </w:tc>
      </w:tr>
      <w:tr w:rsidR="00641835" w:rsidRPr="0066665A" w:rsidTr="000F0F61">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641835" w:rsidRPr="00BF5408" w:rsidRDefault="00641835" w:rsidP="00E162E8">
            <w:pPr>
              <w:pStyle w:val="TableTextCentred"/>
              <w:keepNext/>
              <w:keepLines/>
              <w:spacing w:line="240" w:lineRule="auto"/>
              <w:ind w:left="57" w:right="57"/>
              <w:jc w:val="left"/>
              <w:rPr>
                <w:szCs w:val="20"/>
              </w:rPr>
            </w:pPr>
            <w:r w:rsidRPr="00BF5408">
              <w:rPr>
                <w:szCs w:val="20"/>
              </w:rPr>
              <w:t>Administered</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BF5408">
              <w:rPr>
                <w:sz w:val="20"/>
                <w:szCs w:val="20"/>
              </w:rPr>
              <w:t xml:space="preserve">-5.5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BF5408">
              <w:rPr>
                <w:sz w:val="20"/>
                <w:szCs w:val="20"/>
              </w:rPr>
              <w:t xml:space="preserve">-5.5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BF5408">
              <w:rPr>
                <w:sz w:val="20"/>
                <w:szCs w:val="20"/>
              </w:rPr>
              <w:t xml:space="preserve">-5.5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BF5408">
              <w:rPr>
                <w:sz w:val="20"/>
                <w:szCs w:val="20"/>
              </w:rPr>
              <w:t xml:space="preserve">-5.5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BF5408">
              <w:rPr>
                <w:b/>
                <w:sz w:val="20"/>
                <w:szCs w:val="20"/>
              </w:rPr>
              <w:t xml:space="preserve">-22.0 </w:t>
            </w:r>
          </w:p>
        </w:tc>
      </w:tr>
      <w:tr w:rsidR="00641835" w:rsidRPr="0066665A" w:rsidTr="000F0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641835" w:rsidRPr="00BF5408" w:rsidRDefault="00641835" w:rsidP="00E162E8">
            <w:pPr>
              <w:pStyle w:val="TableTextCentred"/>
              <w:keepNext/>
              <w:keepLines/>
              <w:spacing w:line="240" w:lineRule="auto"/>
              <w:ind w:left="57" w:right="57"/>
              <w:jc w:val="left"/>
              <w:rPr>
                <w:szCs w:val="20"/>
              </w:rPr>
            </w:pPr>
            <w:r w:rsidRPr="00BF5408">
              <w:rPr>
                <w:szCs w:val="20"/>
              </w:rPr>
              <w:t>Departmental</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BF5408">
              <w:rPr>
                <w:sz w:val="20"/>
                <w:szCs w:val="20"/>
              </w:rPr>
              <w:t xml:space="preserve">-0.2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BF5408">
              <w:rPr>
                <w:sz w:val="20"/>
                <w:szCs w:val="20"/>
              </w:rPr>
              <w:t xml:space="preserve">-0.2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BF5408">
              <w:rPr>
                <w:sz w:val="20"/>
                <w:szCs w:val="20"/>
              </w:rPr>
              <w:t xml:space="preserve">-0.2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BF5408">
              <w:rPr>
                <w:sz w:val="20"/>
                <w:szCs w:val="20"/>
              </w:rPr>
              <w:t xml:space="preserve">-0.2 </w:t>
            </w:r>
          </w:p>
        </w:tc>
        <w:tc>
          <w:tcPr>
            <w:tcW w:w="682" w:type="pct"/>
            <w:tcBorders>
              <w:top w:val="single" w:sz="4" w:space="0" w:color="788184"/>
              <w:left w:val="single" w:sz="4" w:space="0" w:color="788184"/>
              <w:bottom w:val="single" w:sz="4" w:space="0" w:color="788184"/>
              <w:right w:val="single" w:sz="4" w:space="0" w:color="788184"/>
            </w:tcBorders>
            <w:vAlign w:val="center"/>
          </w:tcPr>
          <w:p w:rsidR="00641835" w:rsidRPr="00BF5408" w:rsidRDefault="00641835" w:rsidP="00E162E8">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sz w:val="20"/>
                <w:szCs w:val="20"/>
              </w:rPr>
            </w:pPr>
            <w:r w:rsidRPr="00BF5408">
              <w:rPr>
                <w:b/>
                <w:sz w:val="20"/>
                <w:szCs w:val="20"/>
              </w:rPr>
              <w:t xml:space="preserve">-0.7 </w:t>
            </w:r>
          </w:p>
        </w:tc>
      </w:tr>
      <w:tr w:rsidR="00641835" w:rsidRPr="0055406D" w:rsidTr="000F0F61">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641835" w:rsidRPr="0055406D" w:rsidRDefault="00641835" w:rsidP="00E162E8">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1835" w:rsidRPr="00D71CE6"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D71CE6">
              <w:rPr>
                <w:b/>
                <w:sz w:val="20"/>
                <w:szCs w:val="20"/>
              </w:rPr>
              <w:t xml:space="preserve">-5.7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1835" w:rsidRPr="00D71CE6"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D71CE6">
              <w:rPr>
                <w:b/>
                <w:sz w:val="20"/>
                <w:szCs w:val="20"/>
              </w:rPr>
              <w:t xml:space="preserve">-5.7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1835" w:rsidRPr="00D71CE6"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D71CE6">
              <w:rPr>
                <w:b/>
                <w:sz w:val="20"/>
                <w:szCs w:val="20"/>
              </w:rPr>
              <w:t xml:space="preserve">-5.7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1835" w:rsidRPr="00D71CE6"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D71CE6">
              <w:rPr>
                <w:b/>
                <w:sz w:val="20"/>
                <w:szCs w:val="20"/>
              </w:rPr>
              <w:t xml:space="preserve">-5.7 </w:t>
            </w:r>
          </w:p>
        </w:tc>
        <w:tc>
          <w:tcPr>
            <w:tcW w:w="682"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1835" w:rsidRPr="00D71CE6" w:rsidRDefault="00641835" w:rsidP="00E162E8">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D71CE6">
              <w:rPr>
                <w:b/>
                <w:sz w:val="20"/>
                <w:szCs w:val="20"/>
              </w:rPr>
              <w:t xml:space="preserve">-22.7 </w:t>
            </w:r>
          </w:p>
        </w:tc>
      </w:tr>
    </w:tbl>
    <w:p w:rsidR="00641835" w:rsidRPr="00641835" w:rsidRDefault="00641835" w:rsidP="00641835">
      <w:pPr>
        <w:pStyle w:val="Footnotes"/>
        <w:numPr>
          <w:ilvl w:val="0"/>
          <w:numId w:val="7"/>
        </w:numPr>
        <w:ind w:left="284" w:hanging="284"/>
      </w:pPr>
      <w:r w:rsidRPr="00641835">
        <w:t>A positive number indicates an increase in revenue or decrease in expenses or net capital investment in accrual and cash terms. A negative number indicates a decrease in revenue or an increase in expenses or net capital investment in accrual and cash terms.</w:t>
      </w:r>
    </w:p>
    <w:p w:rsidR="00507897" w:rsidRPr="00E162E8" w:rsidRDefault="00641835" w:rsidP="00E162E8">
      <w:pPr>
        <w:pStyle w:val="Footnotes"/>
      </w:pPr>
      <w:r>
        <w:t>Figures may not sum to totals due to rounding.</w:t>
      </w:r>
    </w:p>
    <w:sectPr w:rsidR="00507897" w:rsidRPr="00E162E8" w:rsidSect="00EB5FC3">
      <w:headerReference w:type="first" r:id="rId16"/>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20" w:rsidRDefault="00902B20" w:rsidP="008F588A">
      <w:pPr>
        <w:spacing w:line="240" w:lineRule="auto"/>
      </w:pPr>
      <w:r>
        <w:separator/>
      </w:r>
    </w:p>
    <w:p w:rsidR="00902B20" w:rsidRDefault="00902B20"/>
  </w:endnote>
  <w:endnote w:type="continuationSeparator" w:id="0">
    <w:p w:rsidR="00902B20" w:rsidRDefault="00902B20" w:rsidP="008F588A">
      <w:pPr>
        <w:spacing w:line="240" w:lineRule="auto"/>
      </w:pPr>
      <w:r>
        <w:continuationSeparator/>
      </w:r>
    </w:p>
    <w:p w:rsidR="00902B20" w:rsidRDefault="00902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0" w:rsidRPr="00C24267" w:rsidRDefault="001278D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14531">
      <w:rPr>
        <w:noProof/>
      </w:rPr>
      <w:t>3</w:t>
    </w:r>
    <w:r w:rsidRPr="00C24267">
      <w:fldChar w:fldCharType="end"/>
    </w:r>
    <w:r w:rsidRPr="00C24267">
      <w:t xml:space="preserve"> of </w:t>
    </w:r>
    <w:fldSimple w:instr=" NUMPAGES  \* Arabic  \* MERGEFORMAT ">
      <w:r w:rsidR="00914531">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0" w:rsidRPr="00C24267" w:rsidRDefault="001278D0" w:rsidP="00C24267">
    <w:pPr>
      <w:pStyle w:val="Letterfooter"/>
    </w:pPr>
    <w:r w:rsidRPr="00C24267">
      <w:t>Parliamentary Budget Office   PO Box 6010   Parliament House   Canberra ACT 2600</w:t>
    </w:r>
  </w:p>
  <w:p w:rsidR="001278D0" w:rsidRPr="00C24267" w:rsidRDefault="001278D0"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0" w:rsidRPr="00C24267" w:rsidRDefault="001278D0"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914531">
      <w:rPr>
        <w:noProof/>
      </w:rPr>
      <w:t>4</w:t>
    </w:r>
    <w:r w:rsidRPr="00C24267">
      <w:fldChar w:fldCharType="end"/>
    </w:r>
    <w:r w:rsidRPr="00C24267">
      <w:t xml:space="preserve"> of </w:t>
    </w:r>
    <w:fldSimple w:instr=" NUMPAGES  \* Arabic  \* MERGEFORMAT ">
      <w:r w:rsidR="00914531">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20" w:rsidRDefault="00902B20" w:rsidP="008F588A">
      <w:pPr>
        <w:spacing w:line="240" w:lineRule="auto"/>
      </w:pPr>
      <w:r>
        <w:separator/>
      </w:r>
    </w:p>
    <w:p w:rsidR="00902B20" w:rsidRDefault="00902B20"/>
  </w:footnote>
  <w:footnote w:type="continuationSeparator" w:id="0">
    <w:p w:rsidR="00902B20" w:rsidRDefault="00902B20" w:rsidP="008F588A">
      <w:pPr>
        <w:spacing w:line="240" w:lineRule="auto"/>
      </w:pPr>
      <w:r>
        <w:continuationSeparator/>
      </w:r>
    </w:p>
    <w:p w:rsidR="00902B20" w:rsidRDefault="00902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0" w:rsidRDefault="001278D0" w:rsidP="00CB40E1">
    <w:pPr>
      <w:pStyle w:val="Header"/>
    </w:pPr>
    <w:r>
      <w:rPr>
        <w:noProof/>
        <w:lang w:eastAsia="en-AU"/>
      </w:rPr>
      <w:drawing>
        <wp:inline distT="0" distB="0" distL="0" distR="0" wp14:anchorId="33E697EA" wp14:editId="305EB35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1278D0" w:rsidRPr="00DA1C8A" w:rsidRDefault="001278D0"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8D0" w:rsidRPr="00E162E8" w:rsidRDefault="00E162E8" w:rsidP="00E162E8">
    <w:pPr>
      <w:pStyle w:val="Header"/>
    </w:pPr>
    <w:r>
      <w:rPr>
        <w:noProof/>
        <w:lang w:eastAsia="en-AU"/>
      </w:rPr>
      <w:drawing>
        <wp:inline distT="0" distB="0" distL="0" distR="0" wp14:anchorId="5D357C9C" wp14:editId="67FA5472">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E8" w:rsidRPr="00E162E8" w:rsidRDefault="00E162E8" w:rsidP="00E16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30E45E35"/>
    <w:multiLevelType w:val="hybridMultilevel"/>
    <w:tmpl w:val="04ACBEA2"/>
    <w:lvl w:ilvl="0" w:tplc="FF0615DC">
      <w:start w:val="1"/>
      <w:numFmt w:val="lowerLetter"/>
      <w:pStyle w:val="Footnotes"/>
      <w:lvlText w:val="(%1)"/>
      <w:lvlJc w:val="left"/>
      <w:pPr>
        <w:ind w:left="833"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2"/>
  </w:num>
  <w:num w:numId="2">
    <w:abstractNumId w:val="5"/>
  </w:num>
  <w:num w:numId="3">
    <w:abstractNumId w:val="3"/>
  </w:num>
  <w:num w:numId="4">
    <w:abstractNumId w:val="4"/>
  </w:num>
  <w:num w:numId="5">
    <w:abstractNumId w:val="7"/>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
  </w:num>
  <w:num w:numId="12">
    <w:abstractNumId w:val="0"/>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20"/>
    <w:rsid w:val="00002D5D"/>
    <w:rsid w:val="00040DCE"/>
    <w:rsid w:val="00096F3A"/>
    <w:rsid w:val="000C1A75"/>
    <w:rsid w:val="00101FD7"/>
    <w:rsid w:val="001042D6"/>
    <w:rsid w:val="00117D74"/>
    <w:rsid w:val="001278D0"/>
    <w:rsid w:val="0014239B"/>
    <w:rsid w:val="00144904"/>
    <w:rsid w:val="00173568"/>
    <w:rsid w:val="001A02D1"/>
    <w:rsid w:val="00220BE5"/>
    <w:rsid w:val="002422A3"/>
    <w:rsid w:val="002473AF"/>
    <w:rsid w:val="002E187F"/>
    <w:rsid w:val="002F2949"/>
    <w:rsid w:val="00315E34"/>
    <w:rsid w:val="00326DE2"/>
    <w:rsid w:val="00376E63"/>
    <w:rsid w:val="003B0EF8"/>
    <w:rsid w:val="003B7685"/>
    <w:rsid w:val="003D1969"/>
    <w:rsid w:val="003F73CA"/>
    <w:rsid w:val="0041251A"/>
    <w:rsid w:val="00440E32"/>
    <w:rsid w:val="00461597"/>
    <w:rsid w:val="004C283B"/>
    <w:rsid w:val="004C4756"/>
    <w:rsid w:val="004D13ED"/>
    <w:rsid w:val="004D2DFB"/>
    <w:rsid w:val="004D5525"/>
    <w:rsid w:val="005035DA"/>
    <w:rsid w:val="00507897"/>
    <w:rsid w:val="00515A85"/>
    <w:rsid w:val="00545F24"/>
    <w:rsid w:val="005522A3"/>
    <w:rsid w:val="0055581F"/>
    <w:rsid w:val="0056229A"/>
    <w:rsid w:val="00570154"/>
    <w:rsid w:val="00570B5A"/>
    <w:rsid w:val="005C6967"/>
    <w:rsid w:val="005E3562"/>
    <w:rsid w:val="005F7DE0"/>
    <w:rsid w:val="00640346"/>
    <w:rsid w:val="00641835"/>
    <w:rsid w:val="00642AB6"/>
    <w:rsid w:val="00660385"/>
    <w:rsid w:val="00662372"/>
    <w:rsid w:val="00662E65"/>
    <w:rsid w:val="0066665A"/>
    <w:rsid w:val="00685F69"/>
    <w:rsid w:val="00692DD8"/>
    <w:rsid w:val="006F0CE9"/>
    <w:rsid w:val="007202A8"/>
    <w:rsid w:val="007B029A"/>
    <w:rsid w:val="007B1A91"/>
    <w:rsid w:val="007D33AA"/>
    <w:rsid w:val="007F7BCF"/>
    <w:rsid w:val="008030EC"/>
    <w:rsid w:val="00811D6D"/>
    <w:rsid w:val="00811DF0"/>
    <w:rsid w:val="00844776"/>
    <w:rsid w:val="0084697B"/>
    <w:rsid w:val="008850D9"/>
    <w:rsid w:val="008A4578"/>
    <w:rsid w:val="008C03C3"/>
    <w:rsid w:val="008D3909"/>
    <w:rsid w:val="008F588A"/>
    <w:rsid w:val="00902B20"/>
    <w:rsid w:val="00902D2D"/>
    <w:rsid w:val="00914531"/>
    <w:rsid w:val="00915804"/>
    <w:rsid w:val="00957285"/>
    <w:rsid w:val="009573AF"/>
    <w:rsid w:val="009963ED"/>
    <w:rsid w:val="009B78F6"/>
    <w:rsid w:val="009D4063"/>
    <w:rsid w:val="00A41BD3"/>
    <w:rsid w:val="00A449C2"/>
    <w:rsid w:val="00A4651C"/>
    <w:rsid w:val="00A75B39"/>
    <w:rsid w:val="00A82D99"/>
    <w:rsid w:val="00AA3D6F"/>
    <w:rsid w:val="00AB6F7D"/>
    <w:rsid w:val="00AC7878"/>
    <w:rsid w:val="00AD493E"/>
    <w:rsid w:val="00B06055"/>
    <w:rsid w:val="00B138E2"/>
    <w:rsid w:val="00B4099C"/>
    <w:rsid w:val="00B44D8A"/>
    <w:rsid w:val="00B73AC8"/>
    <w:rsid w:val="00B747A7"/>
    <w:rsid w:val="00BC559C"/>
    <w:rsid w:val="00BF5408"/>
    <w:rsid w:val="00C17112"/>
    <w:rsid w:val="00C24267"/>
    <w:rsid w:val="00C45601"/>
    <w:rsid w:val="00CA5D42"/>
    <w:rsid w:val="00CB40E1"/>
    <w:rsid w:val="00CE6F4C"/>
    <w:rsid w:val="00CF6DB6"/>
    <w:rsid w:val="00D07A9F"/>
    <w:rsid w:val="00D10798"/>
    <w:rsid w:val="00D134CA"/>
    <w:rsid w:val="00D2359C"/>
    <w:rsid w:val="00D71CE6"/>
    <w:rsid w:val="00DA1C8A"/>
    <w:rsid w:val="00DB44F0"/>
    <w:rsid w:val="00DD109E"/>
    <w:rsid w:val="00DD3E18"/>
    <w:rsid w:val="00E03D4A"/>
    <w:rsid w:val="00E12103"/>
    <w:rsid w:val="00E15AAE"/>
    <w:rsid w:val="00E162E8"/>
    <w:rsid w:val="00E21184"/>
    <w:rsid w:val="00E2457E"/>
    <w:rsid w:val="00E40B8B"/>
    <w:rsid w:val="00E5742E"/>
    <w:rsid w:val="00E737B7"/>
    <w:rsid w:val="00EA265F"/>
    <w:rsid w:val="00EB5FC3"/>
    <w:rsid w:val="00ED43FF"/>
    <w:rsid w:val="00EF01BD"/>
    <w:rsid w:val="00EF1D6A"/>
    <w:rsid w:val="00EF2E51"/>
    <w:rsid w:val="00F31E24"/>
    <w:rsid w:val="00F52474"/>
    <w:rsid w:val="00F5669E"/>
    <w:rsid w:val="00F75D33"/>
    <w:rsid w:val="00F954CF"/>
    <w:rsid w:val="00FC6579"/>
    <w:rsid w:val="00FD3FB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CommentReference">
    <w:name w:val="annotation reference"/>
    <w:basedOn w:val="DefaultParagraphFont"/>
    <w:uiPriority w:val="99"/>
    <w:semiHidden/>
    <w:unhideWhenUsed/>
    <w:rsid w:val="00E2457E"/>
    <w:rPr>
      <w:sz w:val="16"/>
      <w:szCs w:val="16"/>
    </w:rPr>
  </w:style>
  <w:style w:type="paragraph" w:styleId="CommentText">
    <w:name w:val="annotation text"/>
    <w:basedOn w:val="Normal"/>
    <w:link w:val="CommentTextChar"/>
    <w:uiPriority w:val="99"/>
    <w:semiHidden/>
    <w:unhideWhenUsed/>
    <w:rsid w:val="00E2457E"/>
    <w:pPr>
      <w:spacing w:line="240" w:lineRule="auto"/>
    </w:pPr>
    <w:rPr>
      <w:sz w:val="20"/>
      <w:szCs w:val="20"/>
    </w:rPr>
  </w:style>
  <w:style w:type="character" w:customStyle="1" w:styleId="CommentTextChar">
    <w:name w:val="Comment Text Char"/>
    <w:basedOn w:val="DefaultParagraphFont"/>
    <w:link w:val="CommentText"/>
    <w:uiPriority w:val="99"/>
    <w:semiHidden/>
    <w:rsid w:val="00E2457E"/>
    <w:rPr>
      <w:sz w:val="20"/>
      <w:szCs w:val="20"/>
    </w:rPr>
  </w:style>
  <w:style w:type="paragraph" w:styleId="CommentSubject">
    <w:name w:val="annotation subject"/>
    <w:basedOn w:val="CommentText"/>
    <w:next w:val="CommentText"/>
    <w:link w:val="CommentSubjectChar"/>
    <w:uiPriority w:val="99"/>
    <w:semiHidden/>
    <w:unhideWhenUsed/>
    <w:rsid w:val="00E2457E"/>
    <w:rPr>
      <w:b/>
      <w:bCs/>
    </w:rPr>
  </w:style>
  <w:style w:type="character" w:customStyle="1" w:styleId="CommentSubjectChar">
    <w:name w:val="Comment Subject Char"/>
    <w:basedOn w:val="CommentTextChar"/>
    <w:link w:val="CommentSubject"/>
    <w:uiPriority w:val="99"/>
    <w:semiHidden/>
    <w:rsid w:val="00E2457E"/>
    <w:rPr>
      <w:b/>
      <w:bCs/>
      <w:sz w:val="20"/>
      <w:szCs w:val="20"/>
    </w:rPr>
  </w:style>
  <w:style w:type="character" w:styleId="FollowedHyperlink">
    <w:name w:val="FollowedHyperlink"/>
    <w:basedOn w:val="DefaultParagraphFont"/>
    <w:uiPriority w:val="99"/>
    <w:semiHidden/>
    <w:unhideWhenUsed/>
    <w:rsid w:val="00BF54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character" w:styleId="CommentReference">
    <w:name w:val="annotation reference"/>
    <w:basedOn w:val="DefaultParagraphFont"/>
    <w:uiPriority w:val="99"/>
    <w:semiHidden/>
    <w:unhideWhenUsed/>
    <w:rsid w:val="00E2457E"/>
    <w:rPr>
      <w:sz w:val="16"/>
      <w:szCs w:val="16"/>
    </w:rPr>
  </w:style>
  <w:style w:type="paragraph" w:styleId="CommentText">
    <w:name w:val="annotation text"/>
    <w:basedOn w:val="Normal"/>
    <w:link w:val="CommentTextChar"/>
    <w:uiPriority w:val="99"/>
    <w:semiHidden/>
    <w:unhideWhenUsed/>
    <w:rsid w:val="00E2457E"/>
    <w:pPr>
      <w:spacing w:line="240" w:lineRule="auto"/>
    </w:pPr>
    <w:rPr>
      <w:sz w:val="20"/>
      <w:szCs w:val="20"/>
    </w:rPr>
  </w:style>
  <w:style w:type="character" w:customStyle="1" w:styleId="CommentTextChar">
    <w:name w:val="Comment Text Char"/>
    <w:basedOn w:val="DefaultParagraphFont"/>
    <w:link w:val="CommentText"/>
    <w:uiPriority w:val="99"/>
    <w:semiHidden/>
    <w:rsid w:val="00E2457E"/>
    <w:rPr>
      <w:sz w:val="20"/>
      <w:szCs w:val="20"/>
    </w:rPr>
  </w:style>
  <w:style w:type="paragraph" w:styleId="CommentSubject">
    <w:name w:val="annotation subject"/>
    <w:basedOn w:val="CommentText"/>
    <w:next w:val="CommentText"/>
    <w:link w:val="CommentSubjectChar"/>
    <w:uiPriority w:val="99"/>
    <w:semiHidden/>
    <w:unhideWhenUsed/>
    <w:rsid w:val="00E2457E"/>
    <w:rPr>
      <w:b/>
      <w:bCs/>
    </w:rPr>
  </w:style>
  <w:style w:type="character" w:customStyle="1" w:styleId="CommentSubjectChar">
    <w:name w:val="Comment Subject Char"/>
    <w:basedOn w:val="CommentTextChar"/>
    <w:link w:val="CommentSubject"/>
    <w:uiPriority w:val="99"/>
    <w:semiHidden/>
    <w:rsid w:val="00E2457E"/>
    <w:rPr>
      <w:b/>
      <w:bCs/>
      <w:sz w:val="20"/>
      <w:szCs w:val="20"/>
    </w:rPr>
  </w:style>
  <w:style w:type="character" w:styleId="FollowedHyperlink">
    <w:name w:val="FollowedHyperlink"/>
    <w:basedOn w:val="DefaultParagraphFont"/>
    <w:uiPriority w:val="99"/>
    <w:semiHidden/>
    <w:unhideWhenUsed/>
    <w:rsid w:val="00BF54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mbandt.com/1606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958B-4DAF-4829-A5B1-AAC5D28A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197</TotalTime>
  <Pages>4</Pages>
  <Words>601</Words>
  <Characters>3091</Characters>
  <Application>Microsoft Office Word</Application>
  <DocSecurity>0</DocSecurity>
  <Lines>237</Lines>
  <Paragraphs>246</Paragraphs>
  <ScaleCrop>false</ScaleCrop>
  <HeadingPairs>
    <vt:vector size="2" baseType="variant">
      <vt:variant>
        <vt:lpstr>Title</vt:lpstr>
      </vt:variant>
      <vt:variant>
        <vt:i4>1</vt:i4>
      </vt:variant>
    </vt:vector>
  </HeadingPairs>
  <TitlesOfParts>
    <vt:vector size="1" baseType="lpstr">
      <vt:lpstr>PBO - GRN060 - Migrant Communities Employment Fund - 30 June 2016</vt:lpstr>
    </vt:vector>
  </TitlesOfParts>
  <Company>Parliament of Australia</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GRN074 - Migrant Communities Employment Fund - 30 June 2016</dc:title>
  <dc:creator>PBO@pbo.gov.au</dc:creator>
  <cp:lastModifiedBy>Milligan, Louise (PBO)</cp:lastModifiedBy>
  <cp:revision>41</cp:revision>
  <cp:lastPrinted>2016-06-30T06:48:00Z</cp:lastPrinted>
  <dcterms:created xsi:type="dcterms:W3CDTF">2016-06-20T23:02:00Z</dcterms:created>
  <dcterms:modified xsi:type="dcterms:W3CDTF">2016-06-30T10:15:00Z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