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7B6" w:rsidRPr="00225B7B" w:rsidRDefault="002037B6" w:rsidP="00030CF3">
      <w:pPr>
        <w:spacing w:before="156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25B7B">
        <w:rPr>
          <w:rFonts w:ascii="Times New Roman" w:hAnsi="Times New Roman" w:cs="Times New Roman"/>
          <w:sz w:val="24"/>
          <w:szCs w:val="24"/>
        </w:rPr>
        <w:t xml:space="preserve">Senator Richard Di Natale </w:t>
      </w:r>
    </w:p>
    <w:p w:rsidR="002037B6" w:rsidRPr="00002D5D" w:rsidRDefault="002037B6" w:rsidP="002037B6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25B7B">
        <w:rPr>
          <w:rFonts w:ascii="Times New Roman" w:hAnsi="Times New Roman" w:cs="Times New Roman"/>
          <w:sz w:val="24"/>
          <w:szCs w:val="24"/>
        </w:rPr>
        <w:t>Leader of the Australian Greens</w:t>
      </w:r>
    </w:p>
    <w:p w:rsidR="002037B6" w:rsidRPr="00002D5D" w:rsidRDefault="002037B6" w:rsidP="002037B6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Parliament House</w:t>
      </w:r>
    </w:p>
    <w:p w:rsidR="002037B6" w:rsidRPr="00002D5D" w:rsidRDefault="002037B6" w:rsidP="002037B6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CANBERRA  ACT  2600</w:t>
      </w:r>
    </w:p>
    <w:p w:rsidR="002037B6" w:rsidRPr="00002D5D" w:rsidRDefault="002037B6" w:rsidP="002037B6">
      <w:pPr>
        <w:spacing w:before="48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 xml:space="preserve">Dear </w:t>
      </w:r>
      <w:r w:rsidRPr="00225B7B">
        <w:rPr>
          <w:rFonts w:ascii="Times New Roman" w:hAnsi="Times New Roman" w:cs="Times New Roman"/>
          <w:sz w:val="24"/>
          <w:szCs w:val="24"/>
        </w:rPr>
        <w:t>Senator Di Natale</w:t>
      </w:r>
    </w:p>
    <w:p w:rsidR="00040DCE" w:rsidRPr="00002D5D" w:rsidRDefault="00040DCE" w:rsidP="00C17112">
      <w:pPr>
        <w:pStyle w:val="Lettertext"/>
      </w:pPr>
      <w:r w:rsidRPr="00002D5D">
        <w:t>Please find attached a re</w:t>
      </w:r>
      <w:r w:rsidR="00DD0B87">
        <w:t>sponse to your costing request</w:t>
      </w:r>
      <w:r w:rsidRPr="00002D5D">
        <w:t xml:space="preserve">, </w:t>
      </w:r>
      <w:r w:rsidR="00316148" w:rsidRPr="00316148">
        <w:rPr>
          <w:i/>
        </w:rPr>
        <w:t xml:space="preserve">National Urban Forests Plan </w:t>
      </w:r>
      <w:r w:rsidR="002037B6">
        <w:t xml:space="preserve">(letter of </w:t>
      </w:r>
      <w:r w:rsidR="00316148">
        <w:t>30</w:t>
      </w:r>
      <w:r w:rsidR="00D8044A">
        <w:t> June </w:t>
      </w:r>
      <w:r w:rsidR="00D8044A" w:rsidRPr="00002D5D">
        <w:t>2016</w:t>
      </w:r>
      <w:r w:rsidRPr="00002D5D">
        <w:t>).</w:t>
      </w:r>
    </w:p>
    <w:p w:rsidR="00040DCE" w:rsidRPr="00002D5D" w:rsidRDefault="00040DCE" w:rsidP="00C17112">
      <w:pPr>
        <w:pStyle w:val="Lettertext"/>
      </w:pPr>
      <w:r w:rsidRPr="00002D5D">
        <w:t>The response to this request will be released on the PBO website (</w:t>
      </w:r>
      <w:hyperlink r:id="rId9" w:history="1">
        <w:r w:rsidRPr="00002D5D">
          <w:rPr>
            <w:rStyle w:val="Hyperlink"/>
          </w:rPr>
          <w:t>www.</w:t>
        </w:r>
        <w:r w:rsidR="00B44D8A">
          <w:rPr>
            <w:rStyle w:val="Hyperlink"/>
          </w:rPr>
          <w:t>pbo.gov.au</w:t>
        </w:r>
      </w:hyperlink>
      <w:r w:rsidRPr="00002D5D">
        <w:t>).</w:t>
      </w:r>
    </w:p>
    <w:p w:rsidR="00040DCE" w:rsidRPr="00002D5D" w:rsidRDefault="00040DCE" w:rsidP="00C17112">
      <w:pPr>
        <w:pStyle w:val="Lettertext"/>
      </w:pPr>
      <w:r w:rsidRPr="00002D5D">
        <w:t>If you have any quer</w:t>
      </w:r>
      <w:r w:rsidR="00DD0B87">
        <w:t xml:space="preserve">ies about this costing, please </w:t>
      </w:r>
      <w:r w:rsidR="00F75D33">
        <w:t>contact Colin </w:t>
      </w:r>
      <w:r w:rsidR="00DD0B87">
        <w:t>Brown on (02) 6277 </w:t>
      </w:r>
      <w:r w:rsidRPr="00002D5D">
        <w:t>9530.</w:t>
      </w:r>
    </w:p>
    <w:p w:rsidR="00040DCE" w:rsidRPr="00002D5D" w:rsidRDefault="00040DCE" w:rsidP="00C17112">
      <w:pPr>
        <w:pStyle w:val="Lettertext"/>
      </w:pPr>
      <w:r w:rsidRPr="00002D5D">
        <w:t>Yours sincerely</w:t>
      </w:r>
    </w:p>
    <w:p w:rsidR="00040DCE" w:rsidRPr="00002D5D" w:rsidRDefault="00DA1C8A" w:rsidP="00C17112">
      <w:pPr>
        <w:spacing w:before="960" w:after="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>Phil Bowen</w:t>
      </w:r>
    </w:p>
    <w:p w:rsidR="00096F3A" w:rsidRPr="00002D5D" w:rsidRDefault="00D47DDD" w:rsidP="00D47DDD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="002037B6">
        <w:rPr>
          <w:rFonts w:ascii="Times New Roman" w:hAnsi="Times New Roman" w:cs="Times New Roman"/>
          <w:sz w:val="24"/>
          <w:szCs w:val="24"/>
        </w:rPr>
        <w:t xml:space="preserve">June </w:t>
      </w:r>
      <w:r w:rsidR="00DA1C8A" w:rsidRPr="00002D5D">
        <w:rPr>
          <w:rFonts w:ascii="Times New Roman" w:hAnsi="Times New Roman" w:cs="Times New Roman"/>
          <w:sz w:val="24"/>
          <w:szCs w:val="24"/>
        </w:rPr>
        <w:t>2016</w:t>
      </w: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  <w:sectPr w:rsidR="00040DCE" w:rsidRPr="00002D5D" w:rsidSect="00002D5D">
          <w:footerReference w:type="default" r:id="rId10"/>
          <w:headerReference w:type="first" r:id="rId11"/>
          <w:footerReference w:type="first" r:id="rId12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8F588A" w:rsidRDefault="008F588A" w:rsidP="00002D5D">
      <w:pPr>
        <w:pStyle w:val="Heading1"/>
      </w:pPr>
      <w:r w:rsidRPr="00002D5D">
        <w:lastRenderedPageBreak/>
        <w:t xml:space="preserve">Policy costing—during the caretaker period for </w:t>
      </w:r>
      <w:r w:rsidR="007D33AA" w:rsidRPr="00002D5D">
        <w:t>the 2016</w:t>
      </w:r>
      <w:r w:rsidR="00002D5D" w:rsidRPr="00002D5D">
        <w:t> </w:t>
      </w:r>
      <w:r w:rsidRPr="00002D5D">
        <w:t>general election</w:t>
      </w:r>
    </w:p>
    <w:tbl>
      <w:tblPr>
        <w:tblStyle w:val="TableGrid"/>
        <w:tblW w:w="8340" w:type="dxa"/>
        <w:tblLook w:val="04A0" w:firstRow="1" w:lastRow="0" w:firstColumn="1" w:lastColumn="0" w:noHBand="0" w:noVBand="1"/>
      </w:tblPr>
      <w:tblGrid>
        <w:gridCol w:w="3005"/>
        <w:gridCol w:w="5335"/>
      </w:tblGrid>
      <w:tr w:rsidR="004D5525" w:rsidTr="004D5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:rsidR="004D5525" w:rsidRDefault="004D5525" w:rsidP="004D5525">
            <w:pPr>
              <w:pStyle w:val="BodyText"/>
            </w:pPr>
            <w:r>
              <w:t>Name of proposal:</w:t>
            </w:r>
          </w:p>
        </w:tc>
        <w:tc>
          <w:tcPr>
            <w:tcW w:w="5335" w:type="dxa"/>
          </w:tcPr>
          <w:p w:rsidR="004D5525" w:rsidRDefault="00B2442C" w:rsidP="004D5525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442C">
              <w:t>National Urban Forests Plan</w:t>
            </w:r>
          </w:p>
        </w:tc>
      </w:tr>
      <w:tr w:rsidR="004D5525" w:rsidTr="004D5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4D5525" w:rsidRDefault="004D5525" w:rsidP="004D5525">
            <w:pPr>
              <w:pStyle w:val="BodyText"/>
            </w:pPr>
            <w:r>
              <w:t>Summary of proposal:</w:t>
            </w:r>
          </w:p>
        </w:tc>
        <w:tc>
          <w:tcPr>
            <w:tcW w:w="5335" w:type="dxa"/>
          </w:tcPr>
          <w:p w:rsidR="00AA214E" w:rsidRDefault="00AA214E" w:rsidP="00AA214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907F8">
              <w:t xml:space="preserve">The proposal would establish a green streets package with the </w:t>
            </w:r>
            <w:r w:rsidRPr="00D907F8">
              <w:rPr>
                <w:bCs/>
              </w:rPr>
              <w:t xml:space="preserve">long term goal </w:t>
            </w:r>
            <w:r>
              <w:rPr>
                <w:bCs/>
              </w:rPr>
              <w:t>of</w:t>
            </w:r>
            <w:r w:rsidRPr="00D907F8">
              <w:rPr>
                <w:bCs/>
              </w:rPr>
              <w:t xml:space="preserve"> </w:t>
            </w:r>
            <w:r w:rsidR="00B2442C">
              <w:rPr>
                <w:bCs/>
              </w:rPr>
              <w:t>creating</w:t>
            </w:r>
            <w:r w:rsidR="00B2442C" w:rsidRPr="00B2442C">
              <w:rPr>
                <w:bCs/>
              </w:rPr>
              <w:t xml:space="preserve"> a healthy and protected Urban National Park in every Australian major city, comprised of a series of significant protected bushland areas, connected together by metropolitan scale </w:t>
            </w:r>
            <w:r w:rsidR="00CC5E2D">
              <w:rPr>
                <w:bCs/>
              </w:rPr>
              <w:t>g</w:t>
            </w:r>
            <w:r w:rsidR="00B2442C" w:rsidRPr="00B2442C">
              <w:rPr>
                <w:bCs/>
              </w:rPr>
              <w:t>reenways (or urban forests), green streets and household backyards across the metropolitan area.</w:t>
            </w:r>
          </w:p>
          <w:p w:rsidR="00B2442C" w:rsidRDefault="009F4338" w:rsidP="00AA214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9F4338">
              <w:rPr>
                <w:bCs/>
              </w:rPr>
              <w:t xml:space="preserve">This package is comprised of a number </w:t>
            </w:r>
            <w:r>
              <w:rPr>
                <w:bCs/>
              </w:rPr>
              <w:t>of components; components 1 to 8</w:t>
            </w:r>
            <w:r w:rsidRPr="009F4338">
              <w:rPr>
                <w:bCs/>
              </w:rPr>
              <w:t xml:space="preserve"> being 10 year grant programs not subject to indexation with departmental expenditure funded from within the specified capped amounts.</w:t>
            </w:r>
          </w:p>
          <w:p w:rsidR="00B2442C" w:rsidRPr="0064392B" w:rsidRDefault="00B2442C" w:rsidP="00B2442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u w:val="single"/>
              </w:rPr>
            </w:pPr>
            <w:r w:rsidRPr="0064392B">
              <w:rPr>
                <w:bCs/>
                <w:u w:val="single"/>
              </w:rPr>
              <w:t xml:space="preserve">Component </w:t>
            </w:r>
            <w:r>
              <w:rPr>
                <w:bCs/>
                <w:u w:val="single"/>
              </w:rPr>
              <w:t>1</w:t>
            </w:r>
            <w:r w:rsidRPr="0064392B">
              <w:rPr>
                <w:bCs/>
                <w:u w:val="single"/>
              </w:rPr>
              <w:t>: Urban Forest Acquisition Fund</w:t>
            </w:r>
          </w:p>
          <w:p w:rsidR="00B2442C" w:rsidRPr="00B2442C" w:rsidRDefault="00B2442C" w:rsidP="00D47DDD">
            <w:pPr>
              <w:pStyle w:val="Bullet1"/>
              <w:keepNext/>
              <w:numPr>
                <w:ilvl w:val="0"/>
                <w:numId w:val="7"/>
              </w:numPr>
              <w:spacing w:before="120" w:after="120" w:line="240" w:lineRule="auto"/>
              <w:ind w:left="39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$15</w:t>
            </w:r>
            <w:r w:rsidR="007E237C">
              <w:rPr>
                <w:bCs/>
              </w:rPr>
              <w:t>.0</w:t>
            </w:r>
            <w:r w:rsidRPr="00340ECE">
              <w:rPr>
                <w:bCs/>
              </w:rPr>
              <w:t xml:space="preserve"> million per year to </w:t>
            </w:r>
            <w:r w:rsidRPr="00B2442C">
              <w:rPr>
                <w:bCs/>
              </w:rPr>
              <w:t>enable the states to purchase areas of high conservation value natural habitat in urban areas, particularly areas under direct threat from development or neglect</w:t>
            </w:r>
            <w:r w:rsidR="00D47DDD">
              <w:rPr>
                <w:bCs/>
              </w:rPr>
              <w:t>.</w:t>
            </w:r>
          </w:p>
          <w:p w:rsidR="00B2442C" w:rsidRPr="0064392B" w:rsidRDefault="00B2442C" w:rsidP="00B2442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u w:val="single"/>
              </w:rPr>
            </w:pPr>
            <w:r w:rsidRPr="0064392B">
              <w:rPr>
                <w:bCs/>
                <w:u w:val="single"/>
              </w:rPr>
              <w:t xml:space="preserve">Component </w:t>
            </w:r>
            <w:r>
              <w:rPr>
                <w:bCs/>
                <w:u w:val="single"/>
              </w:rPr>
              <w:t>2</w:t>
            </w:r>
            <w:r w:rsidRPr="0064392B">
              <w:rPr>
                <w:bCs/>
                <w:u w:val="single"/>
              </w:rPr>
              <w:t xml:space="preserve">: </w:t>
            </w:r>
            <w:r>
              <w:rPr>
                <w:bCs/>
                <w:u w:val="single"/>
              </w:rPr>
              <w:t xml:space="preserve">Community Grants </w:t>
            </w:r>
          </w:p>
          <w:p w:rsidR="00B2442C" w:rsidRPr="00B2442C" w:rsidRDefault="00B2442C" w:rsidP="00D47DDD">
            <w:pPr>
              <w:pStyle w:val="Bullet1"/>
              <w:keepNext/>
              <w:numPr>
                <w:ilvl w:val="0"/>
                <w:numId w:val="7"/>
              </w:numPr>
              <w:spacing w:before="120" w:after="120" w:line="240" w:lineRule="auto"/>
              <w:ind w:left="39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$5</w:t>
            </w:r>
            <w:r w:rsidR="007E237C">
              <w:rPr>
                <w:bCs/>
              </w:rPr>
              <w:t>.0</w:t>
            </w:r>
            <w:r w:rsidRPr="00340ECE">
              <w:rPr>
                <w:bCs/>
              </w:rPr>
              <w:t xml:space="preserve"> million per year</w:t>
            </w:r>
            <w:r>
              <w:rPr>
                <w:bCs/>
              </w:rPr>
              <w:t xml:space="preserve"> to</w:t>
            </w:r>
            <w:r w:rsidRPr="00340ECE">
              <w:rPr>
                <w:bCs/>
              </w:rPr>
              <w:t xml:space="preserve"> </w:t>
            </w:r>
            <w:r w:rsidRPr="00B2442C">
              <w:rPr>
                <w:bCs/>
              </w:rPr>
              <w:t>enable local communities to contribute to</w:t>
            </w:r>
            <w:r w:rsidR="00711611">
              <w:rPr>
                <w:bCs/>
              </w:rPr>
              <w:t xml:space="preserve"> the </w:t>
            </w:r>
            <w:r w:rsidR="00CC5E2D">
              <w:rPr>
                <w:bCs/>
              </w:rPr>
              <w:t>g</w:t>
            </w:r>
            <w:r w:rsidR="00711611">
              <w:rPr>
                <w:bCs/>
              </w:rPr>
              <w:t xml:space="preserve">reenways through precinct </w:t>
            </w:r>
            <w:r w:rsidRPr="00B2442C">
              <w:rPr>
                <w:bCs/>
              </w:rPr>
              <w:t>scale or neighbo</w:t>
            </w:r>
            <w:r>
              <w:rPr>
                <w:bCs/>
              </w:rPr>
              <w:t>u</w:t>
            </w:r>
            <w:r w:rsidRPr="00B2442C">
              <w:rPr>
                <w:bCs/>
              </w:rPr>
              <w:t>rhood scale plantings or infrastructure such as amphi</w:t>
            </w:r>
            <w:r>
              <w:rPr>
                <w:bCs/>
              </w:rPr>
              <w:t>t</w:t>
            </w:r>
            <w:r w:rsidRPr="00B2442C">
              <w:rPr>
                <w:bCs/>
              </w:rPr>
              <w:t>heatres, interpretive centres</w:t>
            </w:r>
            <w:r w:rsidR="007E237C">
              <w:rPr>
                <w:bCs/>
              </w:rPr>
              <w:t xml:space="preserve"> and</w:t>
            </w:r>
            <w:r w:rsidR="00D47DDD">
              <w:rPr>
                <w:bCs/>
              </w:rPr>
              <w:t xml:space="preserve"> walking trails.</w:t>
            </w:r>
          </w:p>
          <w:p w:rsidR="00377626" w:rsidRPr="0064392B" w:rsidRDefault="00377626" w:rsidP="0037762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u w:val="single"/>
              </w:rPr>
            </w:pPr>
            <w:r w:rsidRPr="0064392B">
              <w:rPr>
                <w:bCs/>
                <w:u w:val="single"/>
              </w:rPr>
              <w:t xml:space="preserve">Component </w:t>
            </w:r>
            <w:r>
              <w:rPr>
                <w:bCs/>
                <w:u w:val="single"/>
              </w:rPr>
              <w:t>3</w:t>
            </w:r>
            <w:r w:rsidRPr="0064392B">
              <w:rPr>
                <w:bCs/>
                <w:u w:val="single"/>
              </w:rPr>
              <w:t xml:space="preserve">: </w:t>
            </w:r>
            <w:r w:rsidR="0091365F">
              <w:rPr>
                <w:bCs/>
                <w:u w:val="single"/>
              </w:rPr>
              <w:t>Household G</w:t>
            </w:r>
            <w:r>
              <w:rPr>
                <w:bCs/>
                <w:u w:val="single"/>
              </w:rPr>
              <w:t>rants</w:t>
            </w:r>
          </w:p>
          <w:p w:rsidR="00377626" w:rsidRPr="00377626" w:rsidRDefault="00377626" w:rsidP="00D47DDD">
            <w:pPr>
              <w:pStyle w:val="Bullet1"/>
              <w:keepNext/>
              <w:numPr>
                <w:ilvl w:val="0"/>
                <w:numId w:val="7"/>
              </w:numPr>
              <w:spacing w:before="120" w:after="120" w:line="240" w:lineRule="auto"/>
              <w:ind w:left="39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$1</w:t>
            </w:r>
            <w:r w:rsidR="007E237C">
              <w:rPr>
                <w:bCs/>
              </w:rPr>
              <w:t>.0</w:t>
            </w:r>
            <w:r w:rsidRPr="00340ECE">
              <w:rPr>
                <w:bCs/>
              </w:rPr>
              <w:t xml:space="preserve"> million per year to </w:t>
            </w:r>
            <w:r w:rsidRPr="00377626">
              <w:rPr>
                <w:bCs/>
              </w:rPr>
              <w:t>subsidise local area biodiversity plantings in front verges and backyards, to enable households to directly link in to the local greenway; made available via local Landcare groups, local councils and native nurseries</w:t>
            </w:r>
            <w:r w:rsidR="00D47DDD">
              <w:rPr>
                <w:bCs/>
              </w:rPr>
              <w:t>.</w:t>
            </w:r>
          </w:p>
          <w:p w:rsidR="00AA214E" w:rsidRPr="0064392B" w:rsidRDefault="00377626" w:rsidP="00AA214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u w:val="single"/>
              </w:rPr>
            </w:pPr>
            <w:r>
              <w:rPr>
                <w:bCs/>
                <w:u w:val="single"/>
              </w:rPr>
              <w:t>Component 4</w:t>
            </w:r>
            <w:r w:rsidR="00AA214E" w:rsidRPr="0064392B">
              <w:rPr>
                <w:bCs/>
                <w:u w:val="single"/>
              </w:rPr>
              <w:t xml:space="preserve">: </w:t>
            </w:r>
            <w:r w:rsidR="00AA214E" w:rsidRPr="0064392B">
              <w:rPr>
                <w:u w:val="single"/>
              </w:rPr>
              <w:t>Ur</w:t>
            </w:r>
            <w:r>
              <w:rPr>
                <w:u w:val="single"/>
              </w:rPr>
              <w:t>ban Forest Plans</w:t>
            </w:r>
          </w:p>
          <w:p w:rsidR="007E237C" w:rsidRDefault="00377626" w:rsidP="00D47DDD">
            <w:pPr>
              <w:pStyle w:val="Bullet1"/>
              <w:keepNext/>
              <w:numPr>
                <w:ilvl w:val="0"/>
                <w:numId w:val="7"/>
              </w:numPr>
              <w:spacing w:before="120" w:after="120" w:line="240" w:lineRule="auto"/>
              <w:ind w:left="39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7E237C">
              <w:rPr>
                <w:bCs/>
              </w:rPr>
              <w:t>$1</w:t>
            </w:r>
            <w:r w:rsidR="007E237C" w:rsidRPr="007E237C">
              <w:rPr>
                <w:bCs/>
              </w:rPr>
              <w:t>.0</w:t>
            </w:r>
            <w:r w:rsidRPr="007E237C">
              <w:rPr>
                <w:bCs/>
              </w:rPr>
              <w:t xml:space="preserve"> million per year to assist </w:t>
            </w:r>
            <w:r w:rsidR="00AA214E" w:rsidRPr="007E237C">
              <w:rPr>
                <w:bCs/>
              </w:rPr>
              <w:t xml:space="preserve">states and local councils develop their </w:t>
            </w:r>
            <w:r w:rsidRPr="007E237C">
              <w:rPr>
                <w:bCs/>
              </w:rPr>
              <w:t xml:space="preserve">local </w:t>
            </w:r>
            <w:r w:rsidR="00AA214E" w:rsidRPr="007E237C">
              <w:rPr>
                <w:bCs/>
              </w:rPr>
              <w:t xml:space="preserve">Urban Forest </w:t>
            </w:r>
            <w:r w:rsidRPr="007E237C">
              <w:rPr>
                <w:bCs/>
              </w:rPr>
              <w:t>Plans including mapping and planning linkage</w:t>
            </w:r>
            <w:r w:rsidR="00D47DDD">
              <w:rPr>
                <w:bCs/>
              </w:rPr>
              <w:t>.</w:t>
            </w:r>
          </w:p>
          <w:p w:rsidR="00D47DDD" w:rsidRDefault="00D47DDD" w:rsidP="00D47DDD">
            <w:pPr>
              <w:pStyle w:val="Bullet1"/>
              <w:keepNext/>
              <w:numPr>
                <w:ilvl w:val="0"/>
                <w:numId w:val="0"/>
              </w:numPr>
              <w:spacing w:before="120" w:after="120" w:line="240" w:lineRule="auto"/>
              <w:ind w:left="454" w:hanging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  <w:p w:rsidR="00D47DDD" w:rsidRDefault="00D47DDD" w:rsidP="00D47DDD">
            <w:pPr>
              <w:pStyle w:val="Bullet1"/>
              <w:keepNext/>
              <w:numPr>
                <w:ilvl w:val="0"/>
                <w:numId w:val="0"/>
              </w:numPr>
              <w:spacing w:before="120" w:after="120" w:line="240" w:lineRule="auto"/>
              <w:ind w:left="454" w:hanging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  <w:p w:rsidR="00D47DDD" w:rsidRPr="0064392B" w:rsidRDefault="00D47DDD" w:rsidP="00D47DD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u w:val="single"/>
              </w:rPr>
            </w:pPr>
            <w:r>
              <w:rPr>
                <w:bCs/>
                <w:u w:val="single"/>
              </w:rPr>
              <w:lastRenderedPageBreak/>
              <w:t>Component 5</w:t>
            </w:r>
            <w:r w:rsidRPr="0064392B">
              <w:rPr>
                <w:bCs/>
                <w:u w:val="single"/>
              </w:rPr>
              <w:t>: Aboriginal Stewardship committees</w:t>
            </w:r>
          </w:p>
          <w:p w:rsidR="00D47DDD" w:rsidRDefault="00D47DDD" w:rsidP="00D47DDD">
            <w:pPr>
              <w:pStyle w:val="Bullet1"/>
              <w:keepNext/>
              <w:numPr>
                <w:ilvl w:val="0"/>
                <w:numId w:val="7"/>
              </w:numPr>
              <w:spacing w:before="120" w:after="120" w:line="240" w:lineRule="auto"/>
              <w:ind w:left="39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$2.0</w:t>
            </w:r>
            <w:r w:rsidRPr="00340ECE">
              <w:rPr>
                <w:bCs/>
              </w:rPr>
              <w:t xml:space="preserve"> million per year to establish an Aboriginal Stewardship committee in each state </w:t>
            </w:r>
            <w:r>
              <w:rPr>
                <w:bCs/>
              </w:rPr>
              <w:t xml:space="preserve">to </w:t>
            </w:r>
            <w:r w:rsidRPr="007D44E2">
              <w:rPr>
                <w:bCs/>
              </w:rPr>
              <w:t>steer planning and mapping of the greenways networks, and to engage Aboriginal businesses to develop cultural trails and deli</w:t>
            </w:r>
            <w:r>
              <w:rPr>
                <w:bCs/>
              </w:rPr>
              <w:t>ver cultural, education and eco</w:t>
            </w:r>
            <w:r>
              <w:rPr>
                <w:bCs/>
              </w:rPr>
              <w:noBreakHyphen/>
            </w:r>
            <w:r w:rsidRPr="007D44E2">
              <w:rPr>
                <w:bCs/>
              </w:rPr>
              <w:t>tourism programs</w:t>
            </w:r>
            <w:r>
              <w:rPr>
                <w:bCs/>
              </w:rPr>
              <w:t>.</w:t>
            </w:r>
          </w:p>
          <w:p w:rsidR="00D47DDD" w:rsidRPr="0064392B" w:rsidRDefault="00D47DDD" w:rsidP="00D47DD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u w:val="single"/>
              </w:rPr>
            </w:pPr>
            <w:r w:rsidRPr="0064392B">
              <w:rPr>
                <w:bCs/>
                <w:u w:val="single"/>
              </w:rPr>
              <w:t xml:space="preserve">Component </w:t>
            </w:r>
            <w:r>
              <w:rPr>
                <w:bCs/>
                <w:u w:val="single"/>
              </w:rPr>
              <w:t>6</w:t>
            </w:r>
            <w:r w:rsidRPr="0064392B">
              <w:rPr>
                <w:bCs/>
                <w:u w:val="single"/>
              </w:rPr>
              <w:t>:</w:t>
            </w:r>
            <w:r>
              <w:rPr>
                <w:bCs/>
                <w:u w:val="single"/>
              </w:rPr>
              <w:t xml:space="preserve"> Ongoing maintenance</w:t>
            </w:r>
          </w:p>
          <w:p w:rsidR="00D47DDD" w:rsidRPr="007D44E2" w:rsidRDefault="00D47DDD" w:rsidP="00D47DDD">
            <w:pPr>
              <w:pStyle w:val="Bullet1"/>
              <w:keepNext/>
              <w:numPr>
                <w:ilvl w:val="0"/>
                <w:numId w:val="7"/>
              </w:numPr>
              <w:spacing w:before="120" w:after="120" w:line="240" w:lineRule="auto"/>
              <w:ind w:left="39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$1.0</w:t>
            </w:r>
            <w:r w:rsidRPr="00340ECE">
              <w:rPr>
                <w:bCs/>
              </w:rPr>
              <w:t xml:space="preserve"> million per year for ongoing maintenance</w:t>
            </w:r>
            <w:r w:rsidRPr="00B62DAF">
              <w:rPr>
                <w:bCs/>
              </w:rPr>
              <w:t xml:space="preserve"> – including tree audits ever</w:t>
            </w:r>
            <w:r>
              <w:rPr>
                <w:bCs/>
              </w:rPr>
              <w:t xml:space="preserve">y three years to measure canopy </w:t>
            </w:r>
            <w:r w:rsidRPr="007D44E2">
              <w:rPr>
                <w:bCs/>
              </w:rPr>
              <w:t>cover and health, and an interactive website with mapping tools and education resources</w:t>
            </w:r>
            <w:r>
              <w:rPr>
                <w:bCs/>
              </w:rPr>
              <w:t>.</w:t>
            </w:r>
          </w:p>
          <w:p w:rsidR="00D47DDD" w:rsidRPr="0064392B" w:rsidRDefault="00D47DDD" w:rsidP="00D47DD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u w:val="single"/>
              </w:rPr>
            </w:pPr>
            <w:r w:rsidRPr="0064392B">
              <w:rPr>
                <w:bCs/>
                <w:u w:val="single"/>
              </w:rPr>
              <w:t xml:space="preserve">Component </w:t>
            </w:r>
            <w:r>
              <w:rPr>
                <w:bCs/>
                <w:u w:val="single"/>
              </w:rPr>
              <w:t>7</w:t>
            </w:r>
            <w:r w:rsidRPr="0064392B">
              <w:rPr>
                <w:bCs/>
                <w:u w:val="single"/>
              </w:rPr>
              <w:t xml:space="preserve">: </w:t>
            </w:r>
            <w:r>
              <w:rPr>
                <w:bCs/>
                <w:u w:val="single"/>
              </w:rPr>
              <w:t>Federal moratorium on clearing</w:t>
            </w:r>
          </w:p>
          <w:p w:rsidR="00D47DDD" w:rsidRPr="007D44E2" w:rsidRDefault="00D47DDD" w:rsidP="00D47DDD">
            <w:pPr>
              <w:pStyle w:val="Bullet1"/>
              <w:keepNext/>
              <w:numPr>
                <w:ilvl w:val="0"/>
                <w:numId w:val="7"/>
              </w:numPr>
              <w:spacing w:before="120" w:after="120" w:line="240" w:lineRule="auto"/>
              <w:ind w:left="39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$2.0</w:t>
            </w:r>
            <w:r w:rsidRPr="00340ECE">
              <w:rPr>
                <w:bCs/>
              </w:rPr>
              <w:t xml:space="preserve"> million per year </w:t>
            </w:r>
            <w:r>
              <w:rPr>
                <w:bCs/>
              </w:rPr>
              <w:t>to</w:t>
            </w:r>
            <w:r w:rsidRPr="00340ECE">
              <w:rPr>
                <w:bCs/>
              </w:rPr>
              <w:t xml:space="preserve"> introduce a federal moratorium on clearing of urban bushland </w:t>
            </w:r>
            <w:r w:rsidRPr="00B62DAF">
              <w:rPr>
                <w:bCs/>
              </w:rPr>
              <w:t xml:space="preserve">until each city has completed </w:t>
            </w:r>
            <w:r>
              <w:rPr>
                <w:bCs/>
              </w:rPr>
              <w:t>a s</w:t>
            </w:r>
            <w:r w:rsidRPr="00B62DAF">
              <w:rPr>
                <w:bCs/>
              </w:rPr>
              <w:t xml:space="preserve">trategic </w:t>
            </w:r>
            <w:r>
              <w:rPr>
                <w:bCs/>
              </w:rPr>
              <w:t>e</w:t>
            </w:r>
            <w:r w:rsidRPr="00B62DAF">
              <w:rPr>
                <w:bCs/>
              </w:rPr>
              <w:t xml:space="preserve">nvironmental </w:t>
            </w:r>
            <w:r>
              <w:rPr>
                <w:bCs/>
              </w:rPr>
              <w:t>a</w:t>
            </w:r>
            <w:r w:rsidRPr="00B62DAF">
              <w:rPr>
                <w:bCs/>
              </w:rPr>
              <w:t xml:space="preserve">ssessment and an assessment by the </w:t>
            </w:r>
            <w:r>
              <w:rPr>
                <w:bCs/>
              </w:rPr>
              <w:t>Threatened Species Commissioner.</w:t>
            </w:r>
          </w:p>
          <w:p w:rsidR="00D47DDD" w:rsidRPr="0064392B" w:rsidRDefault="00D47DDD" w:rsidP="00D47DD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u w:val="single"/>
              </w:rPr>
            </w:pPr>
            <w:r w:rsidRPr="0064392B">
              <w:rPr>
                <w:bCs/>
                <w:u w:val="single"/>
              </w:rPr>
              <w:t xml:space="preserve">Component </w:t>
            </w:r>
            <w:r>
              <w:rPr>
                <w:bCs/>
                <w:u w:val="single"/>
              </w:rPr>
              <w:t>8</w:t>
            </w:r>
            <w:r w:rsidRPr="0064392B">
              <w:rPr>
                <w:bCs/>
                <w:u w:val="single"/>
              </w:rPr>
              <w:t>: Urban Biodiversity Taskforce</w:t>
            </w:r>
          </w:p>
          <w:p w:rsidR="00D47DDD" w:rsidRDefault="00D47DDD" w:rsidP="00D47DDD">
            <w:pPr>
              <w:pStyle w:val="Bullet1"/>
              <w:keepNext/>
              <w:numPr>
                <w:ilvl w:val="0"/>
                <w:numId w:val="7"/>
              </w:numPr>
              <w:spacing w:before="120" w:after="120" w:line="240" w:lineRule="auto"/>
              <w:ind w:left="39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$2.0</w:t>
            </w:r>
            <w:r w:rsidRPr="00340ECE">
              <w:rPr>
                <w:bCs/>
              </w:rPr>
              <w:t xml:space="preserve"> million per year </w:t>
            </w:r>
            <w:r>
              <w:rPr>
                <w:bCs/>
              </w:rPr>
              <w:t>to</w:t>
            </w:r>
            <w:r w:rsidRPr="00340ECE">
              <w:rPr>
                <w:bCs/>
              </w:rPr>
              <w:t xml:space="preserve"> establish an Urban Biodiversity Taskforce </w:t>
            </w:r>
            <w:r w:rsidRPr="00B62DAF">
              <w:rPr>
                <w:bCs/>
              </w:rPr>
              <w:t xml:space="preserve">within the Major Cities Unit, responsible for coordinating the </w:t>
            </w:r>
            <w:r>
              <w:rPr>
                <w:bCs/>
              </w:rPr>
              <w:t>g</w:t>
            </w:r>
            <w:r w:rsidRPr="00B62DAF">
              <w:rPr>
                <w:bCs/>
              </w:rPr>
              <w:t>reenways initiative from a planning</w:t>
            </w:r>
            <w:r>
              <w:rPr>
                <w:bCs/>
              </w:rPr>
              <w:t xml:space="preserve"> and infrastructure perspective.</w:t>
            </w:r>
          </w:p>
          <w:p w:rsidR="00D47DDD" w:rsidRPr="0064392B" w:rsidRDefault="00D47DDD" w:rsidP="00D47DD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u w:val="single"/>
              </w:rPr>
            </w:pPr>
            <w:r w:rsidRPr="0064392B">
              <w:rPr>
                <w:bCs/>
                <w:u w:val="single"/>
              </w:rPr>
              <w:t xml:space="preserve">Component </w:t>
            </w:r>
            <w:r>
              <w:rPr>
                <w:bCs/>
                <w:u w:val="single"/>
              </w:rPr>
              <w:t>9</w:t>
            </w:r>
            <w:r w:rsidRPr="0064392B">
              <w:rPr>
                <w:bCs/>
                <w:u w:val="single"/>
              </w:rPr>
              <w:t xml:space="preserve">: </w:t>
            </w:r>
            <w:r>
              <w:rPr>
                <w:bCs/>
                <w:u w:val="single"/>
              </w:rPr>
              <w:t>Urban National Park category</w:t>
            </w:r>
          </w:p>
          <w:p w:rsidR="00D47DDD" w:rsidRPr="007E237C" w:rsidRDefault="00D47DDD" w:rsidP="00D47DDD">
            <w:pPr>
              <w:pStyle w:val="Bullet1"/>
              <w:keepNext/>
              <w:numPr>
                <w:ilvl w:val="0"/>
                <w:numId w:val="7"/>
              </w:numPr>
              <w:spacing w:before="120" w:after="120" w:line="240" w:lineRule="auto"/>
              <w:ind w:left="39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</w:t>
            </w:r>
            <w:r w:rsidRPr="00340ECE">
              <w:rPr>
                <w:bCs/>
              </w:rPr>
              <w:t>dd an Urban National Park category (consisting of a series of interlinked urban forests and greenways) to our National Reserve System, affording it maximum protection and status possible in Australian law.</w:t>
            </w:r>
          </w:p>
          <w:p w:rsidR="00D47DDD" w:rsidRPr="00D47DDD" w:rsidRDefault="00D47DDD" w:rsidP="00D47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This proposal would commence on 1 September 2016.</w:t>
            </w:r>
          </w:p>
        </w:tc>
      </w:tr>
      <w:tr w:rsidR="004D5525" w:rsidTr="004D5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4D5525" w:rsidRDefault="004D5525" w:rsidP="004D5525">
            <w:pPr>
              <w:pStyle w:val="BodyText"/>
            </w:pPr>
            <w:r>
              <w:lastRenderedPageBreak/>
              <w:t>Person/party requesting costing:</w:t>
            </w:r>
          </w:p>
        </w:tc>
        <w:tc>
          <w:tcPr>
            <w:tcW w:w="5335" w:type="dxa"/>
          </w:tcPr>
          <w:p w:rsidR="004D5525" w:rsidRDefault="00A074EB" w:rsidP="004D552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ECD">
              <w:t>Senator Richard Di Natale, Australian Greens</w:t>
            </w:r>
          </w:p>
        </w:tc>
      </w:tr>
      <w:tr w:rsidR="00DD0B87" w:rsidTr="008B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DD0B87" w:rsidRDefault="00DD0B87" w:rsidP="008B3652">
            <w:pPr>
              <w:pStyle w:val="BodyText"/>
            </w:pPr>
            <w:r>
              <w:t>Date of public release of policy:</w:t>
            </w:r>
          </w:p>
        </w:tc>
        <w:tc>
          <w:tcPr>
            <w:tcW w:w="5335" w:type="dxa"/>
          </w:tcPr>
          <w:p w:rsidR="00DD0B87" w:rsidRPr="00C17112" w:rsidRDefault="007D44E2" w:rsidP="008B365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June 2016</w:t>
            </w:r>
          </w:p>
        </w:tc>
      </w:tr>
      <w:tr w:rsidR="004D5525" w:rsidTr="004D5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4D5525" w:rsidRDefault="004D5525" w:rsidP="004D5525">
            <w:pPr>
              <w:pStyle w:val="BodyText"/>
            </w:pPr>
            <w:r>
              <w:t>Date costing request received:</w:t>
            </w:r>
          </w:p>
        </w:tc>
        <w:tc>
          <w:tcPr>
            <w:tcW w:w="5335" w:type="dxa"/>
          </w:tcPr>
          <w:p w:rsidR="004D5525" w:rsidRPr="00C07D09" w:rsidRDefault="007D44E2" w:rsidP="004D552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  <w:r w:rsidR="00D8044A" w:rsidRPr="00C07D09">
              <w:t xml:space="preserve"> June 2016</w:t>
            </w:r>
          </w:p>
        </w:tc>
      </w:tr>
      <w:tr w:rsidR="004D5525" w:rsidTr="004D5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4D5525" w:rsidRDefault="004D5525" w:rsidP="004D5525">
            <w:pPr>
              <w:pStyle w:val="BodyText"/>
            </w:pPr>
            <w:r>
              <w:t>Date costing completed</w:t>
            </w:r>
            <w:r w:rsidR="00D47DDD">
              <w:t>:</w:t>
            </w:r>
          </w:p>
        </w:tc>
        <w:tc>
          <w:tcPr>
            <w:tcW w:w="5335" w:type="dxa"/>
          </w:tcPr>
          <w:p w:rsidR="004D5525" w:rsidRPr="00C07D09" w:rsidRDefault="007D44E2" w:rsidP="004D552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  <w:r w:rsidR="00A074EB" w:rsidRPr="00C07D09">
              <w:t xml:space="preserve"> June 2016</w:t>
            </w:r>
          </w:p>
        </w:tc>
      </w:tr>
      <w:tr w:rsidR="004D5525" w:rsidTr="004D5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4D5525" w:rsidRPr="00220BE5" w:rsidRDefault="004D5525" w:rsidP="004D5525">
            <w:pPr>
              <w:pStyle w:val="BodyText"/>
            </w:pPr>
            <w:r w:rsidRPr="00220BE5">
              <w:t>Expiry date for the costing:</w:t>
            </w:r>
          </w:p>
        </w:tc>
        <w:tc>
          <w:tcPr>
            <w:tcW w:w="5335" w:type="dxa"/>
          </w:tcPr>
          <w:p w:rsidR="004D5525" w:rsidRPr="00220BE5" w:rsidRDefault="00C07D09" w:rsidP="00220BE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Pr="00220BE5">
              <w:t xml:space="preserve">elease of </w:t>
            </w:r>
            <w:r>
              <w:t>the next economic and fiscal outlook report</w:t>
            </w:r>
          </w:p>
        </w:tc>
      </w:tr>
    </w:tbl>
    <w:p w:rsidR="0055581F" w:rsidRPr="00002D5D" w:rsidRDefault="008030EC" w:rsidP="00FC6579">
      <w:pPr>
        <w:pStyle w:val="Heading2"/>
      </w:pPr>
      <w:r w:rsidRPr="00002D5D">
        <w:lastRenderedPageBreak/>
        <w:t>Costing overview</w:t>
      </w:r>
    </w:p>
    <w:p w:rsidR="00A074EB" w:rsidRDefault="00A074EB" w:rsidP="00A074EB">
      <w:r>
        <w:t xml:space="preserve">The proposal would decrease </w:t>
      </w:r>
      <w:r w:rsidRPr="006D0773">
        <w:t xml:space="preserve">both the fiscal </w:t>
      </w:r>
      <w:r>
        <w:t xml:space="preserve">and </w:t>
      </w:r>
      <w:r w:rsidRPr="006D0773">
        <w:t>underlying cash balance</w:t>
      </w:r>
      <w:r>
        <w:t>s</w:t>
      </w:r>
      <w:r w:rsidRPr="006D0773">
        <w:t xml:space="preserve"> by</w:t>
      </w:r>
      <w:r w:rsidR="000B6D03">
        <w:t xml:space="preserve"> $116.2</w:t>
      </w:r>
      <w:r>
        <w:t> million over the 2016-17 Budget forward estimate period.  This impact reflects an increase in administered expens</w:t>
      </w:r>
      <w:r w:rsidR="000B6D03">
        <w:t>es of $110.5 </w:t>
      </w:r>
      <w:r>
        <w:t>million and i</w:t>
      </w:r>
      <w:r w:rsidR="000B6D03">
        <w:t>n departmental expenses of $5.7 </w:t>
      </w:r>
      <w:r w:rsidR="00D47DDD">
        <w:t>million.</w:t>
      </w:r>
    </w:p>
    <w:p w:rsidR="00A074EB" w:rsidRDefault="00A074EB" w:rsidP="00A074EB">
      <w:r>
        <w:t>The proposal would be expected to have an impact beyond the 2016-17 Budget forward estimate</w:t>
      </w:r>
      <w:r w:rsidR="00CC5E2D">
        <w:t>s</w:t>
      </w:r>
      <w:r>
        <w:t xml:space="preserve"> period.  The estimated financial i</w:t>
      </w:r>
      <w:r w:rsidR="000B6D03">
        <w:t>mplications over 2016-17 to 2026-27</w:t>
      </w:r>
      <w:r>
        <w:t xml:space="preserve"> for the total (Table A1</w:t>
      </w:r>
      <w:r w:rsidR="000B6D03">
        <w:t>) and by component (Tables A2-10</w:t>
      </w:r>
      <w:r>
        <w:t xml:space="preserve">) are included at </w:t>
      </w:r>
      <w:r w:rsidRPr="00DD252B">
        <w:rPr>
          <w:u w:val="single"/>
        </w:rPr>
        <w:t>Attachment A</w:t>
      </w:r>
      <w:r>
        <w:t>.</w:t>
      </w:r>
    </w:p>
    <w:p w:rsidR="00A074EB" w:rsidRDefault="00A074EB" w:rsidP="00A074EB">
      <w:r>
        <w:t xml:space="preserve">The costing is considered to be of </w:t>
      </w:r>
      <w:r w:rsidRPr="00BF6457">
        <w:t>high</w:t>
      </w:r>
      <w:r>
        <w:t xml:space="preserve"> reliability as it is based on specified capped amounts and the application of administrative c</w:t>
      </w:r>
      <w:r w:rsidR="00D47DDD">
        <w:t>osts based on similar programs.</w:t>
      </w:r>
    </w:p>
    <w:p w:rsidR="005E3562" w:rsidRPr="00FC6579" w:rsidRDefault="005E3562" w:rsidP="00FC6579">
      <w:pPr>
        <w:pStyle w:val="Captionheading"/>
      </w:pPr>
      <w:r w:rsidRPr="00FC6579">
        <w:t xml:space="preserve">Table </w:t>
      </w:r>
      <w:r w:rsidR="001A02D1" w:rsidRPr="00FC6579">
        <w:t>1</w:t>
      </w:r>
      <w:r w:rsidRPr="00FC6579">
        <w:t>: Financial implications (outturn prices)</w:t>
      </w:r>
      <w:r w:rsidRPr="00844776">
        <w:rPr>
          <w:vertAlign w:val="superscript"/>
        </w:rPr>
        <w:t>(a)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5"/>
        <w:gridCol w:w="1134"/>
        <w:gridCol w:w="1133"/>
        <w:gridCol w:w="1133"/>
        <w:gridCol w:w="1133"/>
        <w:gridCol w:w="1132"/>
      </w:tblGrid>
      <w:tr w:rsidR="00692DD8" w:rsidRPr="00B73AC8" w:rsidTr="00D47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  <w:vAlign w:val="center"/>
          </w:tcPr>
          <w:p w:rsidR="00CA5D42" w:rsidRPr="00C07D09" w:rsidRDefault="00CA5D42" w:rsidP="00D47DDD">
            <w:pPr>
              <w:pStyle w:val="TableText"/>
              <w:keepNext/>
              <w:keepLines/>
              <w:spacing w:line="240" w:lineRule="auto"/>
              <w:ind w:left="57" w:right="57"/>
              <w:rPr>
                <w:rFonts w:ascii="Calibri" w:hAnsi="Calibri"/>
                <w:b w:val="0"/>
                <w:szCs w:val="20"/>
              </w:rPr>
            </w:pPr>
            <w:r w:rsidRPr="00C07D09">
              <w:rPr>
                <w:rFonts w:ascii="Calibri" w:hAnsi="Calibri"/>
                <w:b w:val="0"/>
                <w:szCs w:val="20"/>
              </w:rPr>
              <w:t>Impact on</w:t>
            </w:r>
            <w:r w:rsidR="00461597" w:rsidRPr="00C07D09">
              <w:rPr>
                <w:rFonts w:ascii="Calibri" w:hAnsi="Calibri"/>
                <w:b w:val="0"/>
                <w:szCs w:val="20"/>
              </w:rPr>
              <w:t xml:space="preserve"> ($m)</w:t>
            </w:r>
          </w:p>
        </w:tc>
        <w:tc>
          <w:tcPr>
            <w:tcW w:w="682" w:type="pct"/>
            <w:vAlign w:val="center"/>
          </w:tcPr>
          <w:p w:rsidR="00CA5D42" w:rsidRPr="00030CF3" w:rsidRDefault="00CA5D42" w:rsidP="00D47DDD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030CF3">
              <w:rPr>
                <w:rFonts w:ascii="Calibri" w:hAnsi="Calibri"/>
                <w:b w:val="0"/>
                <w:sz w:val="20"/>
                <w:szCs w:val="20"/>
              </w:rPr>
              <w:t>2016–17</w:t>
            </w:r>
          </w:p>
        </w:tc>
        <w:tc>
          <w:tcPr>
            <w:tcW w:w="682" w:type="pct"/>
            <w:vAlign w:val="center"/>
          </w:tcPr>
          <w:p w:rsidR="00CA5D42" w:rsidRPr="00030CF3" w:rsidRDefault="00CA5D42" w:rsidP="00D47DDD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030CF3">
              <w:rPr>
                <w:rFonts w:ascii="Calibri" w:hAnsi="Calibri"/>
                <w:b w:val="0"/>
                <w:sz w:val="20"/>
                <w:szCs w:val="20"/>
              </w:rPr>
              <w:t>2017–18</w:t>
            </w:r>
          </w:p>
        </w:tc>
        <w:tc>
          <w:tcPr>
            <w:tcW w:w="682" w:type="pct"/>
            <w:vAlign w:val="center"/>
          </w:tcPr>
          <w:p w:rsidR="00CA5D42" w:rsidRPr="00030CF3" w:rsidRDefault="00CA5D42" w:rsidP="00D47DDD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030CF3">
              <w:rPr>
                <w:rFonts w:ascii="Calibri" w:hAnsi="Calibri"/>
                <w:b w:val="0"/>
                <w:sz w:val="20"/>
                <w:szCs w:val="20"/>
              </w:rPr>
              <w:t>2018–19</w:t>
            </w:r>
          </w:p>
        </w:tc>
        <w:tc>
          <w:tcPr>
            <w:tcW w:w="682" w:type="pct"/>
            <w:vAlign w:val="center"/>
          </w:tcPr>
          <w:p w:rsidR="00CA5D42" w:rsidRPr="00030CF3" w:rsidRDefault="00CA5D42" w:rsidP="00D47DDD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030CF3">
              <w:rPr>
                <w:rFonts w:ascii="Calibri" w:hAnsi="Calibri"/>
                <w:b w:val="0"/>
                <w:sz w:val="20"/>
                <w:szCs w:val="20"/>
              </w:rPr>
              <w:t>2019–20</w:t>
            </w:r>
          </w:p>
        </w:tc>
        <w:tc>
          <w:tcPr>
            <w:tcW w:w="681" w:type="pct"/>
            <w:vAlign w:val="center"/>
          </w:tcPr>
          <w:p w:rsidR="00CA5D42" w:rsidRPr="00B73AC8" w:rsidRDefault="00CA5D42" w:rsidP="00D47DDD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B73AC8">
              <w:rPr>
                <w:rFonts w:ascii="Calibri" w:hAnsi="Calibri"/>
                <w:sz w:val="20"/>
                <w:szCs w:val="20"/>
              </w:rPr>
              <w:t>Total</w:t>
            </w:r>
          </w:p>
        </w:tc>
      </w:tr>
      <w:tr w:rsidR="008A16BD" w:rsidRPr="00B73AC8" w:rsidTr="00D47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  <w:vAlign w:val="center"/>
          </w:tcPr>
          <w:p w:rsidR="008A16BD" w:rsidRPr="00B73AC8" w:rsidRDefault="008A16BD" w:rsidP="00D47DDD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Fiscal balance</w:t>
            </w:r>
          </w:p>
        </w:tc>
        <w:tc>
          <w:tcPr>
            <w:tcW w:w="682" w:type="pct"/>
            <w:vAlign w:val="center"/>
          </w:tcPr>
          <w:p w:rsidR="008A16BD" w:rsidRPr="008A16BD" w:rsidRDefault="008A16BD" w:rsidP="00D47DDD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0"/>
                <w:szCs w:val="20"/>
              </w:rPr>
            </w:pPr>
            <w:r w:rsidRPr="008A16BD">
              <w:rPr>
                <w:bCs/>
                <w:color w:val="000000"/>
                <w:sz w:val="20"/>
                <w:szCs w:val="20"/>
              </w:rPr>
              <w:t>-29.2</w:t>
            </w:r>
          </w:p>
        </w:tc>
        <w:tc>
          <w:tcPr>
            <w:tcW w:w="682" w:type="pct"/>
            <w:vAlign w:val="center"/>
          </w:tcPr>
          <w:p w:rsidR="008A16BD" w:rsidRPr="008A16BD" w:rsidRDefault="008A16BD" w:rsidP="00D47DDD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0"/>
                <w:szCs w:val="20"/>
              </w:rPr>
            </w:pPr>
            <w:r w:rsidRPr="008A16BD">
              <w:rPr>
                <w:bCs/>
                <w:color w:val="000000"/>
                <w:sz w:val="20"/>
                <w:szCs w:val="20"/>
              </w:rPr>
              <w:t>-29.0</w:t>
            </w:r>
          </w:p>
        </w:tc>
        <w:tc>
          <w:tcPr>
            <w:tcW w:w="682" w:type="pct"/>
            <w:vAlign w:val="center"/>
          </w:tcPr>
          <w:p w:rsidR="008A16BD" w:rsidRPr="008A16BD" w:rsidRDefault="008A16BD" w:rsidP="00D47DDD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0"/>
                <w:szCs w:val="20"/>
              </w:rPr>
            </w:pPr>
            <w:r w:rsidRPr="008A16BD">
              <w:rPr>
                <w:bCs/>
                <w:color w:val="000000"/>
                <w:sz w:val="20"/>
                <w:szCs w:val="20"/>
              </w:rPr>
              <w:t>-29.0</w:t>
            </w:r>
          </w:p>
        </w:tc>
        <w:tc>
          <w:tcPr>
            <w:tcW w:w="682" w:type="pct"/>
            <w:vAlign w:val="center"/>
          </w:tcPr>
          <w:p w:rsidR="008A16BD" w:rsidRPr="008A16BD" w:rsidRDefault="008A16BD" w:rsidP="00D47DDD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0"/>
                <w:szCs w:val="20"/>
              </w:rPr>
            </w:pPr>
            <w:r w:rsidRPr="008A16BD">
              <w:rPr>
                <w:bCs/>
                <w:color w:val="000000"/>
                <w:sz w:val="20"/>
                <w:szCs w:val="20"/>
              </w:rPr>
              <w:t>-29.0</w:t>
            </w:r>
          </w:p>
        </w:tc>
        <w:tc>
          <w:tcPr>
            <w:tcW w:w="681" w:type="pct"/>
            <w:vAlign w:val="center"/>
          </w:tcPr>
          <w:p w:rsidR="008A16BD" w:rsidRPr="00252B87" w:rsidRDefault="008A16BD" w:rsidP="00D47DDD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252B87">
              <w:rPr>
                <w:b/>
                <w:bCs/>
                <w:color w:val="000000"/>
                <w:sz w:val="20"/>
                <w:szCs w:val="20"/>
              </w:rPr>
              <w:t>-116.2</w:t>
            </w:r>
          </w:p>
        </w:tc>
      </w:tr>
      <w:tr w:rsidR="008A16BD" w:rsidRPr="00B73AC8" w:rsidTr="00D47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  <w:vAlign w:val="center"/>
          </w:tcPr>
          <w:p w:rsidR="008A16BD" w:rsidRPr="00B73AC8" w:rsidRDefault="008A16BD" w:rsidP="00D47DDD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Underlying cash balance</w:t>
            </w:r>
          </w:p>
        </w:tc>
        <w:tc>
          <w:tcPr>
            <w:tcW w:w="682" w:type="pct"/>
            <w:vAlign w:val="center"/>
          </w:tcPr>
          <w:p w:rsidR="008A16BD" w:rsidRPr="008A16BD" w:rsidRDefault="008A16BD" w:rsidP="00D47DD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0"/>
                <w:szCs w:val="20"/>
              </w:rPr>
            </w:pPr>
            <w:r w:rsidRPr="008A16BD">
              <w:rPr>
                <w:bCs/>
                <w:color w:val="000000"/>
                <w:sz w:val="20"/>
                <w:szCs w:val="20"/>
              </w:rPr>
              <w:t>-29.2</w:t>
            </w:r>
          </w:p>
        </w:tc>
        <w:tc>
          <w:tcPr>
            <w:tcW w:w="682" w:type="pct"/>
            <w:vAlign w:val="center"/>
          </w:tcPr>
          <w:p w:rsidR="008A16BD" w:rsidRPr="008A16BD" w:rsidRDefault="008A16BD" w:rsidP="00D47DD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0"/>
                <w:szCs w:val="20"/>
              </w:rPr>
            </w:pPr>
            <w:r w:rsidRPr="008A16BD">
              <w:rPr>
                <w:bCs/>
                <w:color w:val="000000"/>
                <w:sz w:val="20"/>
                <w:szCs w:val="20"/>
              </w:rPr>
              <w:t>-29.0</w:t>
            </w:r>
          </w:p>
        </w:tc>
        <w:tc>
          <w:tcPr>
            <w:tcW w:w="682" w:type="pct"/>
            <w:vAlign w:val="center"/>
          </w:tcPr>
          <w:p w:rsidR="008A16BD" w:rsidRPr="008A16BD" w:rsidRDefault="008A16BD" w:rsidP="00D47DD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0"/>
                <w:szCs w:val="20"/>
              </w:rPr>
            </w:pPr>
            <w:r w:rsidRPr="008A16BD">
              <w:rPr>
                <w:bCs/>
                <w:color w:val="000000"/>
                <w:sz w:val="20"/>
                <w:szCs w:val="20"/>
              </w:rPr>
              <w:t>-29.0</w:t>
            </w:r>
          </w:p>
        </w:tc>
        <w:tc>
          <w:tcPr>
            <w:tcW w:w="682" w:type="pct"/>
            <w:vAlign w:val="center"/>
          </w:tcPr>
          <w:p w:rsidR="008A16BD" w:rsidRPr="008A16BD" w:rsidRDefault="008A16BD" w:rsidP="00D47DD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0"/>
                <w:szCs w:val="20"/>
              </w:rPr>
            </w:pPr>
            <w:r w:rsidRPr="008A16BD">
              <w:rPr>
                <w:bCs/>
                <w:color w:val="000000"/>
                <w:sz w:val="20"/>
                <w:szCs w:val="20"/>
              </w:rPr>
              <w:t>-29.0</w:t>
            </w:r>
          </w:p>
        </w:tc>
        <w:tc>
          <w:tcPr>
            <w:tcW w:w="681" w:type="pct"/>
            <w:vAlign w:val="center"/>
          </w:tcPr>
          <w:p w:rsidR="008A16BD" w:rsidRPr="00252B87" w:rsidRDefault="008A16BD" w:rsidP="00D47DDD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252B87">
              <w:rPr>
                <w:b/>
                <w:bCs/>
                <w:color w:val="000000"/>
                <w:sz w:val="20"/>
                <w:szCs w:val="20"/>
              </w:rPr>
              <w:t>-116.2</w:t>
            </w:r>
          </w:p>
        </w:tc>
      </w:tr>
    </w:tbl>
    <w:p w:rsidR="00252B87" w:rsidRDefault="00252B87" w:rsidP="00F34957">
      <w:pPr>
        <w:pStyle w:val="Footnotes"/>
        <w:keepNext/>
        <w:keepLines/>
        <w:numPr>
          <w:ilvl w:val="0"/>
          <w:numId w:val="5"/>
        </w:numPr>
        <w:ind w:left="284" w:hanging="284"/>
      </w:pPr>
      <w:r>
        <w:t>A positive number represents an increase in the relevant budget balance, a negative number represents a decrease.</w:t>
      </w:r>
    </w:p>
    <w:p w:rsidR="00252B87" w:rsidRDefault="00252B87" w:rsidP="00F34957">
      <w:pPr>
        <w:pStyle w:val="Footnotes"/>
        <w:keepNext/>
        <w:keepLines/>
        <w:numPr>
          <w:ilvl w:val="0"/>
          <w:numId w:val="5"/>
        </w:numPr>
        <w:ind w:left="284" w:hanging="284"/>
      </w:pPr>
      <w:r>
        <w:t>Figures may not sum to totals due to rounding.</w:t>
      </w:r>
    </w:p>
    <w:p w:rsidR="008D3909" w:rsidRPr="00FC6579" w:rsidRDefault="005E3562" w:rsidP="00E40B8B">
      <w:pPr>
        <w:pStyle w:val="Heading2"/>
      </w:pPr>
      <w:r w:rsidRPr="00FC6579">
        <w:t>Key assumptions</w:t>
      </w:r>
    </w:p>
    <w:p w:rsidR="00FE028E" w:rsidRPr="00FE028E" w:rsidRDefault="00FE028E" w:rsidP="00FE028E">
      <w:pPr>
        <w:rPr>
          <w:b/>
        </w:rPr>
      </w:pPr>
      <w:r w:rsidRPr="00FE028E">
        <w:t>It has been assumed that:</w:t>
      </w:r>
    </w:p>
    <w:p w:rsidR="007E237C" w:rsidRPr="007E237C" w:rsidRDefault="007E237C" w:rsidP="007E237C">
      <w:pPr>
        <w:pStyle w:val="Bullet1"/>
      </w:pPr>
      <w:r>
        <w:t>t</w:t>
      </w:r>
      <w:r w:rsidRPr="007E237C">
        <w:t>he full allocation of funding would be provided over the 10 months of 2016-17 from the commen</w:t>
      </w:r>
      <w:r>
        <w:t>cement date of 1 September 2016</w:t>
      </w:r>
    </w:p>
    <w:p w:rsidR="00FE028E" w:rsidRPr="007E237C" w:rsidRDefault="00FE028E" w:rsidP="007E237C">
      <w:pPr>
        <w:pStyle w:val="Bullet1"/>
      </w:pPr>
      <w:r w:rsidRPr="007E237C">
        <w:t>the package would be administered by the Department of the Environment.</w:t>
      </w:r>
    </w:p>
    <w:p w:rsidR="005E3562" w:rsidRPr="00FC6579" w:rsidRDefault="005E3562" w:rsidP="00E40B8B">
      <w:pPr>
        <w:pStyle w:val="Heading2"/>
      </w:pPr>
      <w:r w:rsidRPr="00FC6579">
        <w:t>Methodology</w:t>
      </w:r>
    </w:p>
    <w:p w:rsidR="00FE028E" w:rsidRPr="00C978FE" w:rsidRDefault="00252B87" w:rsidP="00E32466">
      <w:pPr>
        <w:pStyle w:val="Heading3"/>
      </w:pPr>
      <w:r>
        <w:t>Components 1-8</w:t>
      </w:r>
    </w:p>
    <w:p w:rsidR="00FE028E" w:rsidRDefault="00FE028E" w:rsidP="00FE028E">
      <w:pPr>
        <w:keepLines/>
      </w:pPr>
      <w:r w:rsidRPr="00566DB3">
        <w:t xml:space="preserve">Departmental expenditure estimates are based on other like </w:t>
      </w:r>
      <w:r>
        <w:t>initiatives</w:t>
      </w:r>
      <w:r w:rsidRPr="00566DB3">
        <w:t xml:space="preserve"> and estimates account for the net effect of indexation parameters and the efficiency dividend, in accordance with the Department of Finance’s costing practices.</w:t>
      </w:r>
      <w:r>
        <w:t xml:space="preserve">  The impact of the proposal on administered expenditure was derived by subtracting the departmental expenditure from the specified capped amount.</w:t>
      </w:r>
    </w:p>
    <w:p w:rsidR="00FE028E" w:rsidRPr="00E32466" w:rsidRDefault="00FE028E" w:rsidP="00FE028E">
      <w:pPr>
        <w:keepLines/>
        <w:rPr>
          <w:b/>
          <w:color w:val="2B3B5F"/>
          <w:sz w:val="24"/>
        </w:rPr>
      </w:pPr>
      <w:r w:rsidRPr="00E32466">
        <w:rPr>
          <w:b/>
          <w:color w:val="2B3B5F"/>
          <w:sz w:val="24"/>
        </w:rPr>
        <w:t>Component</w:t>
      </w:r>
      <w:r w:rsidR="00144B55" w:rsidRPr="00E32466">
        <w:rPr>
          <w:b/>
          <w:color w:val="2B3B5F"/>
          <w:sz w:val="24"/>
        </w:rPr>
        <w:t xml:space="preserve"> 9</w:t>
      </w:r>
    </w:p>
    <w:p w:rsidR="005E3562" w:rsidRPr="00002D5D" w:rsidRDefault="00FE028E" w:rsidP="00FE028E">
      <w:pPr>
        <w:keepLines/>
      </w:pPr>
      <w:r>
        <w:t>The proposal for an Urban National Park category within the National Reserve System involves departmental expenditure only and has been costed as additional to the capped grant package.</w:t>
      </w:r>
    </w:p>
    <w:p w:rsidR="005E3562" w:rsidRPr="00FC6579" w:rsidRDefault="005E3562" w:rsidP="00E40B8B">
      <w:pPr>
        <w:pStyle w:val="Heading2"/>
      </w:pPr>
      <w:r w:rsidRPr="00FC6579">
        <w:lastRenderedPageBreak/>
        <w:t>Data source</w:t>
      </w:r>
    </w:p>
    <w:p w:rsidR="005E3562" w:rsidRPr="00A61536" w:rsidRDefault="00377101" w:rsidP="00E40B8B">
      <w:pPr>
        <w:keepNext/>
        <w:keepLines/>
      </w:pPr>
      <w:r w:rsidRPr="00323E47">
        <w:t>The Department</w:t>
      </w:r>
      <w:r>
        <w:t xml:space="preserve"> of Finance provided indexation and efficiency dividend parameters</w:t>
      </w:r>
      <w:r w:rsidR="00A61536" w:rsidRPr="00A61536">
        <w:t>.</w:t>
      </w:r>
    </w:p>
    <w:p w:rsidR="00CA5D42" w:rsidRPr="00FC6579" w:rsidRDefault="00CA5D42" w:rsidP="00FC6579">
      <w:pPr>
        <w:pStyle w:val="Bullet3"/>
        <w:rPr>
          <w:highlight w:val="yellow"/>
        </w:rPr>
        <w:sectPr w:rsidR="00CA5D42" w:rsidRPr="00FC6579" w:rsidSect="00002D5D">
          <w:headerReference w:type="first" r:id="rId13"/>
          <w:footerReference w:type="first" r:id="rId14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AB4C49" w:rsidRDefault="00AB4C49" w:rsidP="009256FA">
      <w:pPr>
        <w:pStyle w:val="Heading1"/>
      </w:pPr>
      <w:r w:rsidRPr="00FC6579">
        <w:lastRenderedPageBreak/>
        <w:t>Attachment A:</w:t>
      </w:r>
      <w:r w:rsidR="00B32879">
        <w:t xml:space="preserve"> </w:t>
      </w:r>
      <w:r w:rsidR="009256FA">
        <w:t xml:space="preserve"> </w:t>
      </w:r>
      <w:r w:rsidR="009256FA" w:rsidRPr="009256FA">
        <w:t>National Urban Forests Plan</w:t>
      </w:r>
      <w:r>
        <w:t>—financial implications</w:t>
      </w:r>
    </w:p>
    <w:p w:rsidR="00F52474" w:rsidRPr="00FC6579" w:rsidRDefault="00F52474" w:rsidP="00FC6579">
      <w:pPr>
        <w:pStyle w:val="Captionheading"/>
      </w:pPr>
      <w:r w:rsidRPr="00FC6579">
        <w:t xml:space="preserve">Table </w:t>
      </w:r>
      <w:r w:rsidR="00AB4C49">
        <w:t>A1</w:t>
      </w:r>
      <w:r w:rsidRPr="00FC6579">
        <w:t xml:space="preserve">: </w:t>
      </w:r>
      <w:r w:rsidR="00AB4C49">
        <w:t>Combined impact of all components</w:t>
      </w:r>
      <w:r w:rsidR="0067143A">
        <w:t>—</w:t>
      </w:r>
      <w:r w:rsidR="00AB4C49">
        <w:t>F</w:t>
      </w:r>
      <w:r w:rsidR="00AB4C49" w:rsidRPr="00DE5D03">
        <w:t>inancial implications</w:t>
      </w:r>
      <w:r w:rsidR="00AB4C49">
        <w:rPr>
          <w:vertAlign w:val="superscript"/>
        </w:rPr>
        <w:t>(a)(b)</w:t>
      </w:r>
    </w:p>
    <w:tbl>
      <w:tblPr>
        <w:tblStyle w:val="TableGrid"/>
        <w:tblW w:w="5000" w:type="pct"/>
        <w:tblLook w:val="0680" w:firstRow="0" w:lastRow="0" w:firstColumn="1" w:lastColumn="0" w:noHBand="1" w:noVBand="1"/>
      </w:tblPr>
      <w:tblGrid>
        <w:gridCol w:w="1975"/>
        <w:gridCol w:w="905"/>
        <w:gridCol w:w="897"/>
        <w:gridCol w:w="897"/>
        <w:gridCol w:w="894"/>
        <w:gridCol w:w="984"/>
        <w:gridCol w:w="894"/>
        <w:gridCol w:w="894"/>
        <w:gridCol w:w="897"/>
        <w:gridCol w:w="897"/>
        <w:gridCol w:w="903"/>
        <w:gridCol w:w="903"/>
        <w:gridCol w:w="1034"/>
        <w:gridCol w:w="1040"/>
      </w:tblGrid>
      <w:tr w:rsidR="00922C7F" w:rsidRPr="00B31810" w:rsidTr="00E1641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shd w:val="clear" w:color="auto" w:fill="D7DDE9"/>
          </w:tcPr>
          <w:p w:rsidR="00922C7F" w:rsidRPr="00B31810" w:rsidRDefault="00922C7F" w:rsidP="0067143A">
            <w:pPr>
              <w:keepNext/>
              <w:keepLines/>
              <w:spacing w:before="70" w:after="70" w:line="240" w:lineRule="auto"/>
              <w:ind w:left="57" w:right="57"/>
            </w:pPr>
            <w:r w:rsidRPr="00B31810">
              <w:t>($m)</w:t>
            </w:r>
          </w:p>
        </w:tc>
        <w:tc>
          <w:tcPr>
            <w:tcW w:w="323" w:type="pct"/>
            <w:shd w:val="clear" w:color="auto" w:fill="D7DDE9"/>
            <w:vAlign w:val="center"/>
          </w:tcPr>
          <w:p w:rsidR="00922C7F" w:rsidRPr="00C24267" w:rsidRDefault="00922C7F" w:rsidP="0067143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2016–17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922C7F" w:rsidRPr="00C24267" w:rsidRDefault="00922C7F" w:rsidP="0067143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2017–18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922C7F" w:rsidRPr="00C24267" w:rsidRDefault="00922C7F" w:rsidP="0067143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2018–19</w:t>
            </w:r>
          </w:p>
        </w:tc>
        <w:tc>
          <w:tcPr>
            <w:tcW w:w="319" w:type="pct"/>
            <w:shd w:val="clear" w:color="auto" w:fill="D7DDE9"/>
            <w:vAlign w:val="center"/>
          </w:tcPr>
          <w:p w:rsidR="00922C7F" w:rsidRPr="00C24267" w:rsidRDefault="00922C7F" w:rsidP="0067143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2019–20</w:t>
            </w:r>
          </w:p>
        </w:tc>
        <w:tc>
          <w:tcPr>
            <w:tcW w:w="351" w:type="pct"/>
            <w:shd w:val="clear" w:color="auto" w:fill="D7DDE9"/>
            <w:vAlign w:val="center"/>
          </w:tcPr>
          <w:p w:rsidR="00922C7F" w:rsidRPr="00030CF3" w:rsidRDefault="00922C7F" w:rsidP="0067143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0CF3">
              <w:rPr>
                <w:b/>
              </w:rPr>
              <w:t>Total to 2019–20</w:t>
            </w:r>
          </w:p>
        </w:tc>
        <w:tc>
          <w:tcPr>
            <w:tcW w:w="319" w:type="pct"/>
            <w:shd w:val="clear" w:color="auto" w:fill="D7DDE9"/>
            <w:vAlign w:val="center"/>
          </w:tcPr>
          <w:p w:rsidR="00922C7F" w:rsidRPr="00C24267" w:rsidRDefault="00922C7F" w:rsidP="0067143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2020–21</w:t>
            </w:r>
          </w:p>
        </w:tc>
        <w:tc>
          <w:tcPr>
            <w:tcW w:w="319" w:type="pct"/>
            <w:shd w:val="clear" w:color="auto" w:fill="D7DDE9"/>
            <w:vAlign w:val="center"/>
          </w:tcPr>
          <w:p w:rsidR="00922C7F" w:rsidRPr="00C24267" w:rsidRDefault="00922C7F" w:rsidP="0067143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2021–22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922C7F" w:rsidRPr="00C24267" w:rsidRDefault="00922C7F" w:rsidP="0067143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2022–23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922C7F" w:rsidRPr="00C24267" w:rsidRDefault="00922C7F" w:rsidP="0067143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2023–24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922C7F" w:rsidRPr="00C24267" w:rsidRDefault="00922C7F" w:rsidP="0067143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2024–25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922C7F" w:rsidRPr="00C24267" w:rsidRDefault="00922C7F" w:rsidP="0067143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2025–26</w:t>
            </w:r>
          </w:p>
        </w:tc>
        <w:tc>
          <w:tcPr>
            <w:tcW w:w="369" w:type="pct"/>
            <w:shd w:val="clear" w:color="auto" w:fill="D7DDE9"/>
            <w:vAlign w:val="center"/>
          </w:tcPr>
          <w:p w:rsidR="00922C7F" w:rsidRDefault="00922C7F" w:rsidP="0067143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2026-27</w:t>
            </w:r>
          </w:p>
        </w:tc>
        <w:tc>
          <w:tcPr>
            <w:tcW w:w="371" w:type="pct"/>
            <w:shd w:val="clear" w:color="auto" w:fill="D7DDE9"/>
            <w:vAlign w:val="center"/>
          </w:tcPr>
          <w:p w:rsidR="00922C7F" w:rsidRPr="00030CF3" w:rsidRDefault="00922C7F" w:rsidP="0067143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0CF3">
              <w:rPr>
                <w:b/>
              </w:rPr>
              <w:t>Total to 2026–27</w:t>
            </w:r>
          </w:p>
        </w:tc>
      </w:tr>
      <w:tr w:rsidR="009256FA" w:rsidRPr="00D94017" w:rsidTr="009F33D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</w:tcPr>
          <w:p w:rsidR="009256FA" w:rsidRPr="009256FA" w:rsidRDefault="009256FA" w:rsidP="0067143A">
            <w:pPr>
              <w:spacing w:before="70" w:after="70" w:line="240" w:lineRule="auto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Impact on f</w:t>
            </w:r>
            <w:r w:rsidRPr="00BD503B">
              <w:rPr>
                <w:b/>
                <w:szCs w:val="20"/>
              </w:rPr>
              <w:t>iscal and underlying cash balances</w:t>
            </w:r>
          </w:p>
        </w:tc>
      </w:tr>
      <w:tr w:rsidR="009256FA" w:rsidRPr="00D94017" w:rsidTr="00E1641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</w:tcPr>
          <w:p w:rsidR="009256FA" w:rsidRPr="00D94017" w:rsidRDefault="009256FA" w:rsidP="0067143A">
            <w:pPr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D94017">
              <w:rPr>
                <w:sz w:val="20"/>
                <w:szCs w:val="20"/>
              </w:rPr>
              <w:t>Administered</w:t>
            </w:r>
          </w:p>
        </w:tc>
        <w:tc>
          <w:tcPr>
            <w:tcW w:w="323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 xml:space="preserve">-27.6 </w:t>
            </w:r>
          </w:p>
        </w:tc>
        <w:tc>
          <w:tcPr>
            <w:tcW w:w="320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 xml:space="preserve">-27.6 </w:t>
            </w:r>
          </w:p>
        </w:tc>
        <w:tc>
          <w:tcPr>
            <w:tcW w:w="320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 xml:space="preserve">-27.6 </w:t>
            </w:r>
          </w:p>
        </w:tc>
        <w:tc>
          <w:tcPr>
            <w:tcW w:w="319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 xml:space="preserve">-27.6 </w:t>
            </w:r>
          </w:p>
        </w:tc>
        <w:tc>
          <w:tcPr>
            <w:tcW w:w="351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 xml:space="preserve">-110.5 </w:t>
            </w:r>
          </w:p>
        </w:tc>
        <w:tc>
          <w:tcPr>
            <w:tcW w:w="319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 xml:space="preserve">-110.5 </w:t>
            </w:r>
          </w:p>
        </w:tc>
        <w:tc>
          <w:tcPr>
            <w:tcW w:w="319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 xml:space="preserve">-27.6 </w:t>
            </w:r>
          </w:p>
        </w:tc>
        <w:tc>
          <w:tcPr>
            <w:tcW w:w="320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 xml:space="preserve">-27.6 </w:t>
            </w:r>
          </w:p>
        </w:tc>
        <w:tc>
          <w:tcPr>
            <w:tcW w:w="320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 xml:space="preserve">-27.6 </w:t>
            </w:r>
          </w:p>
        </w:tc>
        <w:tc>
          <w:tcPr>
            <w:tcW w:w="322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 xml:space="preserve">-27.6 </w:t>
            </w:r>
          </w:p>
        </w:tc>
        <w:tc>
          <w:tcPr>
            <w:tcW w:w="322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 xml:space="preserve">-27.6 </w:t>
            </w:r>
          </w:p>
        </w:tc>
        <w:tc>
          <w:tcPr>
            <w:tcW w:w="369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 xml:space="preserve">-27.6 </w:t>
            </w:r>
          </w:p>
        </w:tc>
        <w:tc>
          <w:tcPr>
            <w:tcW w:w="371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 xml:space="preserve">-386.5 </w:t>
            </w:r>
          </w:p>
        </w:tc>
      </w:tr>
      <w:tr w:rsidR="009256FA" w:rsidRPr="00D94017" w:rsidTr="00E1641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</w:tcPr>
          <w:p w:rsidR="009256FA" w:rsidRPr="00D94017" w:rsidRDefault="009256FA" w:rsidP="0067143A">
            <w:pPr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D94017">
              <w:rPr>
                <w:sz w:val="20"/>
                <w:szCs w:val="20"/>
              </w:rPr>
              <w:t>Departmental</w:t>
            </w:r>
          </w:p>
        </w:tc>
        <w:tc>
          <w:tcPr>
            <w:tcW w:w="323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 xml:space="preserve">-1.6 </w:t>
            </w:r>
          </w:p>
        </w:tc>
        <w:tc>
          <w:tcPr>
            <w:tcW w:w="320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 xml:space="preserve">-1.4 </w:t>
            </w:r>
          </w:p>
        </w:tc>
        <w:tc>
          <w:tcPr>
            <w:tcW w:w="320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 xml:space="preserve">-1.4 </w:t>
            </w:r>
          </w:p>
        </w:tc>
        <w:tc>
          <w:tcPr>
            <w:tcW w:w="319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 xml:space="preserve">-1.4 </w:t>
            </w:r>
          </w:p>
        </w:tc>
        <w:tc>
          <w:tcPr>
            <w:tcW w:w="351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 xml:space="preserve">-5.7 </w:t>
            </w:r>
          </w:p>
        </w:tc>
        <w:tc>
          <w:tcPr>
            <w:tcW w:w="319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 xml:space="preserve">-5.7 </w:t>
            </w:r>
          </w:p>
        </w:tc>
        <w:tc>
          <w:tcPr>
            <w:tcW w:w="319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 xml:space="preserve">-1.4 </w:t>
            </w:r>
          </w:p>
        </w:tc>
        <w:tc>
          <w:tcPr>
            <w:tcW w:w="320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 xml:space="preserve">-1.4 </w:t>
            </w:r>
          </w:p>
        </w:tc>
        <w:tc>
          <w:tcPr>
            <w:tcW w:w="320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 xml:space="preserve">-1.4 </w:t>
            </w:r>
          </w:p>
        </w:tc>
        <w:tc>
          <w:tcPr>
            <w:tcW w:w="322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 xml:space="preserve">-1.4 </w:t>
            </w:r>
          </w:p>
        </w:tc>
        <w:tc>
          <w:tcPr>
            <w:tcW w:w="322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 xml:space="preserve">-1.4 </w:t>
            </w:r>
          </w:p>
        </w:tc>
        <w:tc>
          <w:tcPr>
            <w:tcW w:w="369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 xml:space="preserve">-1.4 </w:t>
            </w:r>
          </w:p>
        </w:tc>
        <w:tc>
          <w:tcPr>
            <w:tcW w:w="371" w:type="pct"/>
            <w:vAlign w:val="center"/>
          </w:tcPr>
          <w:p w:rsidR="009256FA" w:rsidRPr="009F33D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 xml:space="preserve">-19.8 </w:t>
            </w:r>
          </w:p>
        </w:tc>
      </w:tr>
      <w:tr w:rsidR="009256FA" w:rsidRPr="00D94017" w:rsidTr="00E1641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pct"/>
            <w:shd w:val="clear" w:color="auto" w:fill="D7DDE9"/>
          </w:tcPr>
          <w:p w:rsidR="009256FA" w:rsidRPr="00D94017" w:rsidRDefault="009256FA" w:rsidP="0067143A">
            <w:pPr>
              <w:spacing w:before="70" w:after="70" w:line="240" w:lineRule="auto"/>
              <w:ind w:left="57" w:right="57"/>
              <w:rPr>
                <w:b/>
                <w:sz w:val="20"/>
                <w:szCs w:val="20"/>
              </w:rPr>
            </w:pPr>
            <w:r w:rsidRPr="00D94017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23" w:type="pct"/>
            <w:shd w:val="clear" w:color="auto" w:fill="D7DDE9"/>
            <w:vAlign w:val="center"/>
          </w:tcPr>
          <w:p w:rsidR="009256FA" w:rsidRPr="009256F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256FA">
              <w:rPr>
                <w:b/>
                <w:sz w:val="20"/>
                <w:szCs w:val="20"/>
              </w:rPr>
              <w:t xml:space="preserve">-29.2 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9256FA" w:rsidRPr="009256F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256FA">
              <w:rPr>
                <w:b/>
                <w:sz w:val="20"/>
                <w:szCs w:val="20"/>
              </w:rPr>
              <w:t xml:space="preserve">-29.0 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9256FA" w:rsidRPr="009256F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256FA">
              <w:rPr>
                <w:b/>
                <w:sz w:val="20"/>
                <w:szCs w:val="20"/>
              </w:rPr>
              <w:t xml:space="preserve">-29.0 </w:t>
            </w:r>
          </w:p>
        </w:tc>
        <w:tc>
          <w:tcPr>
            <w:tcW w:w="319" w:type="pct"/>
            <w:shd w:val="clear" w:color="auto" w:fill="D7DDE9"/>
            <w:vAlign w:val="center"/>
          </w:tcPr>
          <w:p w:rsidR="009256FA" w:rsidRPr="009256F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256FA">
              <w:rPr>
                <w:b/>
                <w:sz w:val="20"/>
                <w:szCs w:val="20"/>
              </w:rPr>
              <w:t xml:space="preserve">-29.0 </w:t>
            </w:r>
          </w:p>
        </w:tc>
        <w:tc>
          <w:tcPr>
            <w:tcW w:w="351" w:type="pct"/>
            <w:shd w:val="clear" w:color="auto" w:fill="D7DDE9"/>
            <w:vAlign w:val="center"/>
          </w:tcPr>
          <w:p w:rsidR="009256FA" w:rsidRPr="009256F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256FA">
              <w:rPr>
                <w:b/>
                <w:sz w:val="20"/>
                <w:szCs w:val="20"/>
              </w:rPr>
              <w:t xml:space="preserve">-116.2 </w:t>
            </w:r>
          </w:p>
        </w:tc>
        <w:tc>
          <w:tcPr>
            <w:tcW w:w="319" w:type="pct"/>
            <w:shd w:val="clear" w:color="auto" w:fill="D7DDE9"/>
            <w:vAlign w:val="center"/>
          </w:tcPr>
          <w:p w:rsidR="009256FA" w:rsidRPr="009256F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256FA">
              <w:rPr>
                <w:b/>
                <w:sz w:val="20"/>
                <w:szCs w:val="20"/>
              </w:rPr>
              <w:t xml:space="preserve">-116.2 </w:t>
            </w:r>
          </w:p>
        </w:tc>
        <w:tc>
          <w:tcPr>
            <w:tcW w:w="319" w:type="pct"/>
            <w:shd w:val="clear" w:color="auto" w:fill="D7DDE9"/>
            <w:vAlign w:val="center"/>
          </w:tcPr>
          <w:p w:rsidR="009256FA" w:rsidRPr="009256F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256FA">
              <w:rPr>
                <w:b/>
                <w:sz w:val="20"/>
                <w:szCs w:val="20"/>
              </w:rPr>
              <w:t xml:space="preserve">-29.0 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9256FA" w:rsidRPr="009256F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256FA">
              <w:rPr>
                <w:b/>
                <w:sz w:val="20"/>
                <w:szCs w:val="20"/>
              </w:rPr>
              <w:t xml:space="preserve">-29.0 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9256FA" w:rsidRPr="009256F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256FA">
              <w:rPr>
                <w:b/>
                <w:sz w:val="20"/>
                <w:szCs w:val="20"/>
              </w:rPr>
              <w:t xml:space="preserve">-29.0 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9256FA" w:rsidRPr="009256F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256FA">
              <w:rPr>
                <w:b/>
                <w:sz w:val="20"/>
                <w:szCs w:val="20"/>
              </w:rPr>
              <w:t xml:space="preserve">-29.0 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9256FA" w:rsidRPr="009256F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256FA">
              <w:rPr>
                <w:b/>
                <w:sz w:val="20"/>
                <w:szCs w:val="20"/>
              </w:rPr>
              <w:t xml:space="preserve">-29.0 </w:t>
            </w:r>
          </w:p>
        </w:tc>
        <w:tc>
          <w:tcPr>
            <w:tcW w:w="369" w:type="pct"/>
            <w:shd w:val="clear" w:color="auto" w:fill="D7DDE9"/>
            <w:vAlign w:val="center"/>
          </w:tcPr>
          <w:p w:rsidR="009256FA" w:rsidRPr="009256F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256FA">
              <w:rPr>
                <w:b/>
                <w:sz w:val="20"/>
                <w:szCs w:val="20"/>
              </w:rPr>
              <w:t xml:space="preserve">-29.0 </w:t>
            </w:r>
          </w:p>
        </w:tc>
        <w:tc>
          <w:tcPr>
            <w:tcW w:w="371" w:type="pct"/>
            <w:shd w:val="clear" w:color="auto" w:fill="D7DDE9"/>
            <w:vAlign w:val="center"/>
          </w:tcPr>
          <w:p w:rsidR="009256FA" w:rsidRPr="009256FA" w:rsidRDefault="009256FA" w:rsidP="0067143A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256FA">
              <w:rPr>
                <w:b/>
                <w:sz w:val="20"/>
                <w:szCs w:val="20"/>
              </w:rPr>
              <w:t xml:space="preserve">-406.3 </w:t>
            </w:r>
          </w:p>
        </w:tc>
      </w:tr>
    </w:tbl>
    <w:p w:rsidR="00E16416" w:rsidRDefault="00E16416" w:rsidP="0067143A">
      <w:pPr>
        <w:pStyle w:val="Footnotes"/>
        <w:numPr>
          <w:ilvl w:val="0"/>
          <w:numId w:val="20"/>
        </w:numPr>
        <w:ind w:left="284" w:hanging="284"/>
      </w:pPr>
      <w:r w:rsidRPr="00DB3B7E">
        <w:t>A negative number indicates a decrease in revenue or an increase in expenses or net capital investment in accrual and cash terms</w:t>
      </w:r>
      <w:r>
        <w:t xml:space="preserve">.  </w:t>
      </w:r>
    </w:p>
    <w:p w:rsidR="00E16416" w:rsidRDefault="00E16416" w:rsidP="0067143A">
      <w:pPr>
        <w:pStyle w:val="Footnotes"/>
        <w:numPr>
          <w:ilvl w:val="0"/>
          <w:numId w:val="20"/>
        </w:numPr>
        <w:ind w:left="284" w:hanging="284"/>
      </w:pPr>
      <w:r>
        <w:t>Figures may not sum to totals due to rounding.</w:t>
      </w:r>
    </w:p>
    <w:p w:rsidR="00E16416" w:rsidRDefault="00E16416" w:rsidP="0067143A">
      <w:pPr>
        <w:pStyle w:val="Footnotes"/>
        <w:numPr>
          <w:ilvl w:val="0"/>
          <w:numId w:val="10"/>
        </w:numPr>
        <w:ind w:left="284" w:hanging="284"/>
      </w:pPr>
      <w:r>
        <w:t>Indicates nil.</w:t>
      </w:r>
    </w:p>
    <w:p w:rsidR="00771A2D" w:rsidRPr="00FC6579" w:rsidRDefault="00771A2D" w:rsidP="009F33DA">
      <w:pPr>
        <w:pStyle w:val="Captionheading"/>
        <w:keepLines/>
      </w:pPr>
      <w:r w:rsidRPr="00FC6579">
        <w:lastRenderedPageBreak/>
        <w:t xml:space="preserve">Table </w:t>
      </w:r>
      <w:r>
        <w:t>A2</w:t>
      </w:r>
      <w:r w:rsidRPr="00FC6579">
        <w:t xml:space="preserve">: </w:t>
      </w:r>
      <w:r>
        <w:t xml:space="preserve">Component 1: </w:t>
      </w:r>
      <w:r w:rsidR="0091365F" w:rsidRPr="0091365F">
        <w:t>Urban Forest Acquisition Fund</w:t>
      </w:r>
      <w:r w:rsidR="0067143A">
        <w:t>—</w:t>
      </w:r>
      <w:r>
        <w:t>F</w:t>
      </w:r>
      <w:r w:rsidRPr="00DE5D03">
        <w:t>inancial implications</w:t>
      </w:r>
      <w:r>
        <w:rPr>
          <w:vertAlign w:val="superscript"/>
        </w:rPr>
        <w:t>(a)(b)</w:t>
      </w:r>
    </w:p>
    <w:tbl>
      <w:tblPr>
        <w:tblStyle w:val="TableGrid"/>
        <w:tblW w:w="5031" w:type="pct"/>
        <w:tblLook w:val="0680" w:firstRow="0" w:lastRow="0" w:firstColumn="1" w:lastColumn="0" w:noHBand="1" w:noVBand="1"/>
      </w:tblPr>
      <w:tblGrid>
        <w:gridCol w:w="1992"/>
        <w:gridCol w:w="909"/>
        <w:gridCol w:w="905"/>
        <w:gridCol w:w="905"/>
        <w:gridCol w:w="902"/>
        <w:gridCol w:w="993"/>
        <w:gridCol w:w="902"/>
        <w:gridCol w:w="902"/>
        <w:gridCol w:w="905"/>
        <w:gridCol w:w="905"/>
        <w:gridCol w:w="908"/>
        <w:gridCol w:w="908"/>
        <w:gridCol w:w="993"/>
        <w:gridCol w:w="1072"/>
      </w:tblGrid>
      <w:tr w:rsidR="00807FA2" w:rsidRPr="00B31810" w:rsidTr="00ED5D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shd w:val="clear" w:color="auto" w:fill="D7DDE9"/>
          </w:tcPr>
          <w:p w:rsidR="00807FA2" w:rsidRPr="00B31810" w:rsidRDefault="00807FA2" w:rsidP="009F33DA">
            <w:pPr>
              <w:keepNext/>
              <w:keepLines/>
              <w:spacing w:before="70" w:after="70" w:line="240" w:lineRule="auto"/>
              <w:ind w:left="57" w:right="57"/>
            </w:pPr>
            <w:r w:rsidRPr="00B31810">
              <w:t>($m)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807FA2" w:rsidRPr="00C24267" w:rsidRDefault="00807FA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2016–17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807FA2" w:rsidRPr="00C24267" w:rsidRDefault="00807FA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2017–18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807FA2" w:rsidRPr="00C24267" w:rsidRDefault="00807FA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2018–19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807FA2" w:rsidRPr="00C24267" w:rsidRDefault="00807FA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2019–20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807FA2" w:rsidRPr="00030CF3" w:rsidRDefault="00807FA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0CF3">
              <w:rPr>
                <w:b/>
              </w:rPr>
              <w:t>Total to 2019–20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807FA2" w:rsidRPr="00C24267" w:rsidRDefault="00807FA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2020–21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807FA2" w:rsidRPr="00C24267" w:rsidRDefault="00807FA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2021–22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807FA2" w:rsidRPr="00C24267" w:rsidRDefault="00807FA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2022–23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807FA2" w:rsidRPr="00C24267" w:rsidRDefault="00807FA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2023–24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807FA2" w:rsidRPr="00C24267" w:rsidRDefault="00807FA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2024–25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807FA2" w:rsidRPr="00C24267" w:rsidRDefault="00807FA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2025–26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807FA2" w:rsidRDefault="00807FA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2026-27</w:t>
            </w:r>
          </w:p>
        </w:tc>
        <w:tc>
          <w:tcPr>
            <w:tcW w:w="380" w:type="pct"/>
            <w:shd w:val="clear" w:color="auto" w:fill="D7DDE9"/>
            <w:vAlign w:val="center"/>
          </w:tcPr>
          <w:p w:rsidR="00807FA2" w:rsidRPr="00030CF3" w:rsidRDefault="00807FA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0CF3">
              <w:rPr>
                <w:b/>
              </w:rPr>
              <w:t>Total to 2026–27</w:t>
            </w:r>
          </w:p>
        </w:tc>
      </w:tr>
      <w:tr w:rsidR="0091365F" w:rsidRPr="00D94017" w:rsidTr="009F33D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</w:tcPr>
          <w:p w:rsidR="0091365F" w:rsidRPr="00030CF3" w:rsidRDefault="0091365F" w:rsidP="009F33DA">
            <w:pPr>
              <w:keepNext/>
              <w:keepLines/>
              <w:spacing w:before="70" w:after="70" w:line="240" w:lineRule="auto"/>
              <w:ind w:left="57" w:right="57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szCs w:val="20"/>
              </w:rPr>
              <w:t>Impact on f</w:t>
            </w:r>
            <w:r w:rsidRPr="00BD503B">
              <w:rPr>
                <w:b/>
                <w:szCs w:val="20"/>
              </w:rPr>
              <w:t>iscal and underlying cash balances</w:t>
            </w:r>
          </w:p>
        </w:tc>
      </w:tr>
      <w:tr w:rsidR="0091365F" w:rsidRPr="00D94017" w:rsidTr="009F33D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</w:tcPr>
          <w:p w:rsidR="0091365F" w:rsidRPr="00D94017" w:rsidRDefault="0091365F" w:rsidP="009F33DA">
            <w:pPr>
              <w:keepNext/>
              <w:keepLines/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D94017">
              <w:rPr>
                <w:sz w:val="20"/>
                <w:szCs w:val="20"/>
              </w:rPr>
              <w:t>Administered</w:t>
            </w:r>
          </w:p>
        </w:tc>
        <w:tc>
          <w:tcPr>
            <w:tcW w:w="32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-14.4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-14.4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-14.4</w:t>
            </w:r>
          </w:p>
        </w:tc>
        <w:tc>
          <w:tcPr>
            <w:tcW w:w="32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-14.4</w:t>
            </w:r>
          </w:p>
        </w:tc>
        <w:tc>
          <w:tcPr>
            <w:tcW w:w="35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-57.6</w:t>
            </w:r>
          </w:p>
        </w:tc>
        <w:tc>
          <w:tcPr>
            <w:tcW w:w="32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-14.4</w:t>
            </w:r>
          </w:p>
        </w:tc>
        <w:tc>
          <w:tcPr>
            <w:tcW w:w="32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-14.4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-14.4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-14.4</w:t>
            </w:r>
          </w:p>
        </w:tc>
        <w:tc>
          <w:tcPr>
            <w:tcW w:w="32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-14.4</w:t>
            </w:r>
          </w:p>
        </w:tc>
        <w:tc>
          <w:tcPr>
            <w:tcW w:w="32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-14.4</w:t>
            </w:r>
          </w:p>
        </w:tc>
        <w:tc>
          <w:tcPr>
            <w:tcW w:w="35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-14.4</w:t>
            </w:r>
          </w:p>
        </w:tc>
        <w:tc>
          <w:tcPr>
            <w:tcW w:w="38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-158.3</w:t>
            </w:r>
          </w:p>
        </w:tc>
      </w:tr>
      <w:tr w:rsidR="0091365F" w:rsidRPr="00D94017" w:rsidTr="0091365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</w:tcPr>
          <w:p w:rsidR="0091365F" w:rsidRPr="00D94017" w:rsidRDefault="0091365F" w:rsidP="009F33DA">
            <w:pPr>
              <w:keepNext/>
              <w:keepLines/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D94017">
              <w:rPr>
                <w:sz w:val="20"/>
                <w:szCs w:val="20"/>
              </w:rPr>
              <w:t>Departmental</w:t>
            </w:r>
          </w:p>
        </w:tc>
        <w:tc>
          <w:tcPr>
            <w:tcW w:w="32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-0.6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-0.6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-0.6</w:t>
            </w:r>
          </w:p>
        </w:tc>
        <w:tc>
          <w:tcPr>
            <w:tcW w:w="32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-0.6</w:t>
            </w:r>
          </w:p>
        </w:tc>
        <w:tc>
          <w:tcPr>
            <w:tcW w:w="35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-2.4</w:t>
            </w:r>
          </w:p>
        </w:tc>
        <w:tc>
          <w:tcPr>
            <w:tcW w:w="32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-0.6</w:t>
            </w:r>
          </w:p>
        </w:tc>
        <w:tc>
          <w:tcPr>
            <w:tcW w:w="32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-0.6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-0.6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-0.6</w:t>
            </w:r>
          </w:p>
        </w:tc>
        <w:tc>
          <w:tcPr>
            <w:tcW w:w="32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-0.6</w:t>
            </w:r>
          </w:p>
        </w:tc>
        <w:tc>
          <w:tcPr>
            <w:tcW w:w="32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-0.6</w:t>
            </w:r>
          </w:p>
        </w:tc>
        <w:tc>
          <w:tcPr>
            <w:tcW w:w="35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-0.6</w:t>
            </w:r>
          </w:p>
        </w:tc>
        <w:tc>
          <w:tcPr>
            <w:tcW w:w="38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-6.7</w:t>
            </w:r>
          </w:p>
        </w:tc>
      </w:tr>
      <w:tr w:rsidR="0091365F" w:rsidRPr="00D94017" w:rsidTr="0091365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shd w:val="clear" w:color="auto" w:fill="D7DDE9"/>
          </w:tcPr>
          <w:p w:rsidR="0091365F" w:rsidRPr="00D94017" w:rsidRDefault="0091365F" w:rsidP="009F33DA">
            <w:pPr>
              <w:keepNext/>
              <w:keepLines/>
              <w:spacing w:before="70" w:after="70" w:line="240" w:lineRule="auto"/>
              <w:ind w:left="57" w:right="57"/>
              <w:rPr>
                <w:b/>
                <w:sz w:val="20"/>
                <w:szCs w:val="20"/>
              </w:rPr>
            </w:pPr>
            <w:r w:rsidRPr="00D94017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-15.0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-15.0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-15.0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-15.0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-60.0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-15.0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-15.0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-15.0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-15.0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-15.0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-15.0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-15.0</w:t>
            </w:r>
          </w:p>
        </w:tc>
        <w:tc>
          <w:tcPr>
            <w:tcW w:w="380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-165.0</w:t>
            </w:r>
          </w:p>
        </w:tc>
      </w:tr>
    </w:tbl>
    <w:p w:rsidR="0091365F" w:rsidRDefault="0091365F" w:rsidP="009F33DA">
      <w:pPr>
        <w:pStyle w:val="Footnotes"/>
        <w:keepNext/>
        <w:keepLines/>
        <w:numPr>
          <w:ilvl w:val="0"/>
          <w:numId w:val="19"/>
        </w:numPr>
        <w:ind w:left="284" w:hanging="284"/>
      </w:pPr>
      <w:r w:rsidRPr="00DB3B7E">
        <w:t>A negative number indicates a decrease in revenue or an increase in expenses or net capital investment in accrual and cash terms</w:t>
      </w:r>
      <w:r>
        <w:t xml:space="preserve">.  </w:t>
      </w:r>
    </w:p>
    <w:p w:rsidR="0091365F" w:rsidRDefault="0091365F" w:rsidP="0067143A">
      <w:pPr>
        <w:pStyle w:val="Footnotes"/>
        <w:numPr>
          <w:ilvl w:val="0"/>
          <w:numId w:val="19"/>
        </w:numPr>
        <w:ind w:left="284" w:hanging="284"/>
      </w:pPr>
      <w:r>
        <w:t>Figures may not sum to totals due to rounding.</w:t>
      </w:r>
    </w:p>
    <w:p w:rsidR="0091365F" w:rsidRDefault="0091365F" w:rsidP="0067143A">
      <w:pPr>
        <w:pStyle w:val="Footnotes"/>
        <w:numPr>
          <w:ilvl w:val="0"/>
          <w:numId w:val="10"/>
        </w:numPr>
        <w:ind w:left="284" w:hanging="284"/>
      </w:pPr>
      <w:r>
        <w:t>Indicates nil.</w:t>
      </w:r>
    </w:p>
    <w:p w:rsidR="00771A2D" w:rsidRPr="00FC6579" w:rsidRDefault="00771A2D" w:rsidP="009F33DA">
      <w:pPr>
        <w:pStyle w:val="Captionheading"/>
        <w:keepLines/>
        <w:spacing w:before="240"/>
      </w:pPr>
      <w:r w:rsidRPr="00FC6579">
        <w:t xml:space="preserve">Table </w:t>
      </w:r>
      <w:r>
        <w:t>A3</w:t>
      </w:r>
      <w:r w:rsidRPr="00FC6579">
        <w:t xml:space="preserve">: </w:t>
      </w:r>
      <w:r>
        <w:t xml:space="preserve">Component 2: </w:t>
      </w:r>
      <w:r w:rsidR="0091365F" w:rsidRPr="0091365F">
        <w:t>Community Grants</w:t>
      </w:r>
      <w:r w:rsidR="0067143A">
        <w:t>—</w:t>
      </w:r>
      <w:r>
        <w:t>F</w:t>
      </w:r>
      <w:r w:rsidRPr="00DE5D03">
        <w:t>inancial implications</w:t>
      </w:r>
      <w:r>
        <w:rPr>
          <w:vertAlign w:val="superscript"/>
        </w:rPr>
        <w:t>(a)(b)</w:t>
      </w:r>
    </w:p>
    <w:tbl>
      <w:tblPr>
        <w:tblStyle w:val="TableGrid"/>
        <w:tblW w:w="5031" w:type="pct"/>
        <w:tblLook w:val="0680" w:firstRow="0" w:lastRow="0" w:firstColumn="1" w:lastColumn="0" w:noHBand="1" w:noVBand="1"/>
      </w:tblPr>
      <w:tblGrid>
        <w:gridCol w:w="1992"/>
        <w:gridCol w:w="909"/>
        <w:gridCol w:w="905"/>
        <w:gridCol w:w="905"/>
        <w:gridCol w:w="902"/>
        <w:gridCol w:w="993"/>
        <w:gridCol w:w="902"/>
        <w:gridCol w:w="902"/>
        <w:gridCol w:w="905"/>
        <w:gridCol w:w="905"/>
        <w:gridCol w:w="908"/>
        <w:gridCol w:w="908"/>
        <w:gridCol w:w="993"/>
        <w:gridCol w:w="1072"/>
      </w:tblGrid>
      <w:tr w:rsidR="00616172" w:rsidRPr="00B31810" w:rsidTr="00D347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shd w:val="clear" w:color="auto" w:fill="D7DDE9"/>
          </w:tcPr>
          <w:p w:rsidR="00616172" w:rsidRPr="00B31810" w:rsidRDefault="00616172" w:rsidP="009F33DA">
            <w:pPr>
              <w:keepNext/>
              <w:keepLines/>
              <w:spacing w:before="70" w:after="70" w:line="240" w:lineRule="auto"/>
              <w:ind w:left="57" w:right="57"/>
            </w:pPr>
            <w:r w:rsidRPr="00B31810">
              <w:t>($m)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616172" w:rsidRPr="00C24267" w:rsidRDefault="0061617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2016–17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616172" w:rsidRPr="00C24267" w:rsidRDefault="0061617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2017–18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616172" w:rsidRPr="00C24267" w:rsidRDefault="0061617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2018–19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616172" w:rsidRPr="00C24267" w:rsidRDefault="0061617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2019–20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616172" w:rsidRPr="00030CF3" w:rsidRDefault="0061617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0CF3">
              <w:rPr>
                <w:b/>
              </w:rPr>
              <w:t>Total to 2019–20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616172" w:rsidRPr="00C24267" w:rsidRDefault="0061617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2020–21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616172" w:rsidRPr="00C24267" w:rsidRDefault="0061617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2021–22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616172" w:rsidRPr="00C24267" w:rsidRDefault="0061617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2022–23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616172" w:rsidRPr="00C24267" w:rsidRDefault="0061617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2023–24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616172" w:rsidRPr="00C24267" w:rsidRDefault="0061617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2024–25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616172" w:rsidRPr="00C24267" w:rsidRDefault="0061617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2025–26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616172" w:rsidRDefault="0061617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2026-27</w:t>
            </w:r>
          </w:p>
        </w:tc>
        <w:tc>
          <w:tcPr>
            <w:tcW w:w="380" w:type="pct"/>
            <w:shd w:val="clear" w:color="auto" w:fill="D7DDE9"/>
            <w:vAlign w:val="center"/>
          </w:tcPr>
          <w:p w:rsidR="00616172" w:rsidRPr="00030CF3" w:rsidRDefault="00616172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0CF3">
              <w:rPr>
                <w:b/>
              </w:rPr>
              <w:t>Total to 2026–27</w:t>
            </w:r>
          </w:p>
        </w:tc>
      </w:tr>
      <w:tr w:rsidR="0091365F" w:rsidRPr="00D94017" w:rsidTr="009F33D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</w:tcPr>
          <w:p w:rsidR="0091365F" w:rsidRPr="00030CF3" w:rsidRDefault="0091365F" w:rsidP="009F33DA">
            <w:pPr>
              <w:keepNext/>
              <w:keepLines/>
              <w:spacing w:before="70" w:after="70" w:line="240" w:lineRule="auto"/>
              <w:ind w:left="57" w:right="57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szCs w:val="20"/>
              </w:rPr>
              <w:t>Impact on f</w:t>
            </w:r>
            <w:r w:rsidRPr="00BD503B">
              <w:rPr>
                <w:b/>
                <w:szCs w:val="20"/>
              </w:rPr>
              <w:t>iscal and underlying cash balances</w:t>
            </w:r>
          </w:p>
        </w:tc>
      </w:tr>
      <w:tr w:rsidR="0091365F" w:rsidRPr="00D94017" w:rsidTr="0091365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</w:tcPr>
          <w:p w:rsidR="0091365F" w:rsidRPr="00D94017" w:rsidRDefault="0091365F" w:rsidP="009F33DA">
            <w:pPr>
              <w:keepNext/>
              <w:keepLines/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D94017">
              <w:rPr>
                <w:sz w:val="20"/>
                <w:szCs w:val="20"/>
              </w:rPr>
              <w:t>Administered</w:t>
            </w:r>
          </w:p>
        </w:tc>
        <w:tc>
          <w:tcPr>
            <w:tcW w:w="32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-4.6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-4.6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-4.6</w:t>
            </w:r>
          </w:p>
        </w:tc>
        <w:tc>
          <w:tcPr>
            <w:tcW w:w="32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-4.6</w:t>
            </w:r>
          </w:p>
        </w:tc>
        <w:tc>
          <w:tcPr>
            <w:tcW w:w="35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-18.5</w:t>
            </w:r>
          </w:p>
        </w:tc>
        <w:tc>
          <w:tcPr>
            <w:tcW w:w="32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-4.6</w:t>
            </w:r>
          </w:p>
        </w:tc>
        <w:tc>
          <w:tcPr>
            <w:tcW w:w="32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-4.6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-4.6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-4.6</w:t>
            </w:r>
          </w:p>
        </w:tc>
        <w:tc>
          <w:tcPr>
            <w:tcW w:w="32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-4.6</w:t>
            </w:r>
          </w:p>
        </w:tc>
        <w:tc>
          <w:tcPr>
            <w:tcW w:w="32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-4.6</w:t>
            </w:r>
          </w:p>
        </w:tc>
        <w:tc>
          <w:tcPr>
            <w:tcW w:w="35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-4.6</w:t>
            </w:r>
          </w:p>
        </w:tc>
        <w:tc>
          <w:tcPr>
            <w:tcW w:w="38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-50.7</w:t>
            </w:r>
          </w:p>
        </w:tc>
      </w:tr>
      <w:tr w:rsidR="0091365F" w:rsidRPr="00D94017" w:rsidTr="0091365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</w:tcPr>
          <w:p w:rsidR="0091365F" w:rsidRPr="00D94017" w:rsidRDefault="0091365F" w:rsidP="009F33DA">
            <w:pPr>
              <w:keepNext/>
              <w:keepLines/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D94017">
              <w:rPr>
                <w:sz w:val="20"/>
                <w:szCs w:val="20"/>
              </w:rPr>
              <w:t>Departmental</w:t>
            </w:r>
          </w:p>
        </w:tc>
        <w:tc>
          <w:tcPr>
            <w:tcW w:w="32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-0.4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-0.4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-0.4</w:t>
            </w:r>
          </w:p>
        </w:tc>
        <w:tc>
          <w:tcPr>
            <w:tcW w:w="32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-0.4</w:t>
            </w:r>
          </w:p>
        </w:tc>
        <w:tc>
          <w:tcPr>
            <w:tcW w:w="35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-1.5</w:t>
            </w:r>
          </w:p>
        </w:tc>
        <w:tc>
          <w:tcPr>
            <w:tcW w:w="32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-0.4</w:t>
            </w:r>
          </w:p>
        </w:tc>
        <w:tc>
          <w:tcPr>
            <w:tcW w:w="32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-0.4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-0.4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-0.4</w:t>
            </w:r>
          </w:p>
        </w:tc>
        <w:tc>
          <w:tcPr>
            <w:tcW w:w="32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-0.4</w:t>
            </w:r>
          </w:p>
        </w:tc>
        <w:tc>
          <w:tcPr>
            <w:tcW w:w="32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-0.4</w:t>
            </w:r>
          </w:p>
        </w:tc>
        <w:tc>
          <w:tcPr>
            <w:tcW w:w="35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-0.4</w:t>
            </w:r>
          </w:p>
        </w:tc>
        <w:tc>
          <w:tcPr>
            <w:tcW w:w="38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-4.3</w:t>
            </w:r>
          </w:p>
        </w:tc>
      </w:tr>
      <w:tr w:rsidR="0091365F" w:rsidRPr="00D94017" w:rsidTr="0091365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shd w:val="clear" w:color="auto" w:fill="D7DDE9"/>
          </w:tcPr>
          <w:p w:rsidR="0091365F" w:rsidRPr="00D94017" w:rsidRDefault="0091365F" w:rsidP="009F33DA">
            <w:pPr>
              <w:keepNext/>
              <w:keepLines/>
              <w:spacing w:before="70" w:after="70" w:line="240" w:lineRule="auto"/>
              <w:ind w:left="57" w:right="57"/>
              <w:rPr>
                <w:b/>
                <w:sz w:val="20"/>
                <w:szCs w:val="20"/>
              </w:rPr>
            </w:pPr>
            <w:r w:rsidRPr="00D94017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-5.0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-5.0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-5.0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-5.0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-20.0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-5.0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-5.0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-5.0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-5.0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-5.0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-5.0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-5.0</w:t>
            </w:r>
          </w:p>
        </w:tc>
        <w:tc>
          <w:tcPr>
            <w:tcW w:w="380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-55.0</w:t>
            </w:r>
          </w:p>
        </w:tc>
      </w:tr>
    </w:tbl>
    <w:p w:rsidR="0091365F" w:rsidRDefault="0091365F" w:rsidP="009F33DA">
      <w:pPr>
        <w:pStyle w:val="Footnotes"/>
        <w:keepNext/>
        <w:keepLines/>
        <w:numPr>
          <w:ilvl w:val="0"/>
          <w:numId w:val="18"/>
        </w:numPr>
        <w:ind w:left="284" w:hanging="284"/>
      </w:pPr>
      <w:r w:rsidRPr="00DB3B7E">
        <w:t>A negative number indicates a decrease in revenue or an increase in expenses or net capital investment in accrual and cash terms</w:t>
      </w:r>
      <w:r>
        <w:t xml:space="preserve">.  </w:t>
      </w:r>
    </w:p>
    <w:p w:rsidR="0091365F" w:rsidRDefault="0091365F" w:rsidP="009F33DA">
      <w:pPr>
        <w:pStyle w:val="Footnotes"/>
        <w:keepNext/>
        <w:keepLines/>
        <w:numPr>
          <w:ilvl w:val="0"/>
          <w:numId w:val="18"/>
        </w:numPr>
        <w:ind w:left="284" w:hanging="284"/>
      </w:pPr>
      <w:r>
        <w:t>Figures may not sum to totals due to rounding.</w:t>
      </w:r>
    </w:p>
    <w:p w:rsidR="0091365F" w:rsidRDefault="0091365F" w:rsidP="0067143A">
      <w:pPr>
        <w:pStyle w:val="Footnotes"/>
        <w:numPr>
          <w:ilvl w:val="0"/>
          <w:numId w:val="10"/>
        </w:numPr>
        <w:ind w:left="284" w:hanging="284"/>
      </w:pPr>
      <w:r>
        <w:t>Indicates nil.</w:t>
      </w:r>
    </w:p>
    <w:p w:rsidR="00A27995" w:rsidRPr="00FC6579" w:rsidRDefault="00A27995" w:rsidP="009F33DA">
      <w:pPr>
        <w:pStyle w:val="Captionheading"/>
        <w:keepLines/>
      </w:pPr>
      <w:r w:rsidRPr="00FC6579">
        <w:lastRenderedPageBreak/>
        <w:t xml:space="preserve">Table </w:t>
      </w:r>
      <w:r>
        <w:t>A4</w:t>
      </w:r>
      <w:r w:rsidRPr="00FC6579">
        <w:t xml:space="preserve">: </w:t>
      </w:r>
      <w:r>
        <w:t>Component 3:</w:t>
      </w:r>
      <w:r w:rsidRPr="00F90829">
        <w:t xml:space="preserve"> </w:t>
      </w:r>
      <w:r w:rsidR="0091365F" w:rsidRPr="0091365F">
        <w:t>Household Grants</w:t>
      </w:r>
      <w:r w:rsidR="0067143A">
        <w:t>—</w:t>
      </w:r>
      <w:r>
        <w:t>F</w:t>
      </w:r>
      <w:r w:rsidRPr="00DE5D03">
        <w:t>inancial implications</w:t>
      </w:r>
      <w:r>
        <w:rPr>
          <w:vertAlign w:val="superscript"/>
        </w:rPr>
        <w:t>(a)(b)</w:t>
      </w:r>
    </w:p>
    <w:tbl>
      <w:tblPr>
        <w:tblStyle w:val="TableGrid"/>
        <w:tblW w:w="5031" w:type="pct"/>
        <w:tblLook w:val="0680" w:firstRow="0" w:lastRow="0" w:firstColumn="1" w:lastColumn="0" w:noHBand="1" w:noVBand="1"/>
      </w:tblPr>
      <w:tblGrid>
        <w:gridCol w:w="1992"/>
        <w:gridCol w:w="909"/>
        <w:gridCol w:w="905"/>
        <w:gridCol w:w="905"/>
        <w:gridCol w:w="902"/>
        <w:gridCol w:w="993"/>
        <w:gridCol w:w="902"/>
        <w:gridCol w:w="902"/>
        <w:gridCol w:w="905"/>
        <w:gridCol w:w="905"/>
        <w:gridCol w:w="908"/>
        <w:gridCol w:w="908"/>
        <w:gridCol w:w="993"/>
        <w:gridCol w:w="1072"/>
      </w:tblGrid>
      <w:tr w:rsidR="00D347A8" w:rsidRPr="00B31810" w:rsidTr="00D347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shd w:val="clear" w:color="auto" w:fill="D7DDE9"/>
          </w:tcPr>
          <w:p w:rsidR="00D347A8" w:rsidRPr="00B31810" w:rsidRDefault="00D347A8" w:rsidP="009F33DA">
            <w:pPr>
              <w:keepNext/>
              <w:keepLines/>
              <w:spacing w:before="70" w:after="70" w:line="240" w:lineRule="auto"/>
              <w:ind w:left="57" w:right="57"/>
            </w:pPr>
            <w:r w:rsidRPr="00B31810">
              <w:t>($m)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D347A8" w:rsidRPr="00C24267" w:rsidRDefault="00D347A8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2016–17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D347A8" w:rsidRPr="00C24267" w:rsidRDefault="00D347A8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2017–18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D347A8" w:rsidRPr="00C24267" w:rsidRDefault="00D347A8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2018–19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D347A8" w:rsidRPr="00C24267" w:rsidRDefault="00D347A8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2019–20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D347A8" w:rsidRPr="0091365F" w:rsidRDefault="00D347A8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1365F">
              <w:rPr>
                <w:b/>
              </w:rPr>
              <w:t>Total to 2019–20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D347A8" w:rsidRPr="00C24267" w:rsidRDefault="00D347A8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2020–21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D347A8" w:rsidRPr="00C24267" w:rsidRDefault="00D347A8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2021–22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D347A8" w:rsidRPr="00C24267" w:rsidRDefault="00D347A8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2022–23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D347A8" w:rsidRPr="00C24267" w:rsidRDefault="00D347A8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2023–24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D347A8" w:rsidRPr="00C24267" w:rsidRDefault="00D347A8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2024–25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D347A8" w:rsidRPr="00C24267" w:rsidRDefault="00D347A8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2025–26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D347A8" w:rsidRDefault="00D347A8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2026-27</w:t>
            </w:r>
          </w:p>
        </w:tc>
        <w:tc>
          <w:tcPr>
            <w:tcW w:w="380" w:type="pct"/>
            <w:shd w:val="clear" w:color="auto" w:fill="D7DDE9"/>
            <w:vAlign w:val="center"/>
          </w:tcPr>
          <w:p w:rsidR="00D347A8" w:rsidRPr="0091365F" w:rsidRDefault="00D347A8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1365F">
              <w:rPr>
                <w:b/>
              </w:rPr>
              <w:t>Total to 2026–27</w:t>
            </w:r>
          </w:p>
        </w:tc>
      </w:tr>
      <w:tr w:rsidR="0091365F" w:rsidRPr="00D94017" w:rsidTr="009F33D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</w:pPr>
            <w:r w:rsidRPr="0091365F">
              <w:rPr>
                <w:b/>
                <w:szCs w:val="20"/>
              </w:rPr>
              <w:t>Impact on fiscal and underlying cash balances</w:t>
            </w:r>
          </w:p>
        </w:tc>
      </w:tr>
      <w:tr w:rsidR="0091365F" w:rsidRPr="00D94017" w:rsidTr="0091365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</w:tcPr>
          <w:p w:rsidR="0091365F" w:rsidRPr="00D94017" w:rsidRDefault="0091365F" w:rsidP="009F33DA">
            <w:pPr>
              <w:keepNext/>
              <w:keepLines/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D94017">
              <w:rPr>
                <w:sz w:val="20"/>
                <w:szCs w:val="20"/>
              </w:rPr>
              <w:t>Administered</w:t>
            </w:r>
          </w:p>
        </w:tc>
        <w:tc>
          <w:tcPr>
            <w:tcW w:w="32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5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-3.8</w:t>
            </w:r>
          </w:p>
        </w:tc>
        <w:tc>
          <w:tcPr>
            <w:tcW w:w="32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5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8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-10.4</w:t>
            </w:r>
          </w:p>
        </w:tc>
      </w:tr>
      <w:tr w:rsidR="0091365F" w:rsidRPr="00D94017" w:rsidTr="0091365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</w:tcPr>
          <w:p w:rsidR="0091365F" w:rsidRPr="00D94017" w:rsidRDefault="0091365F" w:rsidP="009F33DA">
            <w:pPr>
              <w:keepNext/>
              <w:keepLines/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D94017">
              <w:rPr>
                <w:sz w:val="20"/>
                <w:szCs w:val="20"/>
              </w:rPr>
              <w:t>Departmental</w:t>
            </w:r>
          </w:p>
        </w:tc>
        <w:tc>
          <w:tcPr>
            <w:tcW w:w="32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5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-0.2</w:t>
            </w:r>
          </w:p>
        </w:tc>
        <w:tc>
          <w:tcPr>
            <w:tcW w:w="32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52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80" w:type="pct"/>
            <w:vAlign w:val="center"/>
          </w:tcPr>
          <w:p w:rsidR="0091365F" w:rsidRPr="009F33DA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-0.6</w:t>
            </w:r>
          </w:p>
        </w:tc>
      </w:tr>
      <w:tr w:rsidR="0091365F" w:rsidRPr="00D94017" w:rsidTr="0091365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shd w:val="clear" w:color="auto" w:fill="D7DDE9"/>
          </w:tcPr>
          <w:p w:rsidR="0091365F" w:rsidRPr="00D94017" w:rsidRDefault="0091365F" w:rsidP="009F33DA">
            <w:pPr>
              <w:keepNext/>
              <w:keepLines/>
              <w:spacing w:before="70" w:after="70" w:line="240" w:lineRule="auto"/>
              <w:ind w:left="57" w:right="57"/>
              <w:rPr>
                <w:b/>
                <w:sz w:val="20"/>
                <w:szCs w:val="20"/>
              </w:rPr>
            </w:pPr>
            <w:r w:rsidRPr="00D94017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-4.0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80" w:type="pct"/>
            <w:shd w:val="clear" w:color="auto" w:fill="D7DDE9"/>
            <w:vAlign w:val="center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365F">
              <w:rPr>
                <w:b/>
                <w:sz w:val="20"/>
                <w:szCs w:val="20"/>
              </w:rPr>
              <w:t>-11.0</w:t>
            </w:r>
          </w:p>
        </w:tc>
      </w:tr>
    </w:tbl>
    <w:p w:rsidR="0091365F" w:rsidRDefault="0091365F" w:rsidP="009F33DA">
      <w:pPr>
        <w:pStyle w:val="Footnotes"/>
        <w:keepNext/>
        <w:keepLines/>
        <w:numPr>
          <w:ilvl w:val="0"/>
          <w:numId w:val="17"/>
        </w:numPr>
        <w:ind w:left="284" w:hanging="284"/>
      </w:pPr>
      <w:r w:rsidRPr="00DB3B7E">
        <w:t>A negative number indicates a decrease in revenue or an increase in expenses or net capital investment in accrual and cash terms</w:t>
      </w:r>
      <w:r>
        <w:t xml:space="preserve">.  </w:t>
      </w:r>
    </w:p>
    <w:p w:rsidR="0091365F" w:rsidRDefault="0091365F" w:rsidP="009F33DA">
      <w:pPr>
        <w:pStyle w:val="Footnotes"/>
        <w:keepNext/>
        <w:keepLines/>
        <w:numPr>
          <w:ilvl w:val="0"/>
          <w:numId w:val="17"/>
        </w:numPr>
        <w:ind w:left="284" w:hanging="284"/>
      </w:pPr>
      <w:r>
        <w:t>Figures may not sum to totals due to rounding.</w:t>
      </w:r>
    </w:p>
    <w:p w:rsidR="0091365F" w:rsidRDefault="0091365F" w:rsidP="0067143A">
      <w:pPr>
        <w:pStyle w:val="Footnotes"/>
        <w:numPr>
          <w:ilvl w:val="0"/>
          <w:numId w:val="10"/>
        </w:numPr>
        <w:ind w:left="284" w:hanging="284"/>
      </w:pPr>
      <w:r>
        <w:t>Indicates nil.</w:t>
      </w:r>
    </w:p>
    <w:p w:rsidR="00B200C1" w:rsidRPr="00FC6579" w:rsidRDefault="00B200C1" w:rsidP="009F33DA">
      <w:pPr>
        <w:pStyle w:val="Captionheading"/>
        <w:keepLines/>
        <w:spacing w:before="240"/>
      </w:pPr>
      <w:r w:rsidRPr="00FC6579">
        <w:t xml:space="preserve">Table </w:t>
      </w:r>
      <w:r>
        <w:t>A5</w:t>
      </w:r>
      <w:r w:rsidRPr="00FC6579">
        <w:t xml:space="preserve">: </w:t>
      </w:r>
      <w:r>
        <w:t>Component 4:</w:t>
      </w:r>
      <w:r w:rsidRPr="00F7203F">
        <w:t xml:space="preserve"> </w:t>
      </w:r>
      <w:r w:rsidR="0091365F" w:rsidRPr="0091365F">
        <w:t>Urban Forest Plans</w:t>
      </w:r>
      <w:r w:rsidR="0067143A">
        <w:t>—</w:t>
      </w:r>
      <w:r>
        <w:t>F</w:t>
      </w:r>
      <w:r w:rsidRPr="00DE5D03">
        <w:t>inancial implications</w:t>
      </w:r>
      <w:r>
        <w:rPr>
          <w:vertAlign w:val="superscript"/>
        </w:rPr>
        <w:t>(a)(b)</w:t>
      </w:r>
    </w:p>
    <w:tbl>
      <w:tblPr>
        <w:tblStyle w:val="TableGrid"/>
        <w:tblW w:w="5031" w:type="pct"/>
        <w:tblLook w:val="0680" w:firstRow="0" w:lastRow="0" w:firstColumn="1" w:lastColumn="0" w:noHBand="1" w:noVBand="1"/>
      </w:tblPr>
      <w:tblGrid>
        <w:gridCol w:w="1992"/>
        <w:gridCol w:w="909"/>
        <w:gridCol w:w="905"/>
        <w:gridCol w:w="905"/>
        <w:gridCol w:w="902"/>
        <w:gridCol w:w="993"/>
        <w:gridCol w:w="902"/>
        <w:gridCol w:w="902"/>
        <w:gridCol w:w="905"/>
        <w:gridCol w:w="905"/>
        <w:gridCol w:w="908"/>
        <w:gridCol w:w="908"/>
        <w:gridCol w:w="993"/>
        <w:gridCol w:w="1072"/>
      </w:tblGrid>
      <w:tr w:rsidR="00774725" w:rsidRPr="00B31810" w:rsidTr="0077472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shd w:val="clear" w:color="auto" w:fill="D7DDE9"/>
          </w:tcPr>
          <w:p w:rsidR="00774725" w:rsidRPr="00B31810" w:rsidRDefault="00774725" w:rsidP="009F33DA">
            <w:pPr>
              <w:keepNext/>
              <w:keepLines/>
              <w:spacing w:before="70" w:after="70" w:line="240" w:lineRule="auto"/>
              <w:ind w:left="57" w:right="57"/>
            </w:pPr>
            <w:r w:rsidRPr="00B31810">
              <w:t>($m)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774725" w:rsidRPr="00C24267" w:rsidRDefault="00774725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2016–17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774725" w:rsidRPr="00C24267" w:rsidRDefault="00774725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2017–18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774725" w:rsidRPr="00C24267" w:rsidRDefault="00774725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2018–19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774725" w:rsidRPr="00C24267" w:rsidRDefault="00774725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2019–20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774725" w:rsidRPr="000E4B67" w:rsidRDefault="00774725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E4B67">
              <w:rPr>
                <w:b/>
              </w:rPr>
              <w:t>Total to 2019–20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774725" w:rsidRPr="00C24267" w:rsidRDefault="00774725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2020–21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774725" w:rsidRPr="00C24267" w:rsidRDefault="00774725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2021–22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774725" w:rsidRPr="00C24267" w:rsidRDefault="00774725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2022–23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774725" w:rsidRPr="00C24267" w:rsidRDefault="00774725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2023–24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774725" w:rsidRPr="00C24267" w:rsidRDefault="00774725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2024–25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774725" w:rsidRPr="00C24267" w:rsidRDefault="00774725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2025–26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774725" w:rsidRDefault="00774725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2026-27</w:t>
            </w:r>
          </w:p>
        </w:tc>
        <w:tc>
          <w:tcPr>
            <w:tcW w:w="380" w:type="pct"/>
            <w:shd w:val="clear" w:color="auto" w:fill="D7DDE9"/>
            <w:vAlign w:val="center"/>
          </w:tcPr>
          <w:p w:rsidR="00774725" w:rsidRPr="000E4B67" w:rsidRDefault="00774725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E4B67">
              <w:rPr>
                <w:b/>
              </w:rPr>
              <w:t>Total to 2026–27</w:t>
            </w:r>
          </w:p>
        </w:tc>
      </w:tr>
      <w:tr w:rsidR="0091365F" w:rsidRPr="00D94017" w:rsidTr="009F33D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</w:tcPr>
          <w:p w:rsidR="0091365F" w:rsidRPr="0091365F" w:rsidRDefault="0091365F" w:rsidP="009F33DA">
            <w:pPr>
              <w:keepNext/>
              <w:keepLines/>
              <w:spacing w:before="70" w:after="70" w:line="240" w:lineRule="auto"/>
              <w:ind w:left="57" w:right="57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</w:pPr>
            <w:r w:rsidRPr="0091365F">
              <w:rPr>
                <w:b/>
                <w:szCs w:val="20"/>
              </w:rPr>
              <w:t>Impact on fiscal and underlying cash balances</w:t>
            </w:r>
          </w:p>
        </w:tc>
      </w:tr>
      <w:tr w:rsidR="00B1580E" w:rsidRPr="00D94017" w:rsidTr="00B1580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</w:tcPr>
          <w:p w:rsidR="00B1580E" w:rsidRPr="00D94017" w:rsidRDefault="00B1580E" w:rsidP="009F33DA">
            <w:pPr>
              <w:keepNext/>
              <w:keepLines/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D94017">
              <w:rPr>
                <w:sz w:val="20"/>
                <w:szCs w:val="20"/>
              </w:rPr>
              <w:t>Administered</w:t>
            </w:r>
          </w:p>
        </w:tc>
        <w:tc>
          <w:tcPr>
            <w:tcW w:w="322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1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1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0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52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-3.8</w:t>
            </w:r>
          </w:p>
        </w:tc>
        <w:tc>
          <w:tcPr>
            <w:tcW w:w="320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0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1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1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2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2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52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80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-10.4</w:t>
            </w:r>
          </w:p>
        </w:tc>
      </w:tr>
      <w:tr w:rsidR="00B1580E" w:rsidRPr="00D94017" w:rsidTr="00B1580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</w:tcPr>
          <w:p w:rsidR="00B1580E" w:rsidRPr="00D94017" w:rsidRDefault="00B1580E" w:rsidP="009F33DA">
            <w:pPr>
              <w:keepNext/>
              <w:keepLines/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D94017">
              <w:rPr>
                <w:sz w:val="20"/>
                <w:szCs w:val="20"/>
              </w:rPr>
              <w:t>Departmental</w:t>
            </w:r>
          </w:p>
        </w:tc>
        <w:tc>
          <w:tcPr>
            <w:tcW w:w="322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0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52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-0.2</w:t>
            </w:r>
          </w:p>
        </w:tc>
        <w:tc>
          <w:tcPr>
            <w:tcW w:w="320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0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2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2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52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80" w:type="pct"/>
            <w:vAlign w:val="center"/>
          </w:tcPr>
          <w:p w:rsidR="00B1580E" w:rsidRPr="009F33DA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-0.6</w:t>
            </w:r>
          </w:p>
        </w:tc>
      </w:tr>
      <w:tr w:rsidR="00B1580E" w:rsidRPr="00D94017" w:rsidTr="00B1580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shd w:val="clear" w:color="auto" w:fill="D7DDE9"/>
          </w:tcPr>
          <w:p w:rsidR="00B1580E" w:rsidRPr="00D94017" w:rsidRDefault="00B1580E" w:rsidP="009F33DA">
            <w:pPr>
              <w:keepNext/>
              <w:keepLines/>
              <w:spacing w:before="70" w:after="70" w:line="240" w:lineRule="auto"/>
              <w:ind w:left="57" w:right="57"/>
              <w:rPr>
                <w:b/>
                <w:sz w:val="20"/>
                <w:szCs w:val="20"/>
              </w:rPr>
            </w:pPr>
            <w:r w:rsidRPr="00D94017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B1580E" w:rsidRPr="00B1580E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1580E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B1580E" w:rsidRPr="00B1580E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1580E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B1580E" w:rsidRPr="00B1580E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1580E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B1580E" w:rsidRPr="00B1580E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1580E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B1580E" w:rsidRPr="00B1580E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1580E">
              <w:rPr>
                <w:b/>
                <w:sz w:val="20"/>
                <w:szCs w:val="20"/>
              </w:rPr>
              <w:t>-4.0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B1580E" w:rsidRPr="00B1580E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1580E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B1580E" w:rsidRPr="00B1580E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1580E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B1580E" w:rsidRPr="00B1580E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1580E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B1580E" w:rsidRPr="00B1580E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1580E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B1580E" w:rsidRPr="00B1580E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1580E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B1580E" w:rsidRPr="00B1580E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1580E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B1580E" w:rsidRPr="00B1580E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1580E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80" w:type="pct"/>
            <w:shd w:val="clear" w:color="auto" w:fill="D7DDE9"/>
            <w:vAlign w:val="center"/>
          </w:tcPr>
          <w:p w:rsidR="00B1580E" w:rsidRPr="00B1580E" w:rsidRDefault="00B1580E" w:rsidP="009F33DA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1580E">
              <w:rPr>
                <w:b/>
                <w:sz w:val="20"/>
                <w:szCs w:val="20"/>
              </w:rPr>
              <w:t>-11.0</w:t>
            </w:r>
          </w:p>
        </w:tc>
      </w:tr>
    </w:tbl>
    <w:p w:rsidR="00B1580E" w:rsidRDefault="00B1580E" w:rsidP="009F33DA">
      <w:pPr>
        <w:pStyle w:val="Footnotes"/>
        <w:keepNext/>
        <w:keepLines/>
        <w:numPr>
          <w:ilvl w:val="0"/>
          <w:numId w:val="16"/>
        </w:numPr>
        <w:ind w:left="284" w:hanging="284"/>
      </w:pPr>
      <w:r w:rsidRPr="00DB3B7E">
        <w:t>A negative number indicates a decrease in revenue or an increase in expenses or net capital investment in accrual and cash terms</w:t>
      </w:r>
      <w:r>
        <w:t xml:space="preserve">.  </w:t>
      </w:r>
    </w:p>
    <w:p w:rsidR="00B1580E" w:rsidRDefault="00B1580E" w:rsidP="009F33DA">
      <w:pPr>
        <w:pStyle w:val="Footnotes"/>
        <w:keepNext/>
        <w:keepLines/>
        <w:numPr>
          <w:ilvl w:val="0"/>
          <w:numId w:val="16"/>
        </w:numPr>
        <w:ind w:left="284" w:hanging="284"/>
      </w:pPr>
      <w:r>
        <w:t>Figures may not sum to totals due to rounding.</w:t>
      </w:r>
    </w:p>
    <w:p w:rsidR="00B1580E" w:rsidRDefault="00B1580E" w:rsidP="0067143A">
      <w:pPr>
        <w:pStyle w:val="Footnotes"/>
        <w:numPr>
          <w:ilvl w:val="0"/>
          <w:numId w:val="10"/>
        </w:numPr>
        <w:ind w:left="284" w:hanging="284"/>
      </w:pPr>
      <w:r>
        <w:t>Indicates nil.</w:t>
      </w:r>
    </w:p>
    <w:p w:rsidR="00195E59" w:rsidRPr="00FC6579" w:rsidRDefault="00195E59" w:rsidP="009F33DA">
      <w:pPr>
        <w:pStyle w:val="Captionheading"/>
        <w:keepLines/>
      </w:pPr>
      <w:r w:rsidRPr="00FC6579">
        <w:lastRenderedPageBreak/>
        <w:t xml:space="preserve">Table </w:t>
      </w:r>
      <w:r>
        <w:t>A6</w:t>
      </w:r>
      <w:r w:rsidRPr="00FC6579">
        <w:t xml:space="preserve">: </w:t>
      </w:r>
      <w:r>
        <w:t xml:space="preserve">Component 5: </w:t>
      </w:r>
      <w:r w:rsidR="00235BC5" w:rsidRPr="00235BC5">
        <w:t>Aboriginal Stewardship committees</w:t>
      </w:r>
      <w:r w:rsidR="0067143A">
        <w:t>—</w:t>
      </w:r>
      <w:r>
        <w:t>F</w:t>
      </w:r>
      <w:r w:rsidRPr="00DE5D03">
        <w:t>inancial implications</w:t>
      </w:r>
      <w:r>
        <w:rPr>
          <w:vertAlign w:val="superscript"/>
        </w:rPr>
        <w:t>(a)(b)</w:t>
      </w:r>
    </w:p>
    <w:tbl>
      <w:tblPr>
        <w:tblStyle w:val="TableGrid"/>
        <w:tblW w:w="5031" w:type="pct"/>
        <w:tblLook w:val="0680" w:firstRow="0" w:lastRow="0" w:firstColumn="1" w:lastColumn="0" w:noHBand="1" w:noVBand="1"/>
      </w:tblPr>
      <w:tblGrid>
        <w:gridCol w:w="1992"/>
        <w:gridCol w:w="909"/>
        <w:gridCol w:w="905"/>
        <w:gridCol w:w="905"/>
        <w:gridCol w:w="902"/>
        <w:gridCol w:w="993"/>
        <w:gridCol w:w="902"/>
        <w:gridCol w:w="902"/>
        <w:gridCol w:w="905"/>
        <w:gridCol w:w="905"/>
        <w:gridCol w:w="908"/>
        <w:gridCol w:w="908"/>
        <w:gridCol w:w="993"/>
        <w:gridCol w:w="1072"/>
      </w:tblGrid>
      <w:tr w:rsidR="00D476A6" w:rsidRPr="00B31810" w:rsidTr="00D476A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shd w:val="clear" w:color="auto" w:fill="D7DDE9"/>
          </w:tcPr>
          <w:p w:rsidR="00D476A6" w:rsidRPr="00B31810" w:rsidRDefault="00D476A6" w:rsidP="009F33DA">
            <w:pPr>
              <w:keepNext/>
              <w:keepLines/>
              <w:spacing w:before="70" w:after="70" w:line="240" w:lineRule="auto"/>
              <w:ind w:left="57" w:right="57"/>
            </w:pPr>
            <w:r w:rsidRPr="00B31810">
              <w:t>($m)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2016–17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2017–18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2018–19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2019–20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D476A6" w:rsidRPr="000E4B67" w:rsidRDefault="00D476A6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E4B67">
              <w:rPr>
                <w:b/>
              </w:rPr>
              <w:t>Total to 2019–20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2020–21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2021–22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2022–23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2023–24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2024–25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2025–26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D476A6" w:rsidRDefault="00D476A6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2026-27</w:t>
            </w:r>
          </w:p>
        </w:tc>
        <w:tc>
          <w:tcPr>
            <w:tcW w:w="380" w:type="pct"/>
            <w:shd w:val="clear" w:color="auto" w:fill="D7DDE9"/>
            <w:vAlign w:val="center"/>
          </w:tcPr>
          <w:p w:rsidR="00D476A6" w:rsidRPr="000E4B67" w:rsidRDefault="00D476A6" w:rsidP="009F33DA">
            <w:pPr>
              <w:pStyle w:val="TableHeadingCentred"/>
              <w:spacing w:line="240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E4B67">
              <w:rPr>
                <w:b/>
              </w:rPr>
              <w:t>Total to 2026–27</w:t>
            </w:r>
          </w:p>
        </w:tc>
      </w:tr>
      <w:tr w:rsidR="00235BC5" w:rsidRPr="00D94017" w:rsidTr="009F33D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</w:tcPr>
          <w:p w:rsidR="00235BC5" w:rsidRPr="0091365F" w:rsidRDefault="00235BC5" w:rsidP="009F33DA">
            <w:pPr>
              <w:keepNext/>
              <w:keepLines/>
              <w:spacing w:before="70" w:after="70" w:line="240" w:lineRule="auto"/>
              <w:ind w:left="57" w:right="57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</w:pPr>
            <w:r w:rsidRPr="0091365F">
              <w:rPr>
                <w:b/>
                <w:szCs w:val="20"/>
              </w:rPr>
              <w:t>Impact on fiscal and underlying cash balances</w:t>
            </w:r>
          </w:p>
        </w:tc>
      </w:tr>
      <w:tr w:rsidR="00235BC5" w:rsidRPr="00D94017" w:rsidTr="00235BC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</w:tcPr>
          <w:p w:rsidR="00235BC5" w:rsidRPr="00D94017" w:rsidRDefault="00235BC5" w:rsidP="009F33DA">
            <w:pPr>
              <w:keepNext/>
              <w:keepLines/>
              <w:spacing w:before="70" w:after="70"/>
              <w:rPr>
                <w:sz w:val="20"/>
                <w:szCs w:val="20"/>
              </w:rPr>
            </w:pPr>
            <w:r w:rsidRPr="00D94017">
              <w:rPr>
                <w:sz w:val="20"/>
                <w:szCs w:val="20"/>
              </w:rPr>
              <w:t>Administered</w:t>
            </w:r>
          </w:p>
        </w:tc>
        <w:tc>
          <w:tcPr>
            <w:tcW w:w="322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1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1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0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52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-7.7</w:t>
            </w:r>
          </w:p>
        </w:tc>
        <w:tc>
          <w:tcPr>
            <w:tcW w:w="320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0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1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1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2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2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52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80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-21.1</w:t>
            </w:r>
          </w:p>
        </w:tc>
      </w:tr>
      <w:tr w:rsidR="00235BC5" w:rsidRPr="00D94017" w:rsidTr="00235BC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</w:tcPr>
          <w:p w:rsidR="00235BC5" w:rsidRPr="00D94017" w:rsidRDefault="00235BC5" w:rsidP="009F33DA">
            <w:pPr>
              <w:keepNext/>
              <w:keepLines/>
              <w:spacing w:before="70" w:after="70"/>
              <w:rPr>
                <w:sz w:val="20"/>
                <w:szCs w:val="20"/>
              </w:rPr>
            </w:pPr>
            <w:r w:rsidRPr="00D94017">
              <w:rPr>
                <w:sz w:val="20"/>
                <w:szCs w:val="20"/>
              </w:rPr>
              <w:t>Departmental</w:t>
            </w:r>
          </w:p>
        </w:tc>
        <w:tc>
          <w:tcPr>
            <w:tcW w:w="322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0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52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-0.3</w:t>
            </w:r>
          </w:p>
        </w:tc>
        <w:tc>
          <w:tcPr>
            <w:tcW w:w="320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0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2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2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52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80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-0.9</w:t>
            </w:r>
          </w:p>
        </w:tc>
      </w:tr>
      <w:tr w:rsidR="00235BC5" w:rsidRPr="00D94017" w:rsidTr="00235BC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shd w:val="clear" w:color="auto" w:fill="D7DDE9"/>
          </w:tcPr>
          <w:p w:rsidR="00235BC5" w:rsidRPr="00D94017" w:rsidRDefault="00235BC5" w:rsidP="009F33DA">
            <w:pPr>
              <w:keepNext/>
              <w:keepLines/>
              <w:spacing w:before="70" w:after="70"/>
              <w:rPr>
                <w:b/>
                <w:sz w:val="20"/>
                <w:szCs w:val="20"/>
              </w:rPr>
            </w:pPr>
            <w:r w:rsidRPr="00D94017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235BC5" w:rsidRPr="00235BC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35BC5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235BC5" w:rsidRPr="00235BC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35BC5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235BC5" w:rsidRPr="00235BC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35BC5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235BC5" w:rsidRPr="00235BC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35BC5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235BC5" w:rsidRPr="00235BC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35BC5">
              <w:rPr>
                <w:b/>
                <w:sz w:val="20"/>
                <w:szCs w:val="20"/>
              </w:rPr>
              <w:t>-8.0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235BC5" w:rsidRPr="00235BC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35BC5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235BC5" w:rsidRPr="00235BC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35BC5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235BC5" w:rsidRPr="00235BC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35BC5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235BC5" w:rsidRPr="00235BC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35BC5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235BC5" w:rsidRPr="00235BC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35BC5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235BC5" w:rsidRPr="00235BC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35BC5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235BC5" w:rsidRPr="00235BC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35BC5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80" w:type="pct"/>
            <w:shd w:val="clear" w:color="auto" w:fill="D7DDE9"/>
            <w:vAlign w:val="center"/>
          </w:tcPr>
          <w:p w:rsidR="00235BC5" w:rsidRPr="00235BC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35BC5">
              <w:rPr>
                <w:b/>
                <w:sz w:val="20"/>
                <w:szCs w:val="20"/>
              </w:rPr>
              <w:t>-22.0</w:t>
            </w:r>
          </w:p>
        </w:tc>
      </w:tr>
    </w:tbl>
    <w:p w:rsidR="00235BC5" w:rsidRDefault="00235BC5" w:rsidP="009F33DA">
      <w:pPr>
        <w:pStyle w:val="Footnotes"/>
        <w:keepNext/>
        <w:keepLines/>
        <w:numPr>
          <w:ilvl w:val="0"/>
          <w:numId w:val="15"/>
        </w:numPr>
        <w:ind w:left="284" w:hanging="284"/>
      </w:pPr>
      <w:r w:rsidRPr="00DB3B7E">
        <w:t>A negative number indicates a decrease in revenue or an increase in expenses or net capital investment in accrual and cash terms</w:t>
      </w:r>
      <w:r>
        <w:t xml:space="preserve">.  </w:t>
      </w:r>
    </w:p>
    <w:p w:rsidR="00235BC5" w:rsidRDefault="00235BC5" w:rsidP="009F33DA">
      <w:pPr>
        <w:pStyle w:val="Footnotes"/>
        <w:keepNext/>
        <w:keepLines/>
        <w:numPr>
          <w:ilvl w:val="0"/>
          <w:numId w:val="15"/>
        </w:numPr>
        <w:ind w:left="284" w:hanging="284"/>
      </w:pPr>
      <w:r>
        <w:t>Figures may not sum to totals due to rounding.</w:t>
      </w:r>
    </w:p>
    <w:p w:rsidR="00235BC5" w:rsidRDefault="00235BC5" w:rsidP="0067143A">
      <w:pPr>
        <w:pStyle w:val="Footnotes"/>
        <w:numPr>
          <w:ilvl w:val="0"/>
          <w:numId w:val="10"/>
        </w:numPr>
        <w:ind w:left="284" w:hanging="284"/>
      </w:pPr>
      <w:r>
        <w:t>Indicates nil.</w:t>
      </w:r>
    </w:p>
    <w:p w:rsidR="00EA3BCE" w:rsidRPr="00FC6579" w:rsidRDefault="00EA3BCE" w:rsidP="009F33DA">
      <w:pPr>
        <w:pStyle w:val="Captionheading"/>
        <w:keepLines/>
        <w:spacing w:before="240"/>
      </w:pPr>
      <w:r w:rsidRPr="00FC6579">
        <w:t xml:space="preserve">Table </w:t>
      </w:r>
      <w:r>
        <w:t>A7</w:t>
      </w:r>
      <w:r w:rsidRPr="00FC6579">
        <w:t xml:space="preserve">: </w:t>
      </w:r>
      <w:r w:rsidR="006B5399">
        <w:t xml:space="preserve">Component 6: </w:t>
      </w:r>
      <w:r w:rsidR="00235BC5" w:rsidRPr="00235BC5">
        <w:t>Ongoing maintenance</w:t>
      </w:r>
      <w:r w:rsidR="0067143A">
        <w:t>—</w:t>
      </w:r>
      <w:r>
        <w:t>F</w:t>
      </w:r>
      <w:r w:rsidRPr="00DE5D03">
        <w:t>inancial implications</w:t>
      </w:r>
      <w:r>
        <w:rPr>
          <w:vertAlign w:val="superscript"/>
        </w:rPr>
        <w:t>(a)(b)</w:t>
      </w:r>
    </w:p>
    <w:tbl>
      <w:tblPr>
        <w:tblStyle w:val="TableGrid"/>
        <w:tblW w:w="5031" w:type="pct"/>
        <w:tblLook w:val="0680" w:firstRow="0" w:lastRow="0" w:firstColumn="1" w:lastColumn="0" w:noHBand="1" w:noVBand="1"/>
      </w:tblPr>
      <w:tblGrid>
        <w:gridCol w:w="1992"/>
        <w:gridCol w:w="909"/>
        <w:gridCol w:w="905"/>
        <w:gridCol w:w="905"/>
        <w:gridCol w:w="902"/>
        <w:gridCol w:w="993"/>
        <w:gridCol w:w="902"/>
        <w:gridCol w:w="902"/>
        <w:gridCol w:w="905"/>
        <w:gridCol w:w="905"/>
        <w:gridCol w:w="908"/>
        <w:gridCol w:w="908"/>
        <w:gridCol w:w="993"/>
        <w:gridCol w:w="1072"/>
      </w:tblGrid>
      <w:tr w:rsidR="00D476A6" w:rsidRPr="00B31810" w:rsidTr="00D476A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shd w:val="clear" w:color="auto" w:fill="D7DDE9"/>
          </w:tcPr>
          <w:p w:rsidR="00D476A6" w:rsidRPr="00B31810" w:rsidRDefault="00D476A6" w:rsidP="009F33DA">
            <w:pPr>
              <w:keepNext/>
              <w:keepLines/>
              <w:spacing w:before="70" w:after="70"/>
            </w:pPr>
            <w:r w:rsidRPr="00B31810">
              <w:t>($m)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2016–17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2017–18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2018–19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2019–20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D476A6" w:rsidRPr="003A269B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269B">
              <w:rPr>
                <w:b/>
              </w:rPr>
              <w:t>Total to 2019–20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2020–21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2021–22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2022–23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2023–24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2024–25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2025–26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D476A6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2026-27</w:t>
            </w:r>
          </w:p>
        </w:tc>
        <w:tc>
          <w:tcPr>
            <w:tcW w:w="380" w:type="pct"/>
            <w:shd w:val="clear" w:color="auto" w:fill="D7DDE9"/>
            <w:vAlign w:val="center"/>
          </w:tcPr>
          <w:p w:rsidR="00D476A6" w:rsidRPr="003A269B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269B">
              <w:rPr>
                <w:b/>
              </w:rPr>
              <w:t>Total to 2026–27</w:t>
            </w:r>
          </w:p>
        </w:tc>
      </w:tr>
      <w:tr w:rsidR="00235BC5" w:rsidRPr="00D94017" w:rsidTr="009F33D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</w:tcPr>
          <w:p w:rsidR="00235BC5" w:rsidRPr="0091365F" w:rsidRDefault="00235BC5" w:rsidP="009F33DA">
            <w:pPr>
              <w:keepNext/>
              <w:keepLines/>
              <w:spacing w:before="70" w:after="70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</w:pPr>
            <w:r w:rsidRPr="0091365F">
              <w:rPr>
                <w:b/>
                <w:szCs w:val="20"/>
              </w:rPr>
              <w:t>Impact on fiscal and underlying cash balances</w:t>
            </w:r>
          </w:p>
        </w:tc>
      </w:tr>
      <w:tr w:rsidR="00235BC5" w:rsidRPr="00D94017" w:rsidTr="00235BC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</w:tcPr>
          <w:p w:rsidR="00235BC5" w:rsidRPr="00D94017" w:rsidRDefault="00235BC5" w:rsidP="009F33DA">
            <w:pPr>
              <w:keepNext/>
              <w:keepLines/>
              <w:spacing w:before="70" w:after="70"/>
              <w:rPr>
                <w:sz w:val="20"/>
                <w:szCs w:val="20"/>
              </w:rPr>
            </w:pPr>
            <w:r w:rsidRPr="00D94017">
              <w:rPr>
                <w:sz w:val="20"/>
                <w:szCs w:val="20"/>
              </w:rPr>
              <w:t>Administered</w:t>
            </w:r>
          </w:p>
        </w:tc>
        <w:tc>
          <w:tcPr>
            <w:tcW w:w="322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1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1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0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52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-3.8</w:t>
            </w:r>
          </w:p>
        </w:tc>
        <w:tc>
          <w:tcPr>
            <w:tcW w:w="320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0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1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1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2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22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52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-0.9</w:t>
            </w:r>
          </w:p>
        </w:tc>
        <w:tc>
          <w:tcPr>
            <w:tcW w:w="380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-10.4</w:t>
            </w:r>
          </w:p>
        </w:tc>
      </w:tr>
      <w:tr w:rsidR="00235BC5" w:rsidRPr="00D94017" w:rsidTr="00235BC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</w:tcPr>
          <w:p w:rsidR="00235BC5" w:rsidRPr="00D94017" w:rsidRDefault="00235BC5" w:rsidP="009F33DA">
            <w:pPr>
              <w:keepNext/>
              <w:keepLines/>
              <w:spacing w:before="70" w:after="70"/>
              <w:rPr>
                <w:sz w:val="20"/>
                <w:szCs w:val="20"/>
              </w:rPr>
            </w:pPr>
            <w:r w:rsidRPr="00D94017">
              <w:rPr>
                <w:sz w:val="20"/>
                <w:szCs w:val="20"/>
              </w:rPr>
              <w:t>Departmental</w:t>
            </w:r>
          </w:p>
        </w:tc>
        <w:tc>
          <w:tcPr>
            <w:tcW w:w="322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0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52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-0.2</w:t>
            </w:r>
          </w:p>
        </w:tc>
        <w:tc>
          <w:tcPr>
            <w:tcW w:w="320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0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2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2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52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80" w:type="pct"/>
            <w:vAlign w:val="center"/>
          </w:tcPr>
          <w:p w:rsidR="00235BC5" w:rsidRPr="009F33DA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-0.6</w:t>
            </w:r>
          </w:p>
        </w:tc>
      </w:tr>
      <w:tr w:rsidR="00235BC5" w:rsidRPr="00D94017" w:rsidTr="00235BC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shd w:val="clear" w:color="auto" w:fill="D7DDE9"/>
          </w:tcPr>
          <w:p w:rsidR="00235BC5" w:rsidRPr="00D94017" w:rsidRDefault="00235BC5" w:rsidP="009F33DA">
            <w:pPr>
              <w:keepNext/>
              <w:keepLines/>
              <w:spacing w:before="70" w:after="70"/>
              <w:rPr>
                <w:b/>
                <w:sz w:val="20"/>
                <w:szCs w:val="20"/>
              </w:rPr>
            </w:pPr>
            <w:r w:rsidRPr="00D94017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235BC5" w:rsidRPr="00B8152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81525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235BC5" w:rsidRPr="00B8152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81525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235BC5" w:rsidRPr="00B8152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81525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235BC5" w:rsidRPr="00B8152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81525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235BC5" w:rsidRPr="00B8152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81525">
              <w:rPr>
                <w:b/>
                <w:sz w:val="20"/>
                <w:szCs w:val="20"/>
              </w:rPr>
              <w:t>-4.0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235BC5" w:rsidRPr="00B8152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81525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235BC5" w:rsidRPr="00B8152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81525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235BC5" w:rsidRPr="00B8152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81525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235BC5" w:rsidRPr="00B8152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81525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235BC5" w:rsidRPr="00B8152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81525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235BC5" w:rsidRPr="00B8152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81525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235BC5" w:rsidRPr="00B8152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81525">
              <w:rPr>
                <w:b/>
                <w:sz w:val="20"/>
                <w:szCs w:val="20"/>
              </w:rPr>
              <w:t>-1.0</w:t>
            </w:r>
          </w:p>
        </w:tc>
        <w:tc>
          <w:tcPr>
            <w:tcW w:w="380" w:type="pct"/>
            <w:shd w:val="clear" w:color="auto" w:fill="D7DDE9"/>
            <w:vAlign w:val="center"/>
          </w:tcPr>
          <w:p w:rsidR="00235BC5" w:rsidRPr="00B81525" w:rsidRDefault="00235BC5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81525">
              <w:rPr>
                <w:b/>
                <w:sz w:val="20"/>
                <w:szCs w:val="20"/>
              </w:rPr>
              <w:t>-11.0</w:t>
            </w:r>
          </w:p>
        </w:tc>
      </w:tr>
    </w:tbl>
    <w:p w:rsidR="00235BC5" w:rsidRDefault="00235BC5" w:rsidP="009F33DA">
      <w:pPr>
        <w:pStyle w:val="Footnotes"/>
        <w:keepNext/>
        <w:keepLines/>
        <w:numPr>
          <w:ilvl w:val="0"/>
          <w:numId w:val="14"/>
        </w:numPr>
        <w:ind w:left="284" w:hanging="284"/>
      </w:pPr>
      <w:r w:rsidRPr="00DB3B7E">
        <w:t>A negative number indicates a decrease in revenue or an increase in expenses or net capital investment in accrual and cash terms</w:t>
      </w:r>
      <w:r>
        <w:t xml:space="preserve">.  </w:t>
      </w:r>
    </w:p>
    <w:p w:rsidR="00235BC5" w:rsidRDefault="00235BC5" w:rsidP="009F33DA">
      <w:pPr>
        <w:pStyle w:val="Footnotes"/>
        <w:keepNext/>
        <w:keepLines/>
        <w:numPr>
          <w:ilvl w:val="0"/>
          <w:numId w:val="14"/>
        </w:numPr>
        <w:ind w:left="284" w:hanging="284"/>
      </w:pPr>
      <w:r>
        <w:t>Figures may not sum to totals due to rounding.</w:t>
      </w:r>
    </w:p>
    <w:p w:rsidR="00235BC5" w:rsidRDefault="00235BC5" w:rsidP="0067143A">
      <w:pPr>
        <w:pStyle w:val="Footnotes"/>
        <w:numPr>
          <w:ilvl w:val="0"/>
          <w:numId w:val="10"/>
        </w:numPr>
        <w:ind w:left="284" w:hanging="284"/>
      </w:pPr>
      <w:r>
        <w:t>Indicates nil.</w:t>
      </w:r>
    </w:p>
    <w:p w:rsidR="00CD0E34" w:rsidRPr="00FC6579" w:rsidRDefault="00CD0E34" w:rsidP="009F33DA">
      <w:pPr>
        <w:pStyle w:val="Captionheading"/>
        <w:keepLines/>
      </w:pPr>
      <w:r w:rsidRPr="00FC6579">
        <w:lastRenderedPageBreak/>
        <w:t xml:space="preserve">Table </w:t>
      </w:r>
      <w:r>
        <w:t>A8</w:t>
      </w:r>
      <w:r w:rsidRPr="00FC6579">
        <w:t xml:space="preserve">: </w:t>
      </w:r>
      <w:r w:rsidR="00D368AD">
        <w:t xml:space="preserve">Component 7: </w:t>
      </w:r>
      <w:r w:rsidR="00CC25BA" w:rsidRPr="00CC25BA">
        <w:t>Federal moratorium on clearing</w:t>
      </w:r>
      <w:r w:rsidR="0067143A">
        <w:t>—</w:t>
      </w:r>
      <w:r>
        <w:t>F</w:t>
      </w:r>
      <w:r w:rsidRPr="00DE5D03">
        <w:t>inancial implications</w:t>
      </w:r>
      <w:r>
        <w:rPr>
          <w:vertAlign w:val="superscript"/>
        </w:rPr>
        <w:t>(a)(b)</w:t>
      </w:r>
    </w:p>
    <w:tbl>
      <w:tblPr>
        <w:tblStyle w:val="TableGrid"/>
        <w:tblW w:w="5031" w:type="pct"/>
        <w:tblLook w:val="0680" w:firstRow="0" w:lastRow="0" w:firstColumn="1" w:lastColumn="0" w:noHBand="1" w:noVBand="1"/>
      </w:tblPr>
      <w:tblGrid>
        <w:gridCol w:w="1992"/>
        <w:gridCol w:w="909"/>
        <w:gridCol w:w="905"/>
        <w:gridCol w:w="905"/>
        <w:gridCol w:w="902"/>
        <w:gridCol w:w="993"/>
        <w:gridCol w:w="902"/>
        <w:gridCol w:w="902"/>
        <w:gridCol w:w="905"/>
        <w:gridCol w:w="905"/>
        <w:gridCol w:w="908"/>
        <w:gridCol w:w="908"/>
        <w:gridCol w:w="993"/>
        <w:gridCol w:w="1072"/>
      </w:tblGrid>
      <w:tr w:rsidR="00D476A6" w:rsidRPr="00B31810" w:rsidTr="00D476A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shd w:val="clear" w:color="auto" w:fill="D7DDE9"/>
          </w:tcPr>
          <w:p w:rsidR="00D476A6" w:rsidRPr="00B31810" w:rsidRDefault="00D476A6" w:rsidP="009F33DA">
            <w:pPr>
              <w:keepNext/>
              <w:keepLines/>
              <w:spacing w:before="70" w:after="70"/>
            </w:pPr>
            <w:r w:rsidRPr="00B31810">
              <w:t>($m)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2016–17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2017–18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2018–19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2019–20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D476A6" w:rsidRPr="003A269B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269B">
              <w:rPr>
                <w:b/>
              </w:rPr>
              <w:t>Total to 2019–20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2020–21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2021–22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2022–23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2023–24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2024–25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D476A6" w:rsidRPr="00C24267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2025–26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D476A6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2026-27</w:t>
            </w:r>
          </w:p>
        </w:tc>
        <w:tc>
          <w:tcPr>
            <w:tcW w:w="380" w:type="pct"/>
            <w:shd w:val="clear" w:color="auto" w:fill="D7DDE9"/>
            <w:vAlign w:val="center"/>
          </w:tcPr>
          <w:p w:rsidR="00D476A6" w:rsidRPr="003A269B" w:rsidRDefault="00D476A6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269B">
              <w:rPr>
                <w:b/>
              </w:rPr>
              <w:t>Total to 2026–27</w:t>
            </w:r>
          </w:p>
        </w:tc>
      </w:tr>
      <w:tr w:rsidR="00CC25BA" w:rsidRPr="00D94017" w:rsidTr="009F33D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</w:tcPr>
          <w:p w:rsidR="00CC25BA" w:rsidRPr="0091365F" w:rsidRDefault="00CC25BA" w:rsidP="009F33DA">
            <w:pPr>
              <w:keepNext/>
              <w:keepLines/>
              <w:spacing w:before="70" w:after="70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</w:pPr>
            <w:r w:rsidRPr="0091365F">
              <w:rPr>
                <w:b/>
                <w:szCs w:val="20"/>
              </w:rPr>
              <w:t>Impact on fiscal and underlying cash balances</w:t>
            </w:r>
          </w:p>
        </w:tc>
      </w:tr>
      <w:tr w:rsidR="00CC25BA" w:rsidRPr="00D94017" w:rsidTr="00CC25B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</w:tcPr>
          <w:p w:rsidR="00CC25BA" w:rsidRPr="00D94017" w:rsidRDefault="00CC25BA" w:rsidP="009F33DA">
            <w:pPr>
              <w:keepNext/>
              <w:keepLines/>
              <w:spacing w:before="70" w:after="70"/>
              <w:rPr>
                <w:sz w:val="20"/>
                <w:szCs w:val="20"/>
              </w:rPr>
            </w:pPr>
            <w:r w:rsidRPr="00D94017">
              <w:rPr>
                <w:sz w:val="20"/>
                <w:szCs w:val="20"/>
              </w:rPr>
              <w:t>Administered</w:t>
            </w:r>
          </w:p>
        </w:tc>
        <w:tc>
          <w:tcPr>
            <w:tcW w:w="322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1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1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0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52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-7.7</w:t>
            </w:r>
          </w:p>
        </w:tc>
        <w:tc>
          <w:tcPr>
            <w:tcW w:w="320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0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1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1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2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2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52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80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-21.1</w:t>
            </w:r>
          </w:p>
        </w:tc>
      </w:tr>
      <w:tr w:rsidR="00CC25BA" w:rsidRPr="00D94017" w:rsidTr="00CC25B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</w:tcPr>
          <w:p w:rsidR="00CC25BA" w:rsidRPr="00D94017" w:rsidRDefault="00CC25BA" w:rsidP="009F33DA">
            <w:pPr>
              <w:keepNext/>
              <w:keepLines/>
              <w:spacing w:before="70" w:after="70"/>
              <w:rPr>
                <w:sz w:val="20"/>
                <w:szCs w:val="20"/>
              </w:rPr>
            </w:pPr>
            <w:r w:rsidRPr="00D94017">
              <w:rPr>
                <w:sz w:val="20"/>
                <w:szCs w:val="20"/>
              </w:rPr>
              <w:t>Departmental</w:t>
            </w:r>
          </w:p>
        </w:tc>
        <w:tc>
          <w:tcPr>
            <w:tcW w:w="322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0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52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-0.3</w:t>
            </w:r>
          </w:p>
        </w:tc>
        <w:tc>
          <w:tcPr>
            <w:tcW w:w="320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0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2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2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52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80" w:type="pct"/>
            <w:vAlign w:val="center"/>
          </w:tcPr>
          <w:p w:rsidR="00CC25BA" w:rsidRPr="009F33DA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-0.9</w:t>
            </w:r>
          </w:p>
        </w:tc>
      </w:tr>
      <w:tr w:rsidR="00CC25BA" w:rsidRPr="00D94017" w:rsidTr="00CC25B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shd w:val="clear" w:color="auto" w:fill="D7DDE9"/>
          </w:tcPr>
          <w:p w:rsidR="00CC25BA" w:rsidRPr="00D94017" w:rsidRDefault="00CC25BA" w:rsidP="009F33DA">
            <w:pPr>
              <w:keepNext/>
              <w:keepLines/>
              <w:spacing w:before="70" w:after="70"/>
              <w:rPr>
                <w:b/>
                <w:sz w:val="20"/>
                <w:szCs w:val="20"/>
              </w:rPr>
            </w:pPr>
            <w:r w:rsidRPr="00D94017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CC25BA" w:rsidRPr="00CC6602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CC25BA" w:rsidRPr="00CC6602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CC25BA" w:rsidRPr="00CC6602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CC25BA" w:rsidRPr="00CC6602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CC25BA" w:rsidRPr="00CC6602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-8.0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CC25BA" w:rsidRPr="00CC6602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CC25BA" w:rsidRPr="00CC6602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CC25BA" w:rsidRPr="00CC6602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CC25BA" w:rsidRPr="00CC6602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CC25BA" w:rsidRPr="00CC6602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CC25BA" w:rsidRPr="00CC6602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CC25BA" w:rsidRPr="00CC6602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80" w:type="pct"/>
            <w:shd w:val="clear" w:color="auto" w:fill="D7DDE9"/>
            <w:vAlign w:val="center"/>
          </w:tcPr>
          <w:p w:rsidR="00CC25BA" w:rsidRPr="00CC6602" w:rsidRDefault="00CC25BA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-22.0</w:t>
            </w:r>
          </w:p>
        </w:tc>
      </w:tr>
    </w:tbl>
    <w:p w:rsidR="00CC25BA" w:rsidRDefault="00CC25BA" w:rsidP="009F33DA">
      <w:pPr>
        <w:pStyle w:val="Footnotes"/>
        <w:keepNext/>
        <w:keepLines/>
        <w:numPr>
          <w:ilvl w:val="0"/>
          <w:numId w:val="13"/>
        </w:numPr>
        <w:ind w:left="284" w:hanging="284"/>
      </w:pPr>
      <w:r w:rsidRPr="00DB3B7E">
        <w:t>A negative number indicates a decrease in revenue or an increase in expenses or net capital investment in accrual and cash terms</w:t>
      </w:r>
      <w:r>
        <w:t xml:space="preserve">.  </w:t>
      </w:r>
    </w:p>
    <w:p w:rsidR="00CC25BA" w:rsidRDefault="00CC25BA" w:rsidP="009F33DA">
      <w:pPr>
        <w:pStyle w:val="Footnotes"/>
        <w:keepNext/>
        <w:keepLines/>
        <w:numPr>
          <w:ilvl w:val="0"/>
          <w:numId w:val="13"/>
        </w:numPr>
        <w:ind w:left="284" w:hanging="284"/>
      </w:pPr>
      <w:r>
        <w:t>Figures may not sum to totals due to rounding.</w:t>
      </w:r>
    </w:p>
    <w:p w:rsidR="00CC25BA" w:rsidRDefault="00CC25BA" w:rsidP="0067143A">
      <w:pPr>
        <w:pStyle w:val="Footnotes"/>
        <w:numPr>
          <w:ilvl w:val="0"/>
          <w:numId w:val="10"/>
        </w:numPr>
        <w:ind w:left="284" w:hanging="284"/>
      </w:pPr>
      <w:r>
        <w:t>Indicates nil.</w:t>
      </w:r>
    </w:p>
    <w:p w:rsidR="00C63583" w:rsidRPr="00FC6579" w:rsidRDefault="00C63583" w:rsidP="009F33DA">
      <w:pPr>
        <w:pStyle w:val="Captionheading"/>
        <w:keepLines/>
        <w:spacing w:before="240"/>
      </w:pPr>
      <w:r w:rsidRPr="00FC6579">
        <w:t xml:space="preserve">Table </w:t>
      </w:r>
      <w:r>
        <w:t>A</w:t>
      </w:r>
      <w:r w:rsidR="001C3C23">
        <w:t>9</w:t>
      </w:r>
      <w:r w:rsidRPr="00FC6579">
        <w:t xml:space="preserve">: </w:t>
      </w:r>
      <w:r w:rsidR="001C3C23">
        <w:t xml:space="preserve">Component 8: </w:t>
      </w:r>
      <w:r w:rsidR="00CC6602" w:rsidRPr="00CC6602">
        <w:t>Urban Biodiversity Taskforce</w:t>
      </w:r>
      <w:r w:rsidR="0067143A">
        <w:t>—</w:t>
      </w:r>
      <w:r>
        <w:t>F</w:t>
      </w:r>
      <w:r w:rsidRPr="00DE5D03">
        <w:t>inancial implications</w:t>
      </w:r>
      <w:r>
        <w:rPr>
          <w:vertAlign w:val="superscript"/>
        </w:rPr>
        <w:t>(a)(b)</w:t>
      </w:r>
    </w:p>
    <w:tbl>
      <w:tblPr>
        <w:tblStyle w:val="TableGrid"/>
        <w:tblW w:w="5031" w:type="pct"/>
        <w:tblLook w:val="0680" w:firstRow="0" w:lastRow="0" w:firstColumn="1" w:lastColumn="0" w:noHBand="1" w:noVBand="1"/>
      </w:tblPr>
      <w:tblGrid>
        <w:gridCol w:w="1992"/>
        <w:gridCol w:w="909"/>
        <w:gridCol w:w="905"/>
        <w:gridCol w:w="905"/>
        <w:gridCol w:w="902"/>
        <w:gridCol w:w="993"/>
        <w:gridCol w:w="902"/>
        <w:gridCol w:w="902"/>
        <w:gridCol w:w="905"/>
        <w:gridCol w:w="905"/>
        <w:gridCol w:w="908"/>
        <w:gridCol w:w="908"/>
        <w:gridCol w:w="993"/>
        <w:gridCol w:w="1072"/>
      </w:tblGrid>
      <w:tr w:rsidR="00C21631" w:rsidRPr="00B31810" w:rsidTr="00C2163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shd w:val="clear" w:color="auto" w:fill="D7DDE9"/>
          </w:tcPr>
          <w:p w:rsidR="00C21631" w:rsidRPr="00B31810" w:rsidRDefault="00C21631" w:rsidP="009F33DA">
            <w:pPr>
              <w:keepNext/>
              <w:keepLines/>
              <w:spacing w:before="70" w:after="70"/>
            </w:pPr>
            <w:r w:rsidRPr="00B31810">
              <w:t>($m)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C21631" w:rsidRPr="00C24267" w:rsidRDefault="00C21631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2016–17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C21631" w:rsidRPr="00C24267" w:rsidRDefault="00C21631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2017–18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C21631" w:rsidRPr="00C24267" w:rsidRDefault="00C21631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2018–19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C21631" w:rsidRPr="00C24267" w:rsidRDefault="00C21631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2019–20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C21631" w:rsidRPr="00281C29" w:rsidRDefault="00C21631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81C29">
              <w:rPr>
                <w:b/>
              </w:rPr>
              <w:t>Total to 2019–20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C21631" w:rsidRPr="00C24267" w:rsidRDefault="00C21631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2020–21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C21631" w:rsidRPr="00C24267" w:rsidRDefault="00C21631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2021–22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C21631" w:rsidRPr="00C24267" w:rsidRDefault="00C21631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2022–23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C21631" w:rsidRPr="00C24267" w:rsidRDefault="00C21631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2023–24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C21631" w:rsidRPr="00C24267" w:rsidRDefault="00C21631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2024–25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C21631" w:rsidRPr="00C24267" w:rsidRDefault="00C21631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2025–26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C21631" w:rsidRDefault="00C21631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2026-27</w:t>
            </w:r>
          </w:p>
        </w:tc>
        <w:tc>
          <w:tcPr>
            <w:tcW w:w="380" w:type="pct"/>
            <w:shd w:val="clear" w:color="auto" w:fill="D7DDE9"/>
            <w:vAlign w:val="center"/>
          </w:tcPr>
          <w:p w:rsidR="00C21631" w:rsidRPr="00281C29" w:rsidRDefault="00C21631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81C29">
              <w:rPr>
                <w:b/>
              </w:rPr>
              <w:t>Total to 2026–27</w:t>
            </w:r>
          </w:p>
        </w:tc>
      </w:tr>
      <w:tr w:rsidR="00CC6602" w:rsidRPr="00D94017" w:rsidTr="009F33D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</w:tcPr>
          <w:p w:rsidR="00CC6602" w:rsidRPr="0091365F" w:rsidRDefault="00CC6602" w:rsidP="009F33DA">
            <w:pPr>
              <w:keepNext/>
              <w:keepLines/>
              <w:spacing w:before="70" w:after="70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</w:pPr>
            <w:r w:rsidRPr="0091365F">
              <w:rPr>
                <w:b/>
                <w:szCs w:val="20"/>
              </w:rPr>
              <w:t>Impact on fiscal and underlying cash balances</w:t>
            </w:r>
          </w:p>
        </w:tc>
      </w:tr>
      <w:tr w:rsidR="00CC6602" w:rsidRPr="00D94017" w:rsidTr="00CC660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</w:tcPr>
          <w:p w:rsidR="00CC6602" w:rsidRPr="00D94017" w:rsidRDefault="00CC6602" w:rsidP="009F33DA">
            <w:pPr>
              <w:keepNext/>
              <w:keepLines/>
              <w:spacing w:before="70" w:after="70"/>
              <w:rPr>
                <w:sz w:val="20"/>
                <w:szCs w:val="20"/>
              </w:rPr>
            </w:pPr>
            <w:r w:rsidRPr="00D94017">
              <w:rPr>
                <w:sz w:val="20"/>
                <w:szCs w:val="20"/>
              </w:rPr>
              <w:t>Administered</w:t>
            </w:r>
          </w:p>
        </w:tc>
        <w:tc>
          <w:tcPr>
            <w:tcW w:w="322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1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1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0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52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-7.7</w:t>
            </w:r>
          </w:p>
        </w:tc>
        <w:tc>
          <w:tcPr>
            <w:tcW w:w="320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0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1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1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2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22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52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-1.9</w:t>
            </w:r>
          </w:p>
        </w:tc>
        <w:tc>
          <w:tcPr>
            <w:tcW w:w="380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-21.1</w:t>
            </w:r>
          </w:p>
        </w:tc>
      </w:tr>
      <w:tr w:rsidR="00CC6602" w:rsidRPr="00D94017" w:rsidTr="00CC660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</w:tcPr>
          <w:p w:rsidR="00CC6602" w:rsidRPr="00D94017" w:rsidRDefault="00CC6602" w:rsidP="009F33DA">
            <w:pPr>
              <w:keepNext/>
              <w:keepLines/>
              <w:spacing w:before="70" w:after="70"/>
              <w:rPr>
                <w:sz w:val="20"/>
                <w:szCs w:val="20"/>
              </w:rPr>
            </w:pPr>
            <w:r w:rsidRPr="00D94017">
              <w:rPr>
                <w:sz w:val="20"/>
                <w:szCs w:val="20"/>
              </w:rPr>
              <w:t>Departmental</w:t>
            </w:r>
          </w:p>
        </w:tc>
        <w:tc>
          <w:tcPr>
            <w:tcW w:w="322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0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52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-0.3</w:t>
            </w:r>
          </w:p>
        </w:tc>
        <w:tc>
          <w:tcPr>
            <w:tcW w:w="320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0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1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2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22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52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-0.1</w:t>
            </w:r>
          </w:p>
        </w:tc>
        <w:tc>
          <w:tcPr>
            <w:tcW w:w="380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-0.9</w:t>
            </w:r>
          </w:p>
        </w:tc>
      </w:tr>
      <w:tr w:rsidR="00CC6602" w:rsidRPr="00D94017" w:rsidTr="00CC660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shd w:val="clear" w:color="auto" w:fill="D7DDE9"/>
          </w:tcPr>
          <w:p w:rsidR="00CC6602" w:rsidRPr="00D94017" w:rsidRDefault="00CC6602" w:rsidP="009F33DA">
            <w:pPr>
              <w:keepNext/>
              <w:keepLines/>
              <w:spacing w:before="70" w:after="70"/>
              <w:rPr>
                <w:b/>
                <w:sz w:val="20"/>
                <w:szCs w:val="20"/>
              </w:rPr>
            </w:pPr>
            <w:r w:rsidRPr="00D94017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CC6602" w:rsidRPr="00CC6602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CC6602" w:rsidRPr="00CC6602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CC6602" w:rsidRPr="00CC6602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CC6602" w:rsidRPr="00CC6602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CC6602" w:rsidRPr="00CC6602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-8.0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CC6602" w:rsidRPr="00CC6602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CC6602" w:rsidRPr="00CC6602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CC6602" w:rsidRPr="00CC6602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CC6602" w:rsidRPr="00CC6602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CC6602" w:rsidRPr="00CC6602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CC6602" w:rsidRPr="00CC6602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CC6602" w:rsidRPr="00CC6602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-2.0</w:t>
            </w:r>
          </w:p>
        </w:tc>
        <w:tc>
          <w:tcPr>
            <w:tcW w:w="380" w:type="pct"/>
            <w:shd w:val="clear" w:color="auto" w:fill="D7DDE9"/>
            <w:vAlign w:val="center"/>
          </w:tcPr>
          <w:p w:rsidR="00CC6602" w:rsidRPr="00CC6602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C6602">
              <w:rPr>
                <w:b/>
                <w:sz w:val="20"/>
                <w:szCs w:val="20"/>
              </w:rPr>
              <w:t>-22.0</w:t>
            </w:r>
          </w:p>
        </w:tc>
      </w:tr>
    </w:tbl>
    <w:p w:rsidR="00CC6602" w:rsidRDefault="00CC6602" w:rsidP="009F33DA">
      <w:pPr>
        <w:pStyle w:val="Footnotes"/>
        <w:keepNext/>
        <w:keepLines/>
        <w:numPr>
          <w:ilvl w:val="0"/>
          <w:numId w:val="12"/>
        </w:numPr>
        <w:ind w:left="284" w:hanging="284"/>
      </w:pPr>
      <w:r w:rsidRPr="00DB3B7E">
        <w:t>A negative number indicates a decrease in revenue or an increase in expenses or net capital investment in accrual and cash terms</w:t>
      </w:r>
      <w:r>
        <w:t xml:space="preserve">.  </w:t>
      </w:r>
    </w:p>
    <w:p w:rsidR="00CC6602" w:rsidRDefault="00CC6602" w:rsidP="009F33DA">
      <w:pPr>
        <w:pStyle w:val="Footnotes"/>
        <w:keepNext/>
        <w:keepLines/>
        <w:numPr>
          <w:ilvl w:val="0"/>
          <w:numId w:val="12"/>
        </w:numPr>
        <w:ind w:left="284" w:hanging="284"/>
      </w:pPr>
      <w:r>
        <w:t>Figures may not sum to totals due to rounding.</w:t>
      </w:r>
    </w:p>
    <w:p w:rsidR="00CC6602" w:rsidRDefault="00CC6602" w:rsidP="0067143A">
      <w:pPr>
        <w:pStyle w:val="Footnotes"/>
        <w:numPr>
          <w:ilvl w:val="0"/>
          <w:numId w:val="10"/>
        </w:numPr>
        <w:ind w:left="284" w:hanging="284"/>
      </w:pPr>
      <w:r>
        <w:t>Indicates nil.</w:t>
      </w:r>
    </w:p>
    <w:p w:rsidR="00E7214B" w:rsidRPr="0067143A" w:rsidRDefault="00E7214B" w:rsidP="009F33DA">
      <w:pPr>
        <w:pStyle w:val="Captionheading"/>
        <w:keepLines/>
      </w:pPr>
      <w:r w:rsidRPr="0067143A">
        <w:lastRenderedPageBreak/>
        <w:t xml:space="preserve">Table A10: </w:t>
      </w:r>
      <w:r w:rsidR="00C53E76" w:rsidRPr="0067143A">
        <w:t xml:space="preserve">Component 9: </w:t>
      </w:r>
      <w:r w:rsidR="00CC6602" w:rsidRPr="0067143A">
        <w:t>Urban National Park category</w:t>
      </w:r>
      <w:r w:rsidR="0067143A">
        <w:t>—</w:t>
      </w:r>
      <w:r w:rsidRPr="0067143A">
        <w:t>Financial implications(a)(b)</w:t>
      </w:r>
    </w:p>
    <w:tbl>
      <w:tblPr>
        <w:tblStyle w:val="TableGrid"/>
        <w:tblW w:w="5031" w:type="pct"/>
        <w:tblLook w:val="0680" w:firstRow="0" w:lastRow="0" w:firstColumn="1" w:lastColumn="0" w:noHBand="1" w:noVBand="1"/>
      </w:tblPr>
      <w:tblGrid>
        <w:gridCol w:w="1992"/>
        <w:gridCol w:w="909"/>
        <w:gridCol w:w="905"/>
        <w:gridCol w:w="905"/>
        <w:gridCol w:w="902"/>
        <w:gridCol w:w="993"/>
        <w:gridCol w:w="902"/>
        <w:gridCol w:w="902"/>
        <w:gridCol w:w="905"/>
        <w:gridCol w:w="905"/>
        <w:gridCol w:w="908"/>
        <w:gridCol w:w="908"/>
        <w:gridCol w:w="993"/>
        <w:gridCol w:w="1072"/>
      </w:tblGrid>
      <w:tr w:rsidR="000A761A" w:rsidRPr="00B31810" w:rsidTr="000A761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shd w:val="clear" w:color="auto" w:fill="D7DDE9"/>
          </w:tcPr>
          <w:p w:rsidR="000A761A" w:rsidRPr="00B31810" w:rsidRDefault="000A761A" w:rsidP="009F33DA">
            <w:pPr>
              <w:keepNext/>
              <w:keepLines/>
              <w:spacing w:before="70" w:after="70"/>
            </w:pPr>
            <w:r w:rsidRPr="00B31810">
              <w:t>($m)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0A761A" w:rsidRPr="00C24267" w:rsidRDefault="000A761A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2016–17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0A761A" w:rsidRPr="00C24267" w:rsidRDefault="000A761A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2017–18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0A761A" w:rsidRPr="00C24267" w:rsidRDefault="000A761A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2018–19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0A761A" w:rsidRPr="00C24267" w:rsidRDefault="000A761A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2019–20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0A761A" w:rsidRPr="00281C29" w:rsidRDefault="000A761A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81C29">
              <w:rPr>
                <w:b/>
              </w:rPr>
              <w:t>Total to 2019–20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0A761A" w:rsidRPr="00C24267" w:rsidRDefault="000A761A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2020–21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0A761A" w:rsidRPr="00C24267" w:rsidRDefault="000A761A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2021–22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0A761A" w:rsidRPr="00C24267" w:rsidRDefault="000A761A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2022–23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0A761A" w:rsidRPr="00C24267" w:rsidRDefault="000A761A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2023–24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0A761A" w:rsidRPr="00C24267" w:rsidRDefault="000A761A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2024–25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0A761A" w:rsidRPr="00C24267" w:rsidRDefault="000A761A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2025–26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0A761A" w:rsidRDefault="000A761A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2026-27</w:t>
            </w:r>
          </w:p>
        </w:tc>
        <w:tc>
          <w:tcPr>
            <w:tcW w:w="380" w:type="pct"/>
            <w:shd w:val="clear" w:color="auto" w:fill="D7DDE9"/>
            <w:vAlign w:val="center"/>
          </w:tcPr>
          <w:p w:rsidR="000A761A" w:rsidRPr="00281C29" w:rsidRDefault="000A761A" w:rsidP="009F33DA">
            <w:pPr>
              <w:pStyle w:val="TableHeadingCentr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81C29">
              <w:rPr>
                <w:b/>
              </w:rPr>
              <w:t>Total to 2026–27</w:t>
            </w:r>
          </w:p>
        </w:tc>
      </w:tr>
      <w:tr w:rsidR="00CC6602" w:rsidRPr="00D94017" w:rsidTr="009F33D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E9ECF3"/>
          </w:tcPr>
          <w:p w:rsidR="00CC6602" w:rsidRPr="0091365F" w:rsidRDefault="00CC6602" w:rsidP="009F33DA">
            <w:pPr>
              <w:keepNext/>
              <w:keepLines/>
              <w:spacing w:before="70" w:after="70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</w:pPr>
            <w:r w:rsidRPr="0091365F">
              <w:rPr>
                <w:b/>
                <w:szCs w:val="20"/>
              </w:rPr>
              <w:t>Impact on fiscal and underlying cash balances</w:t>
            </w:r>
          </w:p>
        </w:tc>
      </w:tr>
      <w:tr w:rsidR="00CC6602" w:rsidRPr="00D94017" w:rsidTr="00CC660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</w:tcPr>
          <w:p w:rsidR="00CC6602" w:rsidRPr="00D94017" w:rsidRDefault="00CC6602" w:rsidP="009F33DA">
            <w:pPr>
              <w:keepNext/>
              <w:keepLines/>
              <w:spacing w:before="70" w:after="70"/>
              <w:rPr>
                <w:sz w:val="20"/>
                <w:szCs w:val="20"/>
              </w:rPr>
            </w:pPr>
            <w:r w:rsidRPr="00D94017">
              <w:rPr>
                <w:sz w:val="20"/>
                <w:szCs w:val="20"/>
              </w:rPr>
              <w:t>Administered</w:t>
            </w:r>
          </w:p>
        </w:tc>
        <w:tc>
          <w:tcPr>
            <w:tcW w:w="322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F33D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F33D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0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F33D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52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20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F33D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0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F33D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F33D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F33D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2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F33D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2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F33D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52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F33D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80" w:type="pct"/>
            <w:vAlign w:val="bottom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CC6602" w:rsidRPr="00D94017" w:rsidTr="00CC660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</w:tcPr>
          <w:p w:rsidR="00CC6602" w:rsidRPr="00D94017" w:rsidRDefault="00CC6602" w:rsidP="009F33DA">
            <w:pPr>
              <w:keepNext/>
              <w:keepLines/>
              <w:spacing w:before="70" w:after="70"/>
              <w:rPr>
                <w:sz w:val="20"/>
                <w:szCs w:val="20"/>
              </w:rPr>
            </w:pPr>
            <w:r w:rsidRPr="00D94017">
              <w:rPr>
                <w:sz w:val="20"/>
                <w:szCs w:val="20"/>
              </w:rPr>
              <w:t>Departmental</w:t>
            </w:r>
          </w:p>
        </w:tc>
        <w:tc>
          <w:tcPr>
            <w:tcW w:w="322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9F33DA">
              <w:rPr>
                <w:i/>
                <w:sz w:val="20"/>
                <w:szCs w:val="20"/>
              </w:rPr>
              <w:t>-0.2</w:t>
            </w:r>
          </w:p>
        </w:tc>
        <w:tc>
          <w:tcPr>
            <w:tcW w:w="321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F33D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F33D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0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F33D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52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-0.2</w:t>
            </w:r>
          </w:p>
        </w:tc>
        <w:tc>
          <w:tcPr>
            <w:tcW w:w="320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F33D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0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F33D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F33D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1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F33D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2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F33D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22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F33D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52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F33D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380" w:type="pct"/>
            <w:vAlign w:val="center"/>
          </w:tcPr>
          <w:p w:rsidR="00CC6602" w:rsidRPr="009F33DA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F33DA">
              <w:rPr>
                <w:b/>
                <w:i/>
                <w:sz w:val="20"/>
                <w:szCs w:val="20"/>
              </w:rPr>
              <w:t>-0.2</w:t>
            </w:r>
          </w:p>
        </w:tc>
      </w:tr>
      <w:tr w:rsidR="00CC6602" w:rsidRPr="00D94017" w:rsidTr="00CC660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shd w:val="clear" w:color="auto" w:fill="D7DDE9"/>
          </w:tcPr>
          <w:p w:rsidR="00CC6602" w:rsidRPr="00D94017" w:rsidRDefault="00CC6602" w:rsidP="009F33DA">
            <w:pPr>
              <w:keepNext/>
              <w:keepLines/>
              <w:spacing w:before="70" w:after="70"/>
              <w:rPr>
                <w:b/>
                <w:sz w:val="20"/>
                <w:szCs w:val="20"/>
              </w:rPr>
            </w:pPr>
            <w:r w:rsidRPr="00D94017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CC6602" w:rsidRPr="00E97870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97870">
              <w:rPr>
                <w:b/>
                <w:sz w:val="20"/>
                <w:szCs w:val="20"/>
              </w:rPr>
              <w:t xml:space="preserve">-0.2 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CC6602" w:rsidRPr="00E97870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7870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CC6602" w:rsidRPr="00E97870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787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CC6602" w:rsidRPr="00E97870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7870"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CC6602" w:rsidRPr="00E97870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97870">
              <w:rPr>
                <w:b/>
                <w:sz w:val="20"/>
                <w:szCs w:val="20"/>
              </w:rPr>
              <w:t xml:space="preserve">-0.2 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CC6602" w:rsidRPr="00E97870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7870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shd w:val="clear" w:color="auto" w:fill="D7DDE9"/>
            <w:vAlign w:val="center"/>
          </w:tcPr>
          <w:p w:rsidR="00CC6602" w:rsidRPr="00E97870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7870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CC6602" w:rsidRPr="00E97870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7870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shd w:val="clear" w:color="auto" w:fill="D7DDE9"/>
            <w:vAlign w:val="center"/>
          </w:tcPr>
          <w:p w:rsidR="00CC6602" w:rsidRPr="00E97870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7870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CC6602" w:rsidRPr="00E97870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7870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shd w:val="clear" w:color="auto" w:fill="D7DDE9"/>
            <w:vAlign w:val="center"/>
          </w:tcPr>
          <w:p w:rsidR="00CC6602" w:rsidRPr="00E97870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7870"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  <w:shd w:val="clear" w:color="auto" w:fill="D7DDE9"/>
            <w:vAlign w:val="center"/>
          </w:tcPr>
          <w:p w:rsidR="00CC6602" w:rsidRPr="00E97870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7870">
              <w:rPr>
                <w:sz w:val="20"/>
                <w:szCs w:val="20"/>
              </w:rPr>
              <w:t>-</w:t>
            </w:r>
          </w:p>
        </w:tc>
        <w:tc>
          <w:tcPr>
            <w:tcW w:w="380" w:type="pct"/>
            <w:shd w:val="clear" w:color="auto" w:fill="D7DDE9"/>
            <w:vAlign w:val="center"/>
          </w:tcPr>
          <w:p w:rsidR="00CC6602" w:rsidRPr="00E97870" w:rsidRDefault="00CC6602" w:rsidP="009F33DA">
            <w:pPr>
              <w:keepNext/>
              <w:keepLines/>
              <w:spacing w:before="70" w:after="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97870">
              <w:rPr>
                <w:b/>
                <w:sz w:val="20"/>
                <w:szCs w:val="20"/>
              </w:rPr>
              <w:t xml:space="preserve">-0.2 </w:t>
            </w:r>
          </w:p>
        </w:tc>
      </w:tr>
    </w:tbl>
    <w:p w:rsidR="00E97870" w:rsidRDefault="00E97870" w:rsidP="009F33DA">
      <w:pPr>
        <w:pStyle w:val="Footnotes"/>
        <w:keepNext/>
        <w:keepLines/>
        <w:numPr>
          <w:ilvl w:val="0"/>
          <w:numId w:val="11"/>
        </w:numPr>
        <w:ind w:left="284" w:hanging="284"/>
      </w:pPr>
      <w:r w:rsidRPr="00DB3B7E">
        <w:t>A negative number indicates a decrease in revenue or an increase in expenses or net capital investment in accrual and cash terms</w:t>
      </w:r>
      <w:r>
        <w:t xml:space="preserve">.  </w:t>
      </w:r>
    </w:p>
    <w:p w:rsidR="00E97870" w:rsidRDefault="00E97870" w:rsidP="009F33DA">
      <w:pPr>
        <w:pStyle w:val="Footnotes"/>
        <w:keepNext/>
        <w:keepLines/>
        <w:numPr>
          <w:ilvl w:val="0"/>
          <w:numId w:val="11"/>
        </w:numPr>
        <w:ind w:left="284" w:hanging="284"/>
      </w:pPr>
      <w:r>
        <w:t>Figures may not sum to totals due to rounding.</w:t>
      </w:r>
    </w:p>
    <w:p w:rsidR="00485374" w:rsidRPr="00FC6579" w:rsidRDefault="00E97870" w:rsidP="0067143A">
      <w:pPr>
        <w:pStyle w:val="Footnotes"/>
        <w:numPr>
          <w:ilvl w:val="0"/>
          <w:numId w:val="10"/>
        </w:numPr>
        <w:ind w:left="284" w:hanging="284"/>
      </w:pPr>
      <w:r>
        <w:t>Indicates nil.</w:t>
      </w:r>
    </w:p>
    <w:sectPr w:rsidR="00485374" w:rsidRPr="00FC6579" w:rsidSect="00520F28">
      <w:headerReference w:type="first" r:id="rId15"/>
      <w:footerReference w:type="first" r:id="rId16"/>
      <w:pgSz w:w="16839" w:h="11907" w:orient="landscape" w:code="9"/>
      <w:pgMar w:top="1797" w:right="1361" w:bottom="179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43A" w:rsidRDefault="0067143A" w:rsidP="008F588A">
      <w:pPr>
        <w:spacing w:line="240" w:lineRule="auto"/>
      </w:pPr>
      <w:r>
        <w:separator/>
      </w:r>
    </w:p>
    <w:p w:rsidR="0067143A" w:rsidRDefault="0067143A"/>
  </w:endnote>
  <w:endnote w:type="continuationSeparator" w:id="0">
    <w:p w:rsidR="0067143A" w:rsidRDefault="0067143A" w:rsidP="008F588A">
      <w:pPr>
        <w:spacing w:line="240" w:lineRule="auto"/>
      </w:pPr>
      <w:r>
        <w:continuationSeparator/>
      </w:r>
    </w:p>
    <w:p w:rsidR="0067143A" w:rsidRDefault="00671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43A" w:rsidRPr="00C24267" w:rsidRDefault="0067143A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3B64E7">
      <w:rPr>
        <w:noProof/>
      </w:rPr>
      <w:t>11</w:t>
    </w:r>
    <w:r w:rsidRPr="00C24267">
      <w:fldChar w:fldCharType="end"/>
    </w:r>
    <w:r w:rsidRPr="00C24267">
      <w:t xml:space="preserve"> of </w:t>
    </w:r>
    <w:r w:rsidR="003B64E7">
      <w:fldChar w:fldCharType="begin"/>
    </w:r>
    <w:r w:rsidR="003B64E7">
      <w:instrText xml:space="preserve"> NUMPAGES  \* Arabic  \* MERGEFORMAT </w:instrText>
    </w:r>
    <w:r w:rsidR="003B64E7">
      <w:fldChar w:fldCharType="separate"/>
    </w:r>
    <w:r w:rsidR="003B64E7">
      <w:rPr>
        <w:noProof/>
      </w:rPr>
      <w:t>11</w:t>
    </w:r>
    <w:r w:rsidR="003B64E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43A" w:rsidRPr="00C24267" w:rsidRDefault="0067143A" w:rsidP="00C24267">
    <w:pPr>
      <w:pStyle w:val="Letterfooter"/>
    </w:pPr>
    <w:r w:rsidRPr="00C24267">
      <w:t>Parliamentary Budget Office   PO Box 6010   Parliament House   Canberra ACT 2600</w:t>
    </w:r>
  </w:p>
  <w:p w:rsidR="0067143A" w:rsidRPr="00C24267" w:rsidRDefault="0067143A" w:rsidP="00C24267">
    <w:pPr>
      <w:pStyle w:val="Letterfooter"/>
    </w:pPr>
    <w:r w:rsidRPr="00C24267">
      <w:t>Tel: 02 6277 9500   Web: www.pbo.gov.au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43A" w:rsidRPr="00C24267" w:rsidRDefault="0067143A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3B64E7">
      <w:rPr>
        <w:noProof/>
      </w:rPr>
      <w:t>2</w:t>
    </w:r>
    <w:r w:rsidRPr="00C24267">
      <w:fldChar w:fldCharType="end"/>
    </w:r>
    <w:r w:rsidRPr="00C24267">
      <w:t xml:space="preserve"> of </w:t>
    </w:r>
    <w:r w:rsidR="003B64E7">
      <w:fldChar w:fldCharType="begin"/>
    </w:r>
    <w:r w:rsidR="003B64E7">
      <w:instrText xml:space="preserve"> NUMPAGES  \* Arabic  \* MERGEFORMAT </w:instrText>
    </w:r>
    <w:r w:rsidR="003B64E7">
      <w:fldChar w:fldCharType="separate"/>
    </w:r>
    <w:r w:rsidR="003B64E7">
      <w:rPr>
        <w:noProof/>
      </w:rPr>
      <w:t>2</w:t>
    </w:r>
    <w:r w:rsidR="003B64E7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43A" w:rsidRPr="00C24267" w:rsidRDefault="0067143A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3B64E7">
      <w:rPr>
        <w:noProof/>
      </w:rPr>
      <w:t>6</w:t>
    </w:r>
    <w:r w:rsidRPr="00C24267">
      <w:fldChar w:fldCharType="end"/>
    </w:r>
    <w:r w:rsidRPr="00C24267">
      <w:t xml:space="preserve"> of </w:t>
    </w:r>
    <w:r w:rsidR="003B64E7">
      <w:fldChar w:fldCharType="begin"/>
    </w:r>
    <w:r w:rsidR="003B64E7">
      <w:instrText xml:space="preserve"> NUMPAGES  \* Arabic  \* MERGEFORMAT </w:instrText>
    </w:r>
    <w:r w:rsidR="003B64E7">
      <w:fldChar w:fldCharType="separate"/>
    </w:r>
    <w:r w:rsidR="003B64E7">
      <w:rPr>
        <w:noProof/>
      </w:rPr>
      <w:t>6</w:t>
    </w:r>
    <w:r w:rsidR="003B64E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43A" w:rsidRDefault="0067143A" w:rsidP="008F588A">
      <w:pPr>
        <w:spacing w:line="240" w:lineRule="auto"/>
      </w:pPr>
      <w:r>
        <w:separator/>
      </w:r>
    </w:p>
    <w:p w:rsidR="0067143A" w:rsidRDefault="0067143A"/>
  </w:footnote>
  <w:footnote w:type="continuationSeparator" w:id="0">
    <w:p w:rsidR="0067143A" w:rsidRDefault="0067143A" w:rsidP="008F588A">
      <w:pPr>
        <w:spacing w:line="240" w:lineRule="auto"/>
      </w:pPr>
      <w:r>
        <w:continuationSeparator/>
      </w:r>
    </w:p>
    <w:p w:rsidR="0067143A" w:rsidRDefault="006714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43A" w:rsidRDefault="0067143A" w:rsidP="00CB40E1">
    <w:pPr>
      <w:pStyle w:val="Header"/>
    </w:pPr>
    <w:r>
      <w:rPr>
        <w:noProof/>
        <w:lang w:eastAsia="en-AU"/>
      </w:rPr>
      <w:drawing>
        <wp:inline distT="0" distB="0" distL="0" distR="0" wp14:anchorId="166CC723" wp14:editId="662056F7">
          <wp:extent cx="2696845" cy="572135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143A" w:rsidRPr="00DA1C8A" w:rsidRDefault="0067143A" w:rsidP="00002D5D">
    <w:pPr>
      <w:pStyle w:val="PBOheader"/>
      <w:spacing w:before="720"/>
      <w:ind w:left="5783"/>
      <w:rPr>
        <w:b w:val="0"/>
      </w:rPr>
    </w:pPr>
    <w:r>
      <w:t>P</w:t>
    </w:r>
    <w:r w:rsidRPr="009030A0">
      <w:t>hil Bowen PSM FCPA</w:t>
    </w:r>
    <w:r>
      <w:br/>
    </w:r>
    <w:r w:rsidRPr="009030A0">
      <w:t>Parliamentary Budget Officer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43A" w:rsidRPr="00C17112" w:rsidRDefault="0067143A" w:rsidP="00C17112">
    <w:pPr>
      <w:pStyle w:val="Header"/>
    </w:pPr>
    <w:r>
      <w:rPr>
        <w:noProof/>
        <w:lang w:eastAsia="en-AU"/>
      </w:rPr>
      <w:drawing>
        <wp:inline distT="0" distB="0" distL="0" distR="0" wp14:anchorId="22C0C18E" wp14:editId="57CE28D8">
          <wp:extent cx="2696845" cy="572135"/>
          <wp:effectExtent l="0" t="0" r="825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43A" w:rsidRPr="00D47DDD" w:rsidRDefault="0067143A" w:rsidP="00D47D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37FE"/>
    <w:multiLevelType w:val="multilevel"/>
    <w:tmpl w:val="EB047CC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">
    <w:nsid w:val="0D745448"/>
    <w:multiLevelType w:val="multilevel"/>
    <w:tmpl w:val="1CA8BD68"/>
    <w:name w:val="PBOHeadings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2">
    <w:nsid w:val="194A695C"/>
    <w:multiLevelType w:val="multilevel"/>
    <w:tmpl w:val="5E16FD12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3">
    <w:nsid w:val="30E45E35"/>
    <w:multiLevelType w:val="hybridMultilevel"/>
    <w:tmpl w:val="60A06D20"/>
    <w:lvl w:ilvl="0" w:tplc="EE46B378">
      <w:start w:val="1"/>
      <w:numFmt w:val="lowerLetter"/>
      <w:pStyle w:val="Footnotes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67" w:hanging="360"/>
      </w:pPr>
    </w:lvl>
    <w:lvl w:ilvl="2" w:tplc="0C09001B" w:tentative="1">
      <w:start w:val="1"/>
      <w:numFmt w:val="lowerRoman"/>
      <w:lvlText w:val="%3."/>
      <w:lvlJc w:val="right"/>
      <w:pPr>
        <w:ind w:left="1687" w:hanging="180"/>
      </w:pPr>
    </w:lvl>
    <w:lvl w:ilvl="3" w:tplc="0C09000F" w:tentative="1">
      <w:start w:val="1"/>
      <w:numFmt w:val="decimal"/>
      <w:lvlText w:val="%4."/>
      <w:lvlJc w:val="left"/>
      <w:pPr>
        <w:ind w:left="2407" w:hanging="360"/>
      </w:pPr>
    </w:lvl>
    <w:lvl w:ilvl="4" w:tplc="0C090019" w:tentative="1">
      <w:start w:val="1"/>
      <w:numFmt w:val="lowerLetter"/>
      <w:lvlText w:val="%5."/>
      <w:lvlJc w:val="left"/>
      <w:pPr>
        <w:ind w:left="3127" w:hanging="360"/>
      </w:pPr>
    </w:lvl>
    <w:lvl w:ilvl="5" w:tplc="0C09001B" w:tentative="1">
      <w:start w:val="1"/>
      <w:numFmt w:val="lowerRoman"/>
      <w:lvlText w:val="%6."/>
      <w:lvlJc w:val="right"/>
      <w:pPr>
        <w:ind w:left="3847" w:hanging="180"/>
      </w:pPr>
    </w:lvl>
    <w:lvl w:ilvl="6" w:tplc="0C09000F" w:tentative="1">
      <w:start w:val="1"/>
      <w:numFmt w:val="decimal"/>
      <w:lvlText w:val="%7."/>
      <w:lvlJc w:val="left"/>
      <w:pPr>
        <w:ind w:left="4567" w:hanging="360"/>
      </w:pPr>
    </w:lvl>
    <w:lvl w:ilvl="7" w:tplc="0C090019" w:tentative="1">
      <w:start w:val="1"/>
      <w:numFmt w:val="lowerLetter"/>
      <w:lvlText w:val="%8."/>
      <w:lvlJc w:val="left"/>
      <w:pPr>
        <w:ind w:left="5287" w:hanging="360"/>
      </w:pPr>
    </w:lvl>
    <w:lvl w:ilvl="8" w:tplc="0C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4">
    <w:nsid w:val="3B2E19AC"/>
    <w:multiLevelType w:val="singleLevel"/>
    <w:tmpl w:val="032CEB48"/>
    <w:lvl w:ilvl="0">
      <w:start w:val="1"/>
      <w:numFmt w:val="lowerLetter"/>
      <w:lvlRestart w:val="0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000000"/>
        <w:sz w:val="18"/>
        <w:szCs w:val="18"/>
      </w:rPr>
    </w:lvl>
  </w:abstractNum>
  <w:abstractNum w:abstractNumId="5">
    <w:nsid w:val="3D4A0E3D"/>
    <w:multiLevelType w:val="hybridMultilevel"/>
    <w:tmpl w:val="BCC2CD9A"/>
    <w:lvl w:ilvl="0" w:tplc="5F84CCBC">
      <w:start w:val="1"/>
      <w:numFmt w:val="bullet"/>
      <w:lvlText w:val=""/>
      <w:lvlJc w:val="left"/>
      <w:pPr>
        <w:ind w:left="284" w:hanging="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93493"/>
    <w:multiLevelType w:val="hybridMultilevel"/>
    <w:tmpl w:val="700E2D8A"/>
    <w:lvl w:ilvl="0" w:tplc="22FA2AA6">
      <w:start w:val="1"/>
      <w:numFmt w:val="bullet"/>
      <w:lvlText w:val=""/>
      <w:lvlJc w:val="left"/>
      <w:pPr>
        <w:ind w:left="454" w:hanging="171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>
    <w:nsid w:val="6317373C"/>
    <w:multiLevelType w:val="hybridMultilevel"/>
    <w:tmpl w:val="E4F29F58"/>
    <w:lvl w:ilvl="0" w:tplc="9DEC124A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E2F93"/>
    <w:multiLevelType w:val="multilevel"/>
    <w:tmpl w:val="850CAC3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4"/>
    <w:lvlOverride w:ilvl="0">
      <w:startOverride w:val="1"/>
    </w:lvlOverride>
  </w:num>
  <w:num w:numId="10">
    <w:abstractNumId w:val="7"/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B6"/>
    <w:rsid w:val="00002D5D"/>
    <w:rsid w:val="00030CF3"/>
    <w:rsid w:val="00040DCE"/>
    <w:rsid w:val="00096F3A"/>
    <w:rsid w:val="000A761A"/>
    <w:rsid w:val="000B6D03"/>
    <w:rsid w:val="000C1A75"/>
    <w:rsid w:val="000E4B67"/>
    <w:rsid w:val="001278D0"/>
    <w:rsid w:val="0014239B"/>
    <w:rsid w:val="00144B55"/>
    <w:rsid w:val="00195E59"/>
    <w:rsid w:val="001A02D1"/>
    <w:rsid w:val="001C3C23"/>
    <w:rsid w:val="002037B6"/>
    <w:rsid w:val="00220BE5"/>
    <w:rsid w:val="00235BC5"/>
    <w:rsid w:val="002422A3"/>
    <w:rsid w:val="00252B87"/>
    <w:rsid w:val="00281C29"/>
    <w:rsid w:val="002D215D"/>
    <w:rsid w:val="00315E34"/>
    <w:rsid w:val="00316148"/>
    <w:rsid w:val="00326DE2"/>
    <w:rsid w:val="00377101"/>
    <w:rsid w:val="00377626"/>
    <w:rsid w:val="003A269B"/>
    <w:rsid w:val="003A2E99"/>
    <w:rsid w:val="003B64E7"/>
    <w:rsid w:val="003D6AFB"/>
    <w:rsid w:val="003E22A8"/>
    <w:rsid w:val="003F73CA"/>
    <w:rsid w:val="00402896"/>
    <w:rsid w:val="00440E32"/>
    <w:rsid w:val="00461597"/>
    <w:rsid w:val="00485374"/>
    <w:rsid w:val="004C283B"/>
    <w:rsid w:val="004D13ED"/>
    <w:rsid w:val="004D5525"/>
    <w:rsid w:val="005035DA"/>
    <w:rsid w:val="00507897"/>
    <w:rsid w:val="00515A85"/>
    <w:rsid w:val="00520F28"/>
    <w:rsid w:val="00545F24"/>
    <w:rsid w:val="0055581F"/>
    <w:rsid w:val="0056229A"/>
    <w:rsid w:val="00570154"/>
    <w:rsid w:val="00570B5A"/>
    <w:rsid w:val="005C6967"/>
    <w:rsid w:val="005E3562"/>
    <w:rsid w:val="005F7DE0"/>
    <w:rsid w:val="00616172"/>
    <w:rsid w:val="00640346"/>
    <w:rsid w:val="00660385"/>
    <w:rsid w:val="00662E65"/>
    <w:rsid w:val="0066665A"/>
    <w:rsid w:val="0067143A"/>
    <w:rsid w:val="00692DD8"/>
    <w:rsid w:val="006B5399"/>
    <w:rsid w:val="006C73E7"/>
    <w:rsid w:val="006F0CE9"/>
    <w:rsid w:val="00711611"/>
    <w:rsid w:val="00713A9B"/>
    <w:rsid w:val="007202A8"/>
    <w:rsid w:val="00771A2D"/>
    <w:rsid w:val="00774725"/>
    <w:rsid w:val="007B029A"/>
    <w:rsid w:val="007D33AA"/>
    <w:rsid w:val="007D44E2"/>
    <w:rsid w:val="007E237C"/>
    <w:rsid w:val="007F7BCF"/>
    <w:rsid w:val="008030EC"/>
    <w:rsid w:val="00807FA2"/>
    <w:rsid w:val="00811D6D"/>
    <w:rsid w:val="00844776"/>
    <w:rsid w:val="008850D9"/>
    <w:rsid w:val="008A16BD"/>
    <w:rsid w:val="008A4578"/>
    <w:rsid w:val="008B3652"/>
    <w:rsid w:val="008B493C"/>
    <w:rsid w:val="008C03C3"/>
    <w:rsid w:val="008D17B2"/>
    <w:rsid w:val="008D3909"/>
    <w:rsid w:val="008F24BB"/>
    <w:rsid w:val="008F588A"/>
    <w:rsid w:val="00902D2D"/>
    <w:rsid w:val="0091365F"/>
    <w:rsid w:val="00915804"/>
    <w:rsid w:val="00922C7F"/>
    <w:rsid w:val="009256FA"/>
    <w:rsid w:val="00957285"/>
    <w:rsid w:val="009573AF"/>
    <w:rsid w:val="00963BFC"/>
    <w:rsid w:val="009963ED"/>
    <w:rsid w:val="009D4063"/>
    <w:rsid w:val="009F33DA"/>
    <w:rsid w:val="009F4338"/>
    <w:rsid w:val="00A074EB"/>
    <w:rsid w:val="00A27995"/>
    <w:rsid w:val="00A41BD3"/>
    <w:rsid w:val="00A449C2"/>
    <w:rsid w:val="00A61536"/>
    <w:rsid w:val="00A65EA3"/>
    <w:rsid w:val="00AA214E"/>
    <w:rsid w:val="00AA3D6F"/>
    <w:rsid w:val="00AA6241"/>
    <w:rsid w:val="00AB4C49"/>
    <w:rsid w:val="00AB6F7D"/>
    <w:rsid w:val="00AC7878"/>
    <w:rsid w:val="00AD2706"/>
    <w:rsid w:val="00AD493E"/>
    <w:rsid w:val="00AE791A"/>
    <w:rsid w:val="00B06055"/>
    <w:rsid w:val="00B1580E"/>
    <w:rsid w:val="00B200C1"/>
    <w:rsid w:val="00B2442C"/>
    <w:rsid w:val="00B32879"/>
    <w:rsid w:val="00B44D8A"/>
    <w:rsid w:val="00B73AC8"/>
    <w:rsid w:val="00B747A7"/>
    <w:rsid w:val="00B81525"/>
    <w:rsid w:val="00BA3341"/>
    <w:rsid w:val="00BC31F5"/>
    <w:rsid w:val="00BC559C"/>
    <w:rsid w:val="00C07D09"/>
    <w:rsid w:val="00C17112"/>
    <w:rsid w:val="00C21631"/>
    <w:rsid w:val="00C24267"/>
    <w:rsid w:val="00C53E76"/>
    <w:rsid w:val="00C63583"/>
    <w:rsid w:val="00CA5D42"/>
    <w:rsid w:val="00CB40E1"/>
    <w:rsid w:val="00CC25BA"/>
    <w:rsid w:val="00CC5E2D"/>
    <w:rsid w:val="00CC6602"/>
    <w:rsid w:val="00CD0E34"/>
    <w:rsid w:val="00CF6DB6"/>
    <w:rsid w:val="00D134CA"/>
    <w:rsid w:val="00D347A8"/>
    <w:rsid w:val="00D368AD"/>
    <w:rsid w:val="00D476A6"/>
    <w:rsid w:val="00D47DDD"/>
    <w:rsid w:val="00D8044A"/>
    <w:rsid w:val="00D94017"/>
    <w:rsid w:val="00DA1C8A"/>
    <w:rsid w:val="00DB44F0"/>
    <w:rsid w:val="00DD0B87"/>
    <w:rsid w:val="00DD109E"/>
    <w:rsid w:val="00DD3E18"/>
    <w:rsid w:val="00E12103"/>
    <w:rsid w:val="00E15AAE"/>
    <w:rsid w:val="00E16416"/>
    <w:rsid w:val="00E21184"/>
    <w:rsid w:val="00E32466"/>
    <w:rsid w:val="00E40B8B"/>
    <w:rsid w:val="00E5742E"/>
    <w:rsid w:val="00E7214B"/>
    <w:rsid w:val="00E97870"/>
    <w:rsid w:val="00EA265F"/>
    <w:rsid w:val="00EA3BCE"/>
    <w:rsid w:val="00EC3D62"/>
    <w:rsid w:val="00ED43FF"/>
    <w:rsid w:val="00ED5DBD"/>
    <w:rsid w:val="00EE6600"/>
    <w:rsid w:val="00EF1D6A"/>
    <w:rsid w:val="00EF2E51"/>
    <w:rsid w:val="00F114CE"/>
    <w:rsid w:val="00F31E24"/>
    <w:rsid w:val="00F34957"/>
    <w:rsid w:val="00F52474"/>
    <w:rsid w:val="00F5529D"/>
    <w:rsid w:val="00F5669E"/>
    <w:rsid w:val="00F75D33"/>
    <w:rsid w:val="00F954CF"/>
    <w:rsid w:val="00FC193C"/>
    <w:rsid w:val="00FC6579"/>
    <w:rsid w:val="00FD3FB3"/>
    <w:rsid w:val="00FE028E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662E65"/>
    <w:pPr>
      <w:spacing w:before="70" w:after="70" w:line="260" w:lineRule="atLeast"/>
      <w:ind w:left="113" w:right="113"/>
    </w:pPr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788184"/>
        <w:left w:val="single" w:sz="4" w:space="0" w:color="788184"/>
        <w:bottom w:val="single" w:sz="4" w:space="0" w:color="788184"/>
        <w:right w:val="single" w:sz="4" w:space="0" w:color="788184"/>
        <w:insideH w:val="single" w:sz="4" w:space="0" w:color="788184"/>
        <w:insideV w:val="single" w:sz="4" w:space="0" w:color="788184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left"/>
      </w:pPr>
      <w:rPr>
        <w:rFonts w:asciiTheme="minorHAnsi" w:hAnsiTheme="minorHAnsi"/>
        <w:b/>
        <w:i w:val="0"/>
        <w:color w:val="auto"/>
        <w:sz w:val="22"/>
      </w:rPr>
      <w:tblPr/>
      <w:tcPr>
        <w:shd w:val="clear" w:color="auto" w:fill="D7DDE9"/>
        <w:vAlign w:val="top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2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3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D47DDD"/>
    <w:rPr>
      <w:rFonts w:eastAsia="Times New Roman" w:cs="Times New Roman"/>
      <w:spacing w:val="0"/>
      <w:lang w:eastAsia="en-AU"/>
    </w:rPr>
  </w:style>
  <w:style w:type="paragraph" w:customStyle="1" w:styleId="Bullet2">
    <w:name w:val="Bullet 2"/>
    <w:basedOn w:val="ListBullet2"/>
    <w:link w:val="Bullet2Char"/>
    <w:qFormat/>
    <w:rsid w:val="00D47DDD"/>
    <w:pPr>
      <w:ind w:left="908" w:hanging="454"/>
    </w:pPr>
    <w:rPr>
      <w:rFonts w:eastAsia="Times New Roman" w:cs="Times New Roman"/>
      <w:spacing w:val="0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D47DDD"/>
    <w:rPr>
      <w:rFonts w:eastAsia="Times New Roman" w:cs="Times New Roman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D47DDD"/>
    <w:rPr>
      <w:rFonts w:eastAsia="Times New Roman" w:cs="Times New Roman"/>
      <w:bCs w:val="0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4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6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paragraph" w:customStyle="1" w:styleId="Proformatext">
    <w:name w:val="Pro forma text"/>
    <w:basedOn w:val="Normal"/>
    <w:rsid w:val="00AA214E"/>
    <w:pPr>
      <w:spacing w:before="80" w:after="80" w:line="260" w:lineRule="exact"/>
    </w:pPr>
    <w:rPr>
      <w:rFonts w:ascii="Book Antiqua" w:eastAsia="Times New Roman" w:hAnsi="Book Antiqua" w:cs="Times New Roman"/>
      <w:sz w:val="20"/>
      <w:szCs w:val="20"/>
      <w:lang w:eastAsia="en-AU"/>
    </w:rPr>
  </w:style>
  <w:style w:type="paragraph" w:styleId="Quote">
    <w:name w:val="Quote"/>
    <w:basedOn w:val="Normal"/>
    <w:next w:val="Normal"/>
    <w:link w:val="QuoteChar"/>
    <w:uiPriority w:val="29"/>
    <w:rsid w:val="00D94017"/>
    <w:pPr>
      <w:spacing w:before="240" w:after="0" w:line="240" w:lineRule="auto"/>
    </w:pPr>
    <w:rPr>
      <w:rFonts w:ascii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94017"/>
    <w:rPr>
      <w:rFonts w:ascii="Times New Roman" w:hAnsi="Times New Roman" w:cs="Times New Roman"/>
      <w:i/>
      <w:iCs/>
      <w:color w:val="000000" w:themeColor="text1"/>
      <w:sz w:val="24"/>
      <w:szCs w:val="24"/>
    </w:rPr>
  </w:style>
  <w:style w:type="paragraph" w:customStyle="1" w:styleId="ChartandTableFootnoteAlpha">
    <w:name w:val="Chart and Table Footnote Alpha"/>
    <w:basedOn w:val="Normal"/>
    <w:next w:val="Normal"/>
    <w:rsid w:val="003D6AFB"/>
    <w:pPr>
      <w:keepLines/>
      <w:numPr>
        <w:numId w:val="9"/>
      </w:numPr>
      <w:spacing w:before="240" w:after="0" w:line="240" w:lineRule="auto"/>
      <w:jc w:val="both"/>
    </w:pPr>
    <w:rPr>
      <w:rFonts w:ascii="Arial" w:eastAsia="Times New Roman" w:hAnsi="Arial" w:cs="Times New Roman"/>
      <w:sz w:val="16"/>
      <w:szCs w:val="20"/>
      <w:lang w:eastAsia="en-AU"/>
    </w:rPr>
  </w:style>
  <w:style w:type="paragraph" w:customStyle="1" w:styleId="Tablefootnote">
    <w:name w:val="Table footnote"/>
    <w:basedOn w:val="ChartandTableFootnoteAlpha"/>
    <w:link w:val="TablefootnoteChar"/>
    <w:qFormat/>
    <w:rsid w:val="003D6AFB"/>
  </w:style>
  <w:style w:type="character" w:customStyle="1" w:styleId="TablefootnoteChar">
    <w:name w:val="Table footnote Char"/>
    <w:basedOn w:val="DefaultParagraphFont"/>
    <w:link w:val="Tablefootnote"/>
    <w:rsid w:val="003D6AFB"/>
    <w:rPr>
      <w:rFonts w:ascii="Arial" w:eastAsia="Times New Roman" w:hAnsi="Arial" w:cs="Times New Roman"/>
      <w:sz w:val="16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662E65"/>
    <w:pPr>
      <w:spacing w:before="70" w:after="70" w:line="260" w:lineRule="atLeast"/>
      <w:ind w:left="113" w:right="113"/>
    </w:pPr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788184"/>
        <w:left w:val="single" w:sz="4" w:space="0" w:color="788184"/>
        <w:bottom w:val="single" w:sz="4" w:space="0" w:color="788184"/>
        <w:right w:val="single" w:sz="4" w:space="0" w:color="788184"/>
        <w:insideH w:val="single" w:sz="4" w:space="0" w:color="788184"/>
        <w:insideV w:val="single" w:sz="4" w:space="0" w:color="788184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left"/>
      </w:pPr>
      <w:rPr>
        <w:rFonts w:asciiTheme="minorHAnsi" w:hAnsiTheme="minorHAnsi"/>
        <w:b/>
        <w:i w:val="0"/>
        <w:color w:val="auto"/>
        <w:sz w:val="22"/>
      </w:rPr>
      <w:tblPr/>
      <w:tcPr>
        <w:shd w:val="clear" w:color="auto" w:fill="D7DDE9"/>
        <w:vAlign w:val="top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2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3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D47DDD"/>
    <w:rPr>
      <w:rFonts w:eastAsia="Times New Roman" w:cs="Times New Roman"/>
      <w:spacing w:val="0"/>
      <w:lang w:eastAsia="en-AU"/>
    </w:rPr>
  </w:style>
  <w:style w:type="paragraph" w:customStyle="1" w:styleId="Bullet2">
    <w:name w:val="Bullet 2"/>
    <w:basedOn w:val="ListBullet2"/>
    <w:link w:val="Bullet2Char"/>
    <w:qFormat/>
    <w:rsid w:val="00D47DDD"/>
    <w:pPr>
      <w:ind w:left="908" w:hanging="454"/>
    </w:pPr>
    <w:rPr>
      <w:rFonts w:eastAsia="Times New Roman" w:cs="Times New Roman"/>
      <w:spacing w:val="0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D47DDD"/>
    <w:rPr>
      <w:rFonts w:eastAsia="Times New Roman" w:cs="Times New Roman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D47DDD"/>
    <w:rPr>
      <w:rFonts w:eastAsia="Times New Roman" w:cs="Times New Roman"/>
      <w:bCs w:val="0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4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6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paragraph" w:customStyle="1" w:styleId="Proformatext">
    <w:name w:val="Pro forma text"/>
    <w:basedOn w:val="Normal"/>
    <w:rsid w:val="00AA214E"/>
    <w:pPr>
      <w:spacing w:before="80" w:after="80" w:line="260" w:lineRule="exact"/>
    </w:pPr>
    <w:rPr>
      <w:rFonts w:ascii="Book Antiqua" w:eastAsia="Times New Roman" w:hAnsi="Book Antiqua" w:cs="Times New Roman"/>
      <w:sz w:val="20"/>
      <w:szCs w:val="20"/>
      <w:lang w:eastAsia="en-AU"/>
    </w:rPr>
  </w:style>
  <w:style w:type="paragraph" w:styleId="Quote">
    <w:name w:val="Quote"/>
    <w:basedOn w:val="Normal"/>
    <w:next w:val="Normal"/>
    <w:link w:val="QuoteChar"/>
    <w:uiPriority w:val="29"/>
    <w:rsid w:val="00D94017"/>
    <w:pPr>
      <w:spacing w:before="240" w:after="0" w:line="240" w:lineRule="auto"/>
    </w:pPr>
    <w:rPr>
      <w:rFonts w:ascii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94017"/>
    <w:rPr>
      <w:rFonts w:ascii="Times New Roman" w:hAnsi="Times New Roman" w:cs="Times New Roman"/>
      <w:i/>
      <w:iCs/>
      <w:color w:val="000000" w:themeColor="text1"/>
      <w:sz w:val="24"/>
      <w:szCs w:val="24"/>
    </w:rPr>
  </w:style>
  <w:style w:type="paragraph" w:customStyle="1" w:styleId="ChartandTableFootnoteAlpha">
    <w:name w:val="Chart and Table Footnote Alpha"/>
    <w:basedOn w:val="Normal"/>
    <w:next w:val="Normal"/>
    <w:rsid w:val="003D6AFB"/>
    <w:pPr>
      <w:keepLines/>
      <w:numPr>
        <w:numId w:val="9"/>
      </w:numPr>
      <w:spacing w:before="240" w:after="0" w:line="240" w:lineRule="auto"/>
      <w:jc w:val="both"/>
    </w:pPr>
    <w:rPr>
      <w:rFonts w:ascii="Arial" w:eastAsia="Times New Roman" w:hAnsi="Arial" w:cs="Times New Roman"/>
      <w:sz w:val="16"/>
      <w:szCs w:val="20"/>
      <w:lang w:eastAsia="en-AU"/>
    </w:rPr>
  </w:style>
  <w:style w:type="paragraph" w:customStyle="1" w:styleId="Tablefootnote">
    <w:name w:val="Table footnote"/>
    <w:basedOn w:val="ChartandTableFootnoteAlpha"/>
    <w:link w:val="TablefootnoteChar"/>
    <w:qFormat/>
    <w:rsid w:val="003D6AFB"/>
  </w:style>
  <w:style w:type="character" w:customStyle="1" w:styleId="TablefootnoteChar">
    <w:name w:val="Table footnote Char"/>
    <w:basedOn w:val="DefaultParagraphFont"/>
    <w:link w:val="Tablefootnote"/>
    <w:rsid w:val="003D6AFB"/>
    <w:rPr>
      <w:rFonts w:ascii="Arial" w:eastAsia="Times New Roman" w:hAnsi="Arial" w:cs="Times New Roman"/>
      <w:sz w:val="16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ph.gov.au/pbo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3AE5EA8-831F-4564-B61C-C09A3490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11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PBO - GRN 065 - National Urban Forest Plan - 30 June 2016</vt:lpstr>
    </vt:vector>
  </TitlesOfParts>
  <Company>Parliament of Australia</Company>
  <LinksUpToDate>false</LinksUpToDate>
  <CharactersWithSpaces>12578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PBO - GRN 065 - National Urban Forest Plan - 30 June 2016</dc:title>
  <dc:creator>Parliamentary Budget Office</dc:creator>
  <cp:lastModifiedBy>Milligan, Louise (PBO)</cp:lastModifiedBy>
  <cp:revision>79</cp:revision>
  <cp:lastPrinted>2016-06-30T09:12:00Z</cp:lastPrinted>
  <dcterms:created xsi:type="dcterms:W3CDTF">2016-06-21T03:11:00Z</dcterms:created>
  <dcterms:modified xsi:type="dcterms:W3CDTF">2016-06-30T10:52:00Z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