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C2B" w:rsidRDefault="00942C2B" w:rsidP="00942C2B">
      <w:pPr>
        <w:spacing w:before="1560" w:after="0" w:line="240" w:lineRule="auto"/>
        <w:rPr>
          <w:rFonts w:ascii="Times New Roman" w:hAnsi="Times New Roman" w:cs="Times New Roman"/>
          <w:sz w:val="24"/>
          <w:szCs w:val="24"/>
        </w:rPr>
      </w:pPr>
      <w:r w:rsidRPr="000B2E68">
        <w:rPr>
          <w:rFonts w:ascii="Times New Roman" w:hAnsi="Times New Roman" w:cs="Times New Roman"/>
          <w:sz w:val="24"/>
          <w:szCs w:val="24"/>
        </w:rPr>
        <w:t>Senator Richard Di Natale</w:t>
      </w:r>
    </w:p>
    <w:p w:rsidR="00942C2B" w:rsidRPr="00002D5D" w:rsidRDefault="00942C2B" w:rsidP="00942C2B">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942C2B" w:rsidP="00942C2B">
      <w:pPr>
        <w:spacing w:before="0" w:after="0" w:line="240" w:lineRule="auto"/>
        <w:rPr>
          <w:rFonts w:ascii="Times New Roman" w:hAnsi="Times New Roman" w:cs="Times New Roman"/>
          <w:sz w:val="24"/>
          <w:szCs w:val="24"/>
        </w:rPr>
      </w:pPr>
      <w:r>
        <w:rPr>
          <w:rFonts w:ascii="Times New Roman" w:hAnsi="Times New Roman" w:cs="Times New Roman"/>
          <w:sz w:val="24"/>
          <w:szCs w:val="24"/>
        </w:rPr>
        <w:t>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942C2B">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0065C0">
        <w:rPr>
          <w:i/>
        </w:rPr>
        <w:t>National Green Buildings Plan</w:t>
      </w:r>
      <w:r w:rsidRPr="00002D5D">
        <w:t xml:space="preserve"> (letter of </w:t>
      </w:r>
      <w:r w:rsidR="000065C0">
        <w:t>30</w:t>
      </w:r>
      <w:r w:rsidR="00942C2B">
        <w:t xml:space="preserve"> 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CE3721" w:rsidP="00CE3721">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054D12">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141515">
      <w:pPr>
        <w:pStyle w:val="Heading1"/>
        <w:spacing w:before="360" w:after="240"/>
      </w:pPr>
      <w:r w:rsidRPr="009477E3">
        <w:lastRenderedPageBreak/>
        <w:t xml:space="preserve">Policy costing—during the caretaker period for </w:t>
      </w:r>
      <w:r w:rsidR="007D33AA" w:rsidRPr="009477E3">
        <w:t>the</w:t>
      </w:r>
      <w:r w:rsidR="007D33AA" w:rsidRPr="00002D5D">
        <w:t xml:space="preserv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D34E36"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D34E36" w:rsidRDefault="004D5525" w:rsidP="004D5525">
            <w:pPr>
              <w:pStyle w:val="BodyText"/>
              <w:rPr>
                <w:sz w:val="22"/>
              </w:rPr>
            </w:pPr>
            <w:r w:rsidRPr="00D34E36">
              <w:rPr>
                <w:sz w:val="22"/>
              </w:rPr>
              <w:t>Name of proposal:</w:t>
            </w:r>
          </w:p>
        </w:tc>
        <w:tc>
          <w:tcPr>
            <w:tcW w:w="5335" w:type="dxa"/>
          </w:tcPr>
          <w:p w:rsidR="004D5525" w:rsidRPr="00D34E36" w:rsidRDefault="006268A5" w:rsidP="004D5525">
            <w:pPr>
              <w:pStyle w:val="BodyText"/>
              <w:rPr>
                <w:sz w:val="22"/>
              </w:rPr>
            </w:pPr>
            <w:r w:rsidRPr="00D34E36">
              <w:rPr>
                <w:sz w:val="22"/>
              </w:rPr>
              <w:t>National Green Buildings Plan</w:t>
            </w:r>
          </w:p>
        </w:tc>
      </w:tr>
      <w:tr w:rsidR="004D5525" w:rsidTr="00D52D5F">
        <w:tc>
          <w:tcPr>
            <w:tcW w:w="3005" w:type="dxa"/>
          </w:tcPr>
          <w:p w:rsidR="004D5525" w:rsidRDefault="004D5525" w:rsidP="004D5525">
            <w:pPr>
              <w:pStyle w:val="BodyText"/>
            </w:pPr>
            <w:r>
              <w:t>Summary of proposal:</w:t>
            </w:r>
          </w:p>
        </w:tc>
        <w:tc>
          <w:tcPr>
            <w:tcW w:w="5335" w:type="dxa"/>
          </w:tcPr>
          <w:p w:rsidR="00942C2B" w:rsidRDefault="00942C2B" w:rsidP="00141515">
            <w:r w:rsidRPr="009C2FBB">
              <w:t xml:space="preserve">The proposal would establish a </w:t>
            </w:r>
            <w:r w:rsidR="00490110">
              <w:t>national green buildings plan</w:t>
            </w:r>
            <w:r w:rsidR="00DA3736">
              <w:t xml:space="preserve"> to reach a national target of 100 per cent zero carbon buildings by 2040</w:t>
            </w:r>
            <w:r w:rsidR="00490110">
              <w:t>.</w:t>
            </w:r>
            <w:r w:rsidRPr="009C2FBB">
              <w:t xml:space="preserve">  The </w:t>
            </w:r>
            <w:r w:rsidR="00490110">
              <w:t>proposal</w:t>
            </w:r>
            <w:r>
              <w:t xml:space="preserve"> contain</w:t>
            </w:r>
            <w:r w:rsidR="00490110">
              <w:t>s</w:t>
            </w:r>
            <w:r w:rsidRPr="009C2FBB">
              <w:t xml:space="preserve"> the following components:</w:t>
            </w:r>
          </w:p>
          <w:p w:rsidR="00490110" w:rsidRDefault="00490110" w:rsidP="00141515">
            <w:pPr>
              <w:rPr>
                <w:u w:val="single"/>
              </w:rPr>
            </w:pPr>
            <w:r w:rsidRPr="00490110">
              <w:rPr>
                <w:u w:val="single"/>
              </w:rPr>
              <w:t>Component 1</w:t>
            </w:r>
            <w:r>
              <w:rPr>
                <w:u w:val="single"/>
              </w:rPr>
              <w:t xml:space="preserve">: </w:t>
            </w:r>
            <w:r w:rsidRPr="00490110">
              <w:rPr>
                <w:u w:val="single"/>
              </w:rPr>
              <w:t>Environmental Upgrade Agreements</w:t>
            </w:r>
            <w:r>
              <w:rPr>
                <w:u w:val="single"/>
              </w:rPr>
              <w:t xml:space="preserve"> (EUAs)</w:t>
            </w:r>
          </w:p>
          <w:p w:rsidR="00490110" w:rsidRDefault="00490110" w:rsidP="00141515">
            <w:r>
              <w:t xml:space="preserve">This component </w:t>
            </w:r>
            <w:r w:rsidRPr="00490110">
              <w:t>would pay $5.00 per tonne of abatement achieved through Environmental Upgrade Agreements (EUAs) to local councils for signing agreements</w:t>
            </w:r>
            <w:r w:rsidR="000133FC">
              <w:t xml:space="preserve"> with commercial building owners</w:t>
            </w:r>
            <w:r w:rsidRPr="00490110">
              <w:t>.  The payment would occur over the 10</w:t>
            </w:r>
            <w:r>
              <w:t xml:space="preserve"> year life </w:t>
            </w:r>
            <w:r w:rsidR="000133FC">
              <w:t>of the projects.</w:t>
            </w:r>
          </w:p>
          <w:p w:rsidR="00490110" w:rsidRPr="00490110" w:rsidRDefault="00490110" w:rsidP="00141515">
            <w:pPr>
              <w:rPr>
                <w:u w:val="single"/>
              </w:rPr>
            </w:pPr>
            <w:r w:rsidRPr="00490110">
              <w:rPr>
                <w:u w:val="single"/>
              </w:rPr>
              <w:t>Component</w:t>
            </w:r>
            <w:r>
              <w:rPr>
                <w:u w:val="single"/>
              </w:rPr>
              <w:t xml:space="preserve"> 2: </w:t>
            </w:r>
            <w:r w:rsidRPr="00490110">
              <w:rPr>
                <w:u w:val="single"/>
              </w:rPr>
              <w:t xml:space="preserve">Clean Energy Finance Cooperation (CEFC) </w:t>
            </w:r>
          </w:p>
          <w:p w:rsidR="00490110" w:rsidRPr="009C2FBB" w:rsidRDefault="00490110" w:rsidP="00141515">
            <w:r>
              <w:t xml:space="preserve">This component would establish a new </w:t>
            </w:r>
            <w:r w:rsidRPr="00BE416E">
              <w:t>$100.0 million annual loan</w:t>
            </w:r>
            <w:r w:rsidR="00A83C0E">
              <w:t xml:space="preserve"> facility through the CEFC</w:t>
            </w:r>
            <w:r w:rsidRPr="00BE416E">
              <w:t xml:space="preserve"> for large scale retrofit of commercial </w:t>
            </w:r>
            <w:r w:rsidRPr="00942C2B">
              <w:t>buildings</w:t>
            </w:r>
            <w:r w:rsidR="00A83C0E">
              <w:t xml:space="preserve"> with a focus on mid-tier commercial buildings (small and medium business)</w:t>
            </w:r>
            <w:r w:rsidRPr="00BE416E">
              <w:t xml:space="preserve"> from within the existing CEFC loan facility.</w:t>
            </w:r>
          </w:p>
          <w:p w:rsidR="00942C2B" w:rsidRDefault="00A83C0E" w:rsidP="00141515">
            <w:pPr>
              <w:rPr>
                <w:u w:val="single"/>
              </w:rPr>
            </w:pPr>
            <w:r w:rsidRPr="00490110">
              <w:rPr>
                <w:u w:val="single"/>
              </w:rPr>
              <w:t>Component</w:t>
            </w:r>
            <w:r>
              <w:rPr>
                <w:u w:val="single"/>
              </w:rPr>
              <w:t xml:space="preserve"> 3: </w:t>
            </w:r>
            <w:r w:rsidR="00885B9E">
              <w:rPr>
                <w:u w:val="single"/>
              </w:rPr>
              <w:t xml:space="preserve">Grant </w:t>
            </w:r>
            <w:r>
              <w:rPr>
                <w:u w:val="single"/>
              </w:rPr>
              <w:t>fund</w:t>
            </w:r>
            <w:r w:rsidR="00885B9E">
              <w:rPr>
                <w:u w:val="single"/>
              </w:rPr>
              <w:t>ing</w:t>
            </w:r>
            <w:r>
              <w:rPr>
                <w:u w:val="single"/>
              </w:rPr>
              <w:t xml:space="preserve"> for new building</w:t>
            </w:r>
            <w:r w:rsidR="00E16709">
              <w:rPr>
                <w:u w:val="single"/>
              </w:rPr>
              <w:t>s</w:t>
            </w:r>
          </w:p>
          <w:p w:rsidR="00A83C0E" w:rsidRDefault="00A83C0E" w:rsidP="00141515">
            <w:r>
              <w:t>This component would provide $50</w:t>
            </w:r>
            <w:r w:rsidR="00761111">
              <w:t>.0</w:t>
            </w:r>
            <w:r>
              <w:t xml:space="preserve"> million annual grant funding for new buildings </w:t>
            </w:r>
            <w:r w:rsidR="00885B9E">
              <w:t>to achieve ‘world leadership’ 6 </w:t>
            </w:r>
            <w:r>
              <w:t>Star Green Star certification or an equivalent rating.</w:t>
            </w:r>
          </w:p>
          <w:p w:rsidR="00A83C0E" w:rsidRDefault="00A83C0E" w:rsidP="00141515">
            <w:pPr>
              <w:rPr>
                <w:u w:val="single"/>
              </w:rPr>
            </w:pPr>
            <w:r w:rsidRPr="00490110">
              <w:rPr>
                <w:u w:val="single"/>
              </w:rPr>
              <w:t>Component</w:t>
            </w:r>
            <w:r>
              <w:rPr>
                <w:u w:val="single"/>
              </w:rPr>
              <w:t xml:space="preserve"> 4: </w:t>
            </w:r>
            <w:r w:rsidR="00885B9E">
              <w:rPr>
                <w:u w:val="single"/>
              </w:rPr>
              <w:t xml:space="preserve">Grant </w:t>
            </w:r>
            <w:r>
              <w:rPr>
                <w:u w:val="single"/>
              </w:rPr>
              <w:t>fund</w:t>
            </w:r>
            <w:r w:rsidR="00885B9E">
              <w:rPr>
                <w:u w:val="single"/>
              </w:rPr>
              <w:t>ing</w:t>
            </w:r>
            <w:r>
              <w:rPr>
                <w:u w:val="single"/>
              </w:rPr>
              <w:t xml:space="preserve"> for new green roofs and walls</w:t>
            </w:r>
          </w:p>
          <w:p w:rsidR="00A83C0E" w:rsidRPr="00BE416E" w:rsidRDefault="00A83C0E" w:rsidP="00141515">
            <w:r>
              <w:t>This component would provide $10</w:t>
            </w:r>
            <w:r w:rsidR="00761111">
              <w:t>.0</w:t>
            </w:r>
            <w:r>
              <w:t xml:space="preserve"> million annual grant </w:t>
            </w:r>
            <w:r w:rsidR="00885B9E">
              <w:t xml:space="preserve">funding </w:t>
            </w:r>
            <w:r>
              <w:t>for a new g</w:t>
            </w:r>
            <w:r w:rsidR="00DA3736">
              <w:t xml:space="preserve">reen roofs and walls program.  This component would also introduce </w:t>
            </w:r>
            <w:r w:rsidR="00E16709">
              <w:t xml:space="preserve">the </w:t>
            </w:r>
            <w:r w:rsidR="00DA3736">
              <w:t>requirement for any buildings receiving government funding to include green walls and roofs.</w:t>
            </w:r>
          </w:p>
          <w:p w:rsidR="00DA3736" w:rsidRDefault="00DA3736" w:rsidP="00141515">
            <w:pPr>
              <w:rPr>
                <w:u w:val="single"/>
              </w:rPr>
            </w:pPr>
            <w:r w:rsidRPr="00490110">
              <w:rPr>
                <w:u w:val="single"/>
              </w:rPr>
              <w:t>Component</w:t>
            </w:r>
            <w:r>
              <w:rPr>
                <w:u w:val="single"/>
              </w:rPr>
              <w:t xml:space="preserve"> 5: </w:t>
            </w:r>
            <w:r w:rsidR="00D17E38">
              <w:rPr>
                <w:u w:val="single"/>
              </w:rPr>
              <w:t>National Construction Code</w:t>
            </w:r>
          </w:p>
          <w:p w:rsidR="00DA3736" w:rsidRPr="00BE416E" w:rsidRDefault="00DA3736" w:rsidP="00141515">
            <w:r>
              <w:t>This component would</w:t>
            </w:r>
            <w:r w:rsidR="00D17E38">
              <w:t xml:space="preserve"> review and upgrade the National Construction Code (the Code) relating to energy performance standards with a trajectory to net zero emissions by 2040.</w:t>
            </w:r>
            <w:r>
              <w:t xml:space="preserve">  This component would also </w:t>
            </w:r>
            <w:r w:rsidR="00D17E38">
              <w:t>amend the Code to include end-of-trip facilities for bicycle users</w:t>
            </w:r>
            <w:r>
              <w:t>.</w:t>
            </w:r>
          </w:p>
          <w:p w:rsidR="00942C2B" w:rsidRDefault="00942C2B" w:rsidP="00141515">
            <w:r>
              <w:lastRenderedPageBreak/>
              <w:t>Departmental expenditure required to implement the proposal would be in addition to the capped amounts specified.</w:t>
            </w:r>
          </w:p>
          <w:p w:rsidR="004D5525" w:rsidRDefault="00942C2B" w:rsidP="00141515">
            <w:r w:rsidRPr="009C2FBB">
              <w:t xml:space="preserve">The proposal would have effect from 1 </w:t>
            </w:r>
            <w:r>
              <w:t>September</w:t>
            </w:r>
            <w:r w:rsidRPr="00942C2B">
              <w:t xml:space="preserve"> 2016.</w:t>
            </w:r>
          </w:p>
        </w:tc>
      </w:tr>
      <w:tr w:rsidR="004D5525" w:rsidTr="00D52D5F">
        <w:tc>
          <w:tcPr>
            <w:tcW w:w="3005" w:type="dxa"/>
          </w:tcPr>
          <w:p w:rsidR="004D5525" w:rsidRDefault="004D5525" w:rsidP="004D5525">
            <w:pPr>
              <w:pStyle w:val="BodyText"/>
            </w:pPr>
            <w:r>
              <w:lastRenderedPageBreak/>
              <w:t>Person/party requesting costing:</w:t>
            </w:r>
          </w:p>
        </w:tc>
        <w:tc>
          <w:tcPr>
            <w:tcW w:w="5335" w:type="dxa"/>
          </w:tcPr>
          <w:p w:rsidR="004D5525" w:rsidRDefault="00942C2B" w:rsidP="00141515">
            <w:r w:rsidRPr="00253CAE">
              <w:t>Senator Richard Di Natale, Australian Greens</w:t>
            </w:r>
          </w:p>
        </w:tc>
      </w:tr>
      <w:tr w:rsidR="007D3577" w:rsidTr="00942C2B">
        <w:tc>
          <w:tcPr>
            <w:tcW w:w="3005" w:type="dxa"/>
          </w:tcPr>
          <w:p w:rsidR="007D3577" w:rsidRDefault="007D3577" w:rsidP="00942C2B">
            <w:pPr>
              <w:pStyle w:val="BodyText"/>
            </w:pPr>
            <w:r>
              <w:t>Date of public release of policy:</w:t>
            </w:r>
          </w:p>
        </w:tc>
        <w:tc>
          <w:tcPr>
            <w:tcW w:w="5335" w:type="dxa"/>
          </w:tcPr>
          <w:p w:rsidR="007D3577" w:rsidRPr="00C17112" w:rsidRDefault="00ED6821" w:rsidP="00141515">
            <w:r>
              <w:t>30 June 2016</w:t>
            </w:r>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ED6821" w:rsidP="00141515">
            <w:bookmarkStart w:id="0" w:name="ReceivedDate"/>
            <w:r>
              <w:t>30</w:t>
            </w:r>
            <w:r w:rsidR="00942C2B">
              <w:t xml:space="preserve"> June 2016</w:t>
            </w:r>
            <w:bookmarkEnd w:id="0"/>
          </w:p>
        </w:tc>
      </w:tr>
      <w:tr w:rsidR="004D5525" w:rsidTr="00D52D5F">
        <w:tc>
          <w:tcPr>
            <w:tcW w:w="3005" w:type="dxa"/>
          </w:tcPr>
          <w:p w:rsidR="004D5525" w:rsidRDefault="004D5525" w:rsidP="004D5525">
            <w:pPr>
              <w:pStyle w:val="BodyText"/>
            </w:pPr>
            <w:r>
              <w:t>Date costing completed</w:t>
            </w:r>
            <w:r w:rsidR="009477E3">
              <w:t>:</w:t>
            </w:r>
          </w:p>
        </w:tc>
        <w:tc>
          <w:tcPr>
            <w:tcW w:w="5335" w:type="dxa"/>
          </w:tcPr>
          <w:p w:rsidR="004D5525" w:rsidRPr="00C17112" w:rsidRDefault="00ED6821" w:rsidP="00141515">
            <w:r>
              <w:t>30 June 2016</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942C2B" w:rsidP="00141515">
            <w:r>
              <w:t>R</w:t>
            </w:r>
            <w:r w:rsidRPr="000C59C9">
              <w:t>elease of the next economic and fiscal outlook report</w:t>
            </w:r>
          </w:p>
        </w:tc>
      </w:tr>
    </w:tbl>
    <w:p w:rsidR="0055581F" w:rsidRPr="00002D5D" w:rsidRDefault="008030EC" w:rsidP="00FC6579">
      <w:pPr>
        <w:pStyle w:val="Heading2"/>
      </w:pPr>
      <w:r w:rsidRPr="00002D5D">
        <w:t>Costing overview</w:t>
      </w:r>
    </w:p>
    <w:p w:rsidR="008D3909" w:rsidRDefault="00942C2B" w:rsidP="00002D5D">
      <w:r>
        <w:t xml:space="preserve">This proposal would be expected to decrease the </w:t>
      </w:r>
      <w:r w:rsidR="006848D4">
        <w:t xml:space="preserve">fiscal </w:t>
      </w:r>
      <w:r>
        <w:t xml:space="preserve">and </w:t>
      </w:r>
      <w:r w:rsidR="006848D4">
        <w:t xml:space="preserve">underlying cash </w:t>
      </w:r>
      <w:r>
        <w:t>balances by $2</w:t>
      </w:r>
      <w:r w:rsidR="006848D4">
        <w:t>5</w:t>
      </w:r>
      <w:r>
        <w:t>8.</w:t>
      </w:r>
      <w:r w:rsidR="006848D4">
        <w:t>4</w:t>
      </w:r>
      <w:r>
        <w:t xml:space="preserve"> million over the 2016-17 Budget forward estimates period.  This impact is due to an increase of $24</w:t>
      </w:r>
      <w:r w:rsidR="00532353">
        <w:t>9</w:t>
      </w:r>
      <w:r>
        <w:t>.</w:t>
      </w:r>
      <w:r w:rsidR="00532353">
        <w:t>7</w:t>
      </w:r>
      <w:r>
        <w:t xml:space="preserve"> million in administered expenses and $8.</w:t>
      </w:r>
      <w:r w:rsidR="00532353">
        <w:t>7</w:t>
      </w:r>
      <w:r>
        <w:t xml:space="preserve"> million in departmental expenses.</w:t>
      </w:r>
    </w:p>
    <w:p w:rsidR="00942C2B" w:rsidRDefault="00942C2B" w:rsidP="00002D5D">
      <w:r>
        <w:t xml:space="preserve">The proposal would have an impact beyond the 2016-17 Budget forward estimates period.  The disaggregated financial </w:t>
      </w:r>
      <w:r w:rsidR="001F0F2B">
        <w:t>impacts</w:t>
      </w:r>
      <w:r>
        <w:t xml:space="preserve"> </w:t>
      </w:r>
      <w:r w:rsidR="00532353">
        <w:t>for the total (</w:t>
      </w:r>
      <w:r w:rsidR="00A5691F">
        <w:t>T</w:t>
      </w:r>
      <w:r w:rsidR="00532353">
        <w:t>able A1)</w:t>
      </w:r>
      <w:r w:rsidR="001F0F2B">
        <w:t xml:space="preserve"> </w:t>
      </w:r>
      <w:r w:rsidR="00532353">
        <w:t xml:space="preserve">and </w:t>
      </w:r>
      <w:r w:rsidR="00033E9B">
        <w:t xml:space="preserve">Components </w:t>
      </w:r>
      <w:r w:rsidR="00A5691F">
        <w:t xml:space="preserve">1, </w:t>
      </w:r>
      <w:r w:rsidR="00033E9B">
        <w:t>3 and 4</w:t>
      </w:r>
      <w:r w:rsidR="00532353">
        <w:t xml:space="preserve"> of the proposal (</w:t>
      </w:r>
      <w:r w:rsidR="00A5691F">
        <w:t>T</w:t>
      </w:r>
      <w:r w:rsidR="00532353">
        <w:t>ables A2-A</w:t>
      </w:r>
      <w:r w:rsidR="00033E9B">
        <w:t>4</w:t>
      </w:r>
      <w:r w:rsidR="00532353">
        <w:t xml:space="preserve">) over </w:t>
      </w:r>
      <w:r w:rsidR="00A5691F">
        <w:t xml:space="preserve">the period </w:t>
      </w:r>
      <w:r w:rsidR="00532353">
        <w:t>2016-</w:t>
      </w:r>
      <w:r>
        <w:t>17 to 2026</w:t>
      </w:r>
      <w:r w:rsidR="00532353">
        <w:t>-</w:t>
      </w:r>
      <w:r>
        <w:t xml:space="preserve">27 are provided at </w:t>
      </w:r>
      <w:r w:rsidRPr="00B61535">
        <w:rPr>
          <w:u w:val="single"/>
        </w:rPr>
        <w:t>Attachment</w:t>
      </w:r>
      <w:r w:rsidR="00A5691F">
        <w:rPr>
          <w:u w:val="single"/>
        </w:rPr>
        <w:t> </w:t>
      </w:r>
      <w:r w:rsidRPr="00B61535">
        <w:rPr>
          <w:u w:val="single"/>
        </w:rPr>
        <w:t>A</w:t>
      </w:r>
      <w:r>
        <w:t>.</w:t>
      </w:r>
    </w:p>
    <w:p w:rsidR="004F21C9" w:rsidRPr="00D33693" w:rsidRDefault="004F21C9" w:rsidP="004F21C9">
      <w:r>
        <w:rPr>
          <w:lang w:eastAsia="en-AU"/>
        </w:rPr>
        <w:t>Component 1</w:t>
      </w:r>
      <w:r w:rsidR="000E3681">
        <w:rPr>
          <w:lang w:eastAsia="en-AU"/>
        </w:rPr>
        <w:t xml:space="preserve"> of</w:t>
      </w:r>
      <w:r>
        <w:rPr>
          <w:lang w:eastAsia="en-AU"/>
        </w:rPr>
        <w:t xml:space="preserve"> </w:t>
      </w:r>
      <w:r>
        <w:t xml:space="preserve">this costing is considered to be of </w:t>
      </w:r>
      <w:r w:rsidRPr="005A4B9D">
        <w:t>very</w:t>
      </w:r>
      <w:r w:rsidRPr="00931780">
        <w:t xml:space="preserve"> </w:t>
      </w:r>
      <w:r w:rsidRPr="005A4B9D">
        <w:t>low</w:t>
      </w:r>
      <w:r>
        <w:rPr>
          <w:b/>
        </w:rPr>
        <w:t xml:space="preserve"> </w:t>
      </w:r>
      <w:r>
        <w:t>reliability as it relies on assumptions about the growth of EUA schemes and the scalability of an existing scheme to reflect a national level rollout.  Components 2</w:t>
      </w:r>
      <w:r w:rsidR="00A5691F">
        <w:t xml:space="preserve"> to </w:t>
      </w:r>
      <w:r>
        <w:t>4</w:t>
      </w:r>
      <w:r w:rsidR="000E3681">
        <w:t xml:space="preserve"> of</w:t>
      </w:r>
      <w:r>
        <w:t xml:space="preserve"> this costing </w:t>
      </w:r>
      <w:r w:rsidR="000E3681">
        <w:t>are</w:t>
      </w:r>
      <w:r>
        <w:t xml:space="preserve"> considered to be of </w:t>
      </w:r>
      <w:r w:rsidRPr="00BF6457">
        <w:t>high</w:t>
      </w:r>
      <w:r w:rsidR="000E3681">
        <w:t xml:space="preserve"> reliability as they</w:t>
      </w:r>
      <w:r>
        <w:t xml:space="preserve"> </w:t>
      </w:r>
      <w:r w:rsidR="000E3681">
        <w:t>are</w:t>
      </w:r>
      <w:r>
        <w:t xml:space="preserve"> based on specified capped amounts and the application of administrative costs based on similar programs.  </w:t>
      </w:r>
    </w:p>
    <w:p w:rsidR="005E3562" w:rsidRPr="00FC6579" w:rsidRDefault="005E3562" w:rsidP="009477E3">
      <w:pPr>
        <w:pStyle w:val="Captionheading"/>
        <w:keepLines/>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A5691F">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141515">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141515">
            <w:pPr>
              <w:keepNext/>
              <w:keepLines/>
              <w:spacing w:before="70" w:after="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141515">
            <w:pPr>
              <w:keepNext/>
              <w:keepLines/>
              <w:spacing w:before="70" w:after="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141515">
            <w:pPr>
              <w:keepNext/>
              <w:keepLines/>
              <w:spacing w:before="70" w:after="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141515">
            <w:pPr>
              <w:keepNext/>
              <w:keepLines/>
              <w:spacing w:before="70" w:after="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141515">
            <w:pPr>
              <w:keepNext/>
              <w:keepLines/>
              <w:spacing w:before="70" w:after="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6848D4" w:rsidRPr="00B73AC8" w:rsidTr="00942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6848D4" w:rsidRPr="00B73AC8" w:rsidRDefault="006848D4" w:rsidP="00141515">
            <w:pPr>
              <w:pStyle w:val="TableTextCentred"/>
              <w:keepNext/>
              <w:keepLines/>
              <w:spacing w:after="0" w:line="240" w:lineRule="auto"/>
              <w:ind w:left="57" w:right="57"/>
              <w:jc w:val="left"/>
              <w:rPr>
                <w:szCs w:val="20"/>
              </w:rPr>
            </w:pPr>
            <w:r w:rsidRPr="00B73AC8">
              <w:rPr>
                <w:szCs w:val="20"/>
              </w:rPr>
              <w:t>Fiscal balance</w:t>
            </w:r>
          </w:p>
        </w:tc>
        <w:tc>
          <w:tcPr>
            <w:tcW w:w="682" w:type="pct"/>
          </w:tcPr>
          <w:p w:rsidR="006848D4" w:rsidRPr="006A7DA5" w:rsidRDefault="006848D4" w:rsidP="00141515">
            <w:pPr>
              <w:keepNext/>
              <w:keepLines/>
              <w:spacing w:before="70" w:after="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6A7DA5">
              <w:t xml:space="preserve">-64.0 </w:t>
            </w:r>
          </w:p>
        </w:tc>
        <w:tc>
          <w:tcPr>
            <w:tcW w:w="682" w:type="pct"/>
          </w:tcPr>
          <w:p w:rsidR="006848D4" w:rsidRPr="006A7DA5" w:rsidRDefault="006848D4" w:rsidP="00141515">
            <w:pPr>
              <w:keepNext/>
              <w:keepLines/>
              <w:spacing w:before="70" w:after="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6A7DA5">
              <w:t xml:space="preserve">-64.7 </w:t>
            </w:r>
          </w:p>
        </w:tc>
        <w:tc>
          <w:tcPr>
            <w:tcW w:w="682" w:type="pct"/>
          </w:tcPr>
          <w:p w:rsidR="006848D4" w:rsidRPr="006A7DA5" w:rsidRDefault="006848D4" w:rsidP="00141515">
            <w:pPr>
              <w:keepNext/>
              <w:keepLines/>
              <w:spacing w:before="70" w:after="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6A7DA5">
              <w:t xml:space="preserve">-64.8 </w:t>
            </w:r>
          </w:p>
        </w:tc>
        <w:tc>
          <w:tcPr>
            <w:tcW w:w="682" w:type="pct"/>
          </w:tcPr>
          <w:p w:rsidR="006848D4" w:rsidRPr="006A7DA5" w:rsidRDefault="006848D4" w:rsidP="00141515">
            <w:pPr>
              <w:keepNext/>
              <w:keepLines/>
              <w:spacing w:before="70" w:after="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6A7DA5">
              <w:t xml:space="preserve">-64.8 </w:t>
            </w:r>
          </w:p>
        </w:tc>
        <w:tc>
          <w:tcPr>
            <w:tcW w:w="681" w:type="pct"/>
          </w:tcPr>
          <w:p w:rsidR="006848D4" w:rsidRPr="006848D4" w:rsidRDefault="006848D4" w:rsidP="00141515">
            <w:pPr>
              <w:keepNext/>
              <w:keepLines/>
              <w:spacing w:before="70" w:after="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sidRPr="006848D4">
              <w:rPr>
                <w:b/>
              </w:rPr>
              <w:t xml:space="preserve">-258.4 </w:t>
            </w:r>
          </w:p>
        </w:tc>
      </w:tr>
      <w:tr w:rsidR="006848D4" w:rsidRPr="00B73AC8" w:rsidTr="00942C2B">
        <w:tc>
          <w:tcPr>
            <w:cnfStyle w:val="001000000000" w:firstRow="0" w:lastRow="0" w:firstColumn="1" w:lastColumn="0" w:oddVBand="0" w:evenVBand="0" w:oddHBand="0" w:evenHBand="0" w:firstRowFirstColumn="0" w:firstRowLastColumn="0" w:lastRowFirstColumn="0" w:lastRowLastColumn="0"/>
            <w:tcW w:w="1591" w:type="pct"/>
          </w:tcPr>
          <w:p w:rsidR="006848D4" w:rsidRPr="00B73AC8" w:rsidRDefault="006848D4" w:rsidP="00141515">
            <w:pPr>
              <w:pStyle w:val="TableTextCentred"/>
              <w:keepNext/>
              <w:keepLines/>
              <w:spacing w:after="0" w:line="240" w:lineRule="auto"/>
              <w:ind w:left="57" w:right="57"/>
              <w:jc w:val="left"/>
              <w:rPr>
                <w:szCs w:val="20"/>
              </w:rPr>
            </w:pPr>
            <w:r w:rsidRPr="00B73AC8">
              <w:rPr>
                <w:szCs w:val="20"/>
              </w:rPr>
              <w:t>Underlying cash balance</w:t>
            </w:r>
          </w:p>
        </w:tc>
        <w:tc>
          <w:tcPr>
            <w:tcW w:w="682" w:type="pct"/>
          </w:tcPr>
          <w:p w:rsidR="006848D4" w:rsidRPr="00C836A0" w:rsidRDefault="006848D4" w:rsidP="00141515">
            <w:pPr>
              <w:keepNext/>
              <w:keepLines/>
              <w:spacing w:before="70" w:after="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836A0">
              <w:t xml:space="preserve">-64.0 </w:t>
            </w:r>
          </w:p>
        </w:tc>
        <w:tc>
          <w:tcPr>
            <w:tcW w:w="682" w:type="pct"/>
          </w:tcPr>
          <w:p w:rsidR="006848D4" w:rsidRPr="00C836A0" w:rsidRDefault="006848D4" w:rsidP="00141515">
            <w:pPr>
              <w:keepNext/>
              <w:keepLines/>
              <w:spacing w:before="70" w:after="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836A0">
              <w:t xml:space="preserve">-64.7 </w:t>
            </w:r>
          </w:p>
        </w:tc>
        <w:tc>
          <w:tcPr>
            <w:tcW w:w="682" w:type="pct"/>
          </w:tcPr>
          <w:p w:rsidR="006848D4" w:rsidRPr="00C836A0" w:rsidRDefault="006848D4" w:rsidP="00141515">
            <w:pPr>
              <w:keepNext/>
              <w:keepLines/>
              <w:spacing w:before="70" w:after="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836A0">
              <w:t xml:space="preserve">-64.8 </w:t>
            </w:r>
          </w:p>
        </w:tc>
        <w:tc>
          <w:tcPr>
            <w:tcW w:w="682" w:type="pct"/>
          </w:tcPr>
          <w:p w:rsidR="006848D4" w:rsidRPr="00C836A0" w:rsidRDefault="006848D4" w:rsidP="00141515">
            <w:pPr>
              <w:keepNext/>
              <w:keepLines/>
              <w:spacing w:before="70" w:after="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C836A0">
              <w:t xml:space="preserve">-64.8 </w:t>
            </w:r>
          </w:p>
        </w:tc>
        <w:tc>
          <w:tcPr>
            <w:tcW w:w="681" w:type="pct"/>
          </w:tcPr>
          <w:p w:rsidR="006848D4" w:rsidRPr="006848D4" w:rsidRDefault="006848D4" w:rsidP="00141515">
            <w:pPr>
              <w:keepNext/>
              <w:keepLines/>
              <w:spacing w:before="70" w:after="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6848D4">
              <w:rPr>
                <w:b/>
              </w:rPr>
              <w:t xml:space="preserve">-258.4 </w:t>
            </w:r>
          </w:p>
        </w:tc>
      </w:tr>
    </w:tbl>
    <w:p w:rsidR="003E0F39" w:rsidRPr="005A687A" w:rsidRDefault="003E0F39" w:rsidP="009477E3">
      <w:pPr>
        <w:pStyle w:val="Footnotes"/>
        <w:keepNext/>
        <w:keepLines/>
        <w:numPr>
          <w:ilvl w:val="0"/>
          <w:numId w:val="19"/>
        </w:numPr>
        <w:ind w:left="284" w:hanging="284"/>
        <w:rPr>
          <w:rFonts w:ascii="Calibri" w:hAnsi="Calibri"/>
        </w:rPr>
      </w:pPr>
      <w:r w:rsidRPr="005A687A">
        <w:t>A positive number indicates an increase in the relevant budget balance, a negative number a decrease.</w:t>
      </w:r>
    </w:p>
    <w:p w:rsidR="003E0F39" w:rsidRPr="005A687A" w:rsidRDefault="003E0F39" w:rsidP="007E54B7">
      <w:pPr>
        <w:pStyle w:val="Footnotes"/>
        <w:numPr>
          <w:ilvl w:val="0"/>
          <w:numId w:val="19"/>
        </w:numPr>
        <w:ind w:left="284" w:hanging="284"/>
        <w:rPr>
          <w:rFonts w:ascii="Times New Roman" w:eastAsia="Times New Roman" w:hAnsi="Times New Roman"/>
          <w:lang w:eastAsia="en-AU"/>
        </w:rPr>
      </w:pPr>
      <w:r w:rsidRPr="005A687A">
        <w:t>Figures may not sum to totals due to rounding.</w:t>
      </w:r>
    </w:p>
    <w:p w:rsidR="008D3909" w:rsidRPr="00FC6579" w:rsidRDefault="005E3562" w:rsidP="00141515">
      <w:pPr>
        <w:pStyle w:val="Heading2"/>
      </w:pPr>
      <w:r w:rsidRPr="00FC6579">
        <w:lastRenderedPageBreak/>
        <w:t>Key assumptions</w:t>
      </w:r>
    </w:p>
    <w:p w:rsidR="001F0F2B" w:rsidRDefault="001F0F2B" w:rsidP="00141515">
      <w:pPr>
        <w:keepNext/>
        <w:keepLines/>
      </w:pPr>
      <w:r>
        <w:t>In costing this proposal, the following assumptions have been made:</w:t>
      </w:r>
    </w:p>
    <w:p w:rsidR="003E0F39" w:rsidRDefault="00A5691F" w:rsidP="00141515">
      <w:pPr>
        <w:pStyle w:val="Bullet1"/>
      </w:pPr>
      <w:r>
        <w:t>F</w:t>
      </w:r>
      <w:r w:rsidR="003E0F39">
        <w:t xml:space="preserve">or Component 1, current and projected City of Melbourne EUAs </w:t>
      </w:r>
      <w:proofErr w:type="gramStart"/>
      <w:r w:rsidR="003E0F39">
        <w:t>are</w:t>
      </w:r>
      <w:proofErr w:type="gramEnd"/>
      <w:r w:rsidR="003E0F39">
        <w:t xml:space="preserve"> representative of opportunities across Australia</w:t>
      </w:r>
      <w:r>
        <w:t>.</w:t>
      </w:r>
    </w:p>
    <w:p w:rsidR="00FF5A1C" w:rsidRDefault="00FF5A1C" w:rsidP="00141515">
      <w:pPr>
        <w:pStyle w:val="Bullet1"/>
      </w:pPr>
      <w:r>
        <w:t xml:space="preserve">For Component 2, there would be a change to the mandate for the CEFC that would specify that $100.0 million of annual loans coming from within existing CEFC equity would be directed to the specified purpose, with the dividends from this redirection being at the same level as the overall dividend performance of the current CEFC investments (therefore, this component would have no effect on the budget bottom line). </w:t>
      </w:r>
    </w:p>
    <w:p w:rsidR="001F0F2B" w:rsidRPr="0053006D" w:rsidRDefault="003E0F39" w:rsidP="00141515">
      <w:pPr>
        <w:pStyle w:val="Bullet1"/>
      </w:pPr>
      <w:r>
        <w:t xml:space="preserve">Components </w:t>
      </w:r>
      <w:r w:rsidR="00FF5A1C">
        <w:t xml:space="preserve">3 </w:t>
      </w:r>
      <w:r w:rsidR="00A5691F">
        <w:t xml:space="preserve">to </w:t>
      </w:r>
      <w:r>
        <w:t xml:space="preserve">4 </w:t>
      </w:r>
      <w:r w:rsidR="001F0F2B" w:rsidRPr="00BA1584">
        <w:t xml:space="preserve">would be administered by the Department of </w:t>
      </w:r>
      <w:r w:rsidR="001F0F2B">
        <w:t xml:space="preserve">the </w:t>
      </w:r>
      <w:r w:rsidR="001F0F2B" w:rsidRPr="00BA1584">
        <w:t>Environment</w:t>
      </w:r>
      <w:r w:rsidR="00A5691F">
        <w:t>.</w:t>
      </w:r>
    </w:p>
    <w:p w:rsidR="009F1D89" w:rsidRDefault="00A5691F" w:rsidP="00141515">
      <w:pPr>
        <w:pStyle w:val="Bullet1"/>
      </w:pPr>
      <w:r>
        <w:t>W</w:t>
      </w:r>
      <w:r w:rsidR="009F1D89" w:rsidRPr="009F1D89">
        <w:t xml:space="preserve">hile </w:t>
      </w:r>
      <w:r w:rsidR="003E0F39">
        <w:t xml:space="preserve">Components </w:t>
      </w:r>
      <w:r w:rsidR="00FF5A1C">
        <w:t xml:space="preserve">3 </w:t>
      </w:r>
      <w:r>
        <w:t xml:space="preserve">to </w:t>
      </w:r>
      <w:r w:rsidR="003E0F39">
        <w:t>4</w:t>
      </w:r>
      <w:r w:rsidR="009F1D89" w:rsidRPr="009F1D89">
        <w:t xml:space="preserve"> commence on 1 September 2016, the full amount of fundin</w:t>
      </w:r>
      <w:r w:rsidR="009F1D89">
        <w:t>g could be delivered in 2016-17</w:t>
      </w:r>
      <w:r>
        <w:t>.</w:t>
      </w:r>
    </w:p>
    <w:p w:rsidR="003E0F39" w:rsidRDefault="00A5691F" w:rsidP="00141515">
      <w:pPr>
        <w:pStyle w:val="Bullet1"/>
      </w:pPr>
      <w:r>
        <w:t>T</w:t>
      </w:r>
      <w:r w:rsidR="001F0F2B">
        <w:t>he i</w:t>
      </w:r>
      <w:r w:rsidR="001F0F2B" w:rsidRPr="00052E82">
        <w:t>ntrodu</w:t>
      </w:r>
      <w:r w:rsidR="001F0F2B">
        <w:t>ction of a new</w:t>
      </w:r>
      <w:r w:rsidR="001F0F2B" w:rsidRPr="00052E82">
        <w:t xml:space="preserve"> requirement for new buildings receiving government funding to include green walls or roofs</w:t>
      </w:r>
      <w:r w:rsidR="001F0F2B">
        <w:t xml:space="preserve"> would not have a material impact on the cost of existing programs or program administration</w:t>
      </w:r>
      <w:r>
        <w:t>.</w:t>
      </w:r>
    </w:p>
    <w:p w:rsidR="001F0F2B" w:rsidRDefault="00A5691F" w:rsidP="00141515">
      <w:pPr>
        <w:pStyle w:val="Bullet1"/>
      </w:pPr>
      <w:r>
        <w:t>F</w:t>
      </w:r>
      <w:r w:rsidR="009F571C">
        <w:t xml:space="preserve">or Component 5, the </w:t>
      </w:r>
      <w:r>
        <w:t xml:space="preserve">review and upgrade of the Code represent the core responsibility of the Australian Building Codes Board, and the </w:t>
      </w:r>
      <w:r w:rsidR="009F571C">
        <w:t>cost would be met from within the existing resources</w:t>
      </w:r>
      <w:r w:rsidR="001F0F2B">
        <w:t>.</w:t>
      </w:r>
    </w:p>
    <w:p w:rsidR="005E3562" w:rsidRPr="00FC6579" w:rsidRDefault="005E3562" w:rsidP="00E40B8B">
      <w:pPr>
        <w:pStyle w:val="Heading2"/>
      </w:pPr>
      <w:r w:rsidRPr="00FC6579">
        <w:t>Methodology</w:t>
      </w:r>
    </w:p>
    <w:p w:rsidR="00E404A0" w:rsidRDefault="00E404A0" w:rsidP="00141515">
      <w:r>
        <w:t xml:space="preserve">For Component 1, the abatement achieved from City of Melbourne EUAs per dollar invested was scaled up to reflect the potential level of abatement across Victoria using data for the level of expected state-wide investment.  The estimated abatement for Victoria was then scaled to the national level using Australian Bureau of Statistics population data.  Departmental costs are consistent with analogous programs.  The $5.00 per tonne of abatement has been indexed by the </w:t>
      </w:r>
      <w:r w:rsidR="00FF5A1C">
        <w:t>C</w:t>
      </w:r>
      <w:r>
        <w:t xml:space="preserve">onsumer </w:t>
      </w:r>
      <w:r w:rsidR="00FF5A1C">
        <w:t>P</w:t>
      </w:r>
      <w:r>
        <w:t xml:space="preserve">rice </w:t>
      </w:r>
      <w:r w:rsidR="00FF5A1C">
        <w:t>I</w:t>
      </w:r>
      <w:r>
        <w:t>ndex from 2017-18.  The 2016-17 estimates account for the 1 September 2016 start date.</w:t>
      </w:r>
    </w:p>
    <w:p w:rsidR="005E3562" w:rsidRPr="00002D5D" w:rsidRDefault="00C727D4" w:rsidP="007E54B7">
      <w:r>
        <w:t xml:space="preserve">For Components </w:t>
      </w:r>
      <w:r w:rsidR="00FF5A1C">
        <w:t xml:space="preserve">3 to </w:t>
      </w:r>
      <w:r>
        <w:t>4, a</w:t>
      </w:r>
      <w:r w:rsidR="001F0F2B" w:rsidRPr="00C53101">
        <w:t xml:space="preserve">dministered expenditure </w:t>
      </w:r>
      <w:r w:rsidR="001F0F2B">
        <w:t>is as specified</w:t>
      </w:r>
      <w:r w:rsidR="00FF5A1C">
        <w:t xml:space="preserve"> in the request</w:t>
      </w:r>
      <w:r w:rsidR="001F0F2B">
        <w:t xml:space="preserve">.  </w:t>
      </w:r>
      <w:r w:rsidR="001F0F2B" w:rsidRPr="00C53101">
        <w:t xml:space="preserve">Departmental expenditure estimates are based on other like initiatives and estimates account for the net effect of indexation parameters and the efficiency dividend, in </w:t>
      </w:r>
      <w:bookmarkStart w:id="1" w:name="_GoBack"/>
      <w:bookmarkEnd w:id="1"/>
      <w:r w:rsidR="001F0F2B" w:rsidRPr="00C53101">
        <w:t>accordance with the Department of Finance’s costing practices.</w:t>
      </w:r>
    </w:p>
    <w:p w:rsidR="005E3562" w:rsidRPr="00FC6579" w:rsidRDefault="005E3562" w:rsidP="007E54B7">
      <w:pPr>
        <w:pStyle w:val="Heading2"/>
      </w:pPr>
      <w:r w:rsidRPr="00FC6579">
        <w:lastRenderedPageBreak/>
        <w:t>Data sources</w:t>
      </w:r>
    </w:p>
    <w:p w:rsidR="00C727D4" w:rsidRDefault="00C727D4" w:rsidP="007E54B7">
      <w:pPr>
        <w:keepNext/>
        <w:keepLines/>
      </w:pPr>
      <w:r>
        <w:t xml:space="preserve">Australian Bureau of Statistics (Cat no. 3101.0) </w:t>
      </w:r>
      <w:r w:rsidRPr="00C727D4">
        <w:rPr>
          <w:i/>
        </w:rPr>
        <w:t>Australian Demographic Statistics</w:t>
      </w:r>
      <w:r>
        <w:t>, June 2015.</w:t>
      </w:r>
    </w:p>
    <w:p w:rsidR="00C727D4" w:rsidRDefault="00C727D4" w:rsidP="007E54B7">
      <w:pPr>
        <w:keepNext/>
        <w:keepLines/>
      </w:pPr>
      <w:r>
        <w:t xml:space="preserve">Estimates of projected EUA investments across Victoria and specifically in the City of Melbourne were sourced from the Eastern Alliance for Greenhouse Action at </w:t>
      </w:r>
      <w:hyperlink r:id="rId13" w:history="1">
        <w:r w:rsidRPr="00A473A4">
          <w:rPr>
            <w:rStyle w:val="Hyperlink"/>
          </w:rPr>
          <w:t>https://eaga.com.au/wp-content/uploads/EUA-Finance-for-the-Regions-Summary-Report-2013-12-02.pdf</w:t>
        </w:r>
      </w:hyperlink>
      <w:r>
        <w:t>.</w:t>
      </w:r>
    </w:p>
    <w:p w:rsidR="00C727D4" w:rsidRDefault="00C727D4" w:rsidP="00141515">
      <w:r>
        <w:t xml:space="preserve">Estimates and projections of projects, costs and abatement for the City of Melbourne were sourced from the Sustainable Melbourne Fund at </w:t>
      </w:r>
      <w:hyperlink r:id="rId14" w:history="1">
        <w:r w:rsidRPr="00A473A4">
          <w:rPr>
            <w:rStyle w:val="Hyperlink"/>
          </w:rPr>
          <w:t>http://sustainablemelbournefund.com.au/services/environmental-upgrade-agreements/</w:t>
        </w:r>
      </w:hyperlink>
      <w:r>
        <w:t>.</w:t>
      </w:r>
    </w:p>
    <w:p w:rsidR="001F0F2B" w:rsidRDefault="001F0F2B" w:rsidP="00141515">
      <w:r>
        <w:t>The Department of Finance provided indexation and efficiency dividend parameters.</w:t>
      </w:r>
    </w:p>
    <w:p w:rsidR="00CA5D42" w:rsidRPr="00FC6579" w:rsidRDefault="00CA5D42" w:rsidP="00141515">
      <w:pPr>
        <w:rPr>
          <w:highlight w:val="yellow"/>
        </w:rPr>
        <w:sectPr w:rsidR="00CA5D42" w:rsidRPr="00FC6579" w:rsidSect="009477E3">
          <w:headerReference w:type="first" r:id="rId15"/>
          <w:footerReference w:type="first" r:id="rId16"/>
          <w:pgSz w:w="11906" w:h="16838"/>
          <w:pgMar w:top="1361" w:right="1797" w:bottom="993" w:left="1797" w:header="709" w:footer="709" w:gutter="0"/>
          <w:cols w:space="708"/>
          <w:titlePg/>
          <w:docGrid w:linePitch="360"/>
        </w:sectPr>
      </w:pPr>
    </w:p>
    <w:p w:rsidR="00485374" w:rsidRDefault="001A02D1" w:rsidP="001F0F2B">
      <w:pPr>
        <w:pStyle w:val="Heading1"/>
      </w:pPr>
      <w:r w:rsidRPr="00FC6579">
        <w:lastRenderedPageBreak/>
        <w:t>Attachment A:</w:t>
      </w:r>
      <w:r w:rsidR="00841C3A">
        <w:t xml:space="preserve"> </w:t>
      </w:r>
      <w:r w:rsidR="0099362C">
        <w:t>National Green Buildings Plan</w:t>
      </w:r>
      <w:r w:rsidR="001F0F2B" w:rsidRPr="001F0F2B">
        <w:t xml:space="preserve"> </w:t>
      </w:r>
      <w:r w:rsidR="00440E32">
        <w:t>—financial</w:t>
      </w:r>
      <w:r w:rsidR="00841C3A">
        <w:t> </w:t>
      </w:r>
      <w:r w:rsidR="001F0F2B">
        <w:t>implications</w:t>
      </w:r>
    </w:p>
    <w:p w:rsidR="00033E9B" w:rsidRPr="00497FD5" w:rsidRDefault="00033E9B" w:rsidP="00033E9B">
      <w:pPr>
        <w:pStyle w:val="Captionheading"/>
        <w:rPr>
          <w:vertAlign w:val="superscript"/>
        </w:rPr>
      </w:pPr>
      <w:r w:rsidRPr="00FC6579">
        <w:t xml:space="preserve">Table </w:t>
      </w:r>
      <w:r>
        <w:t>A1</w:t>
      </w:r>
      <w:r w:rsidRPr="00FC6579">
        <w:t xml:space="preserve">: </w:t>
      </w:r>
      <w:r w:rsidR="00FF5A1C">
        <w:t xml:space="preserve">National Green Buildings Plan – </w:t>
      </w:r>
      <w:r>
        <w:t>Financial implications (outturn prices</w:t>
      </w:r>
      <w:proofErr w:type="gramStart"/>
      <w:r>
        <w:t>)</w:t>
      </w:r>
      <w:r>
        <w:rPr>
          <w:vertAlign w:val="superscript"/>
        </w:rPr>
        <w:t>(</w:t>
      </w:r>
      <w:proofErr w:type="gramEnd"/>
      <w:r>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033E9B" w:rsidRPr="00B31810"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033E9B" w:rsidRPr="00BF331E" w:rsidRDefault="00033E9B" w:rsidP="00AC77D0">
            <w:pPr>
              <w:keepNext/>
              <w:keepLines/>
              <w:spacing w:before="70" w:after="70" w:line="240" w:lineRule="auto"/>
              <w:ind w:left="57" w:right="57"/>
              <w:rPr>
                <w:szCs w:val="20"/>
              </w:rPr>
            </w:pPr>
            <w:r w:rsidRPr="00BF331E">
              <w:rPr>
                <w:szCs w:val="20"/>
              </w:rPr>
              <w:t>($m)</w:t>
            </w:r>
          </w:p>
        </w:tc>
        <w:tc>
          <w:tcPr>
            <w:tcW w:w="326"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033E9B" w:rsidRPr="009F2DA0"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2019–20</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033E9B" w:rsidRPr="009F2DA0"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2026–27</w:t>
            </w:r>
          </w:p>
        </w:tc>
      </w:tr>
      <w:tr w:rsidR="00033E9B" w:rsidTr="00AC77D0">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033E9B" w:rsidRPr="00BF331E" w:rsidRDefault="00033E9B" w:rsidP="00AC77D0">
            <w:pPr>
              <w:spacing w:before="70" w:after="70" w:line="240" w:lineRule="auto"/>
              <w:ind w:left="57" w:right="57"/>
              <w:rPr>
                <w:b/>
                <w:szCs w:val="20"/>
              </w:rPr>
            </w:pPr>
            <w:r>
              <w:rPr>
                <w:b/>
                <w:szCs w:val="20"/>
              </w:rPr>
              <w:t>Impact on f</w:t>
            </w:r>
            <w:r w:rsidRPr="00883351">
              <w:rPr>
                <w:b/>
                <w:szCs w:val="20"/>
              </w:rPr>
              <w:t>iscal</w:t>
            </w:r>
            <w:r>
              <w:rPr>
                <w:b/>
                <w:szCs w:val="20"/>
              </w:rPr>
              <w:t xml:space="preserve"> and underlying cash balances</w:t>
            </w:r>
            <w:r w:rsidR="00FF5A1C">
              <w:rPr>
                <w:b/>
                <w:szCs w:val="20"/>
              </w:rPr>
              <w:t xml:space="preserve"> – expenses/payments</w:t>
            </w:r>
          </w:p>
        </w:tc>
      </w:tr>
      <w:tr w:rsidR="00033E9B"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033E9B" w:rsidRPr="007F48AF" w:rsidRDefault="00033E9B" w:rsidP="00AC77D0">
            <w:pPr>
              <w:spacing w:before="70" w:after="70" w:line="240" w:lineRule="auto"/>
              <w:ind w:left="57" w:right="57"/>
              <w:rPr>
                <w:szCs w:val="20"/>
              </w:rPr>
            </w:pPr>
            <w:r w:rsidRPr="007F48AF">
              <w:rPr>
                <w:szCs w:val="20"/>
              </w:rPr>
              <w:t>Administered</w:t>
            </w:r>
          </w:p>
        </w:tc>
        <w:tc>
          <w:tcPr>
            <w:tcW w:w="326"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-61.9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-62.6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-62.6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-62.7 </w:t>
            </w:r>
          </w:p>
        </w:tc>
        <w:tc>
          <w:tcPr>
            <w:tcW w:w="327"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033E9B">
              <w:rPr>
                <w:b/>
                <w:i/>
              </w:rPr>
              <w:t xml:space="preserve">-249.7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-62.7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-62.8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-62.9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-63.0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-63.0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-63.1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-63.2 </w:t>
            </w:r>
          </w:p>
        </w:tc>
        <w:tc>
          <w:tcPr>
            <w:tcW w:w="326"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033E9B">
              <w:rPr>
                <w:b/>
                <w:i/>
              </w:rPr>
              <w:t xml:space="preserve">-690.5 </w:t>
            </w:r>
          </w:p>
        </w:tc>
      </w:tr>
      <w:tr w:rsidR="00033E9B"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033E9B" w:rsidRPr="007F48AF" w:rsidRDefault="00033E9B" w:rsidP="00AC77D0">
            <w:pPr>
              <w:spacing w:before="70" w:after="70" w:line="240" w:lineRule="auto"/>
              <w:ind w:left="57" w:right="57"/>
              <w:rPr>
                <w:szCs w:val="20"/>
              </w:rPr>
            </w:pPr>
            <w:r w:rsidRPr="007F48AF">
              <w:rPr>
                <w:szCs w:val="20"/>
              </w:rPr>
              <w:t>Departmental</w:t>
            </w:r>
          </w:p>
        </w:tc>
        <w:tc>
          <w:tcPr>
            <w:tcW w:w="326"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7"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033E9B">
              <w:rPr>
                <w:b/>
                <w:i/>
              </w:rPr>
              <w:t xml:space="preserve">-8.7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-2.2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-2.3 </w:t>
            </w:r>
          </w:p>
        </w:tc>
        <w:tc>
          <w:tcPr>
            <w:tcW w:w="325"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033E9B">
              <w:rPr>
                <w:i/>
              </w:rPr>
              <w:t xml:space="preserve">-2.3 </w:t>
            </w:r>
          </w:p>
        </w:tc>
        <w:tc>
          <w:tcPr>
            <w:tcW w:w="326" w:type="pct"/>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033E9B">
              <w:rPr>
                <w:b/>
                <w:i/>
              </w:rPr>
              <w:t xml:space="preserve">-24.2 </w:t>
            </w:r>
          </w:p>
        </w:tc>
      </w:tr>
      <w:tr w:rsidR="00033E9B"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033E9B" w:rsidRPr="007F48AF" w:rsidRDefault="00033E9B" w:rsidP="00AC77D0">
            <w:pPr>
              <w:spacing w:before="70" w:after="70" w:line="240" w:lineRule="auto"/>
              <w:ind w:left="57" w:right="57"/>
              <w:rPr>
                <w:b/>
                <w:szCs w:val="20"/>
              </w:rPr>
            </w:pPr>
            <w:r w:rsidRPr="007F48AF">
              <w:rPr>
                <w:b/>
                <w:szCs w:val="20"/>
              </w:rPr>
              <w:t>Total</w:t>
            </w:r>
          </w:p>
        </w:tc>
        <w:tc>
          <w:tcPr>
            <w:tcW w:w="326"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-64.0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-64.7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-64.8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-64.8 </w:t>
            </w:r>
          </w:p>
        </w:tc>
        <w:tc>
          <w:tcPr>
            <w:tcW w:w="327"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-258.4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-64.9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-65.0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-65.1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-65.2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-65.3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-65.4 </w:t>
            </w:r>
          </w:p>
        </w:tc>
        <w:tc>
          <w:tcPr>
            <w:tcW w:w="325"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-65.5 </w:t>
            </w:r>
          </w:p>
        </w:tc>
        <w:tc>
          <w:tcPr>
            <w:tcW w:w="326" w:type="pct"/>
            <w:shd w:val="clear" w:color="auto" w:fill="D7DDE9"/>
          </w:tcPr>
          <w:p w:rsidR="00033E9B" w:rsidRPr="00033E9B" w:rsidRDefault="00033E9B"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033E9B">
              <w:rPr>
                <w:b/>
              </w:rPr>
              <w:t xml:space="preserve">-714.7 </w:t>
            </w:r>
          </w:p>
        </w:tc>
      </w:tr>
    </w:tbl>
    <w:p w:rsidR="00033E9B" w:rsidRPr="00FF0C18" w:rsidRDefault="00033E9B" w:rsidP="00033E9B">
      <w:pPr>
        <w:pStyle w:val="Footnotes"/>
        <w:numPr>
          <w:ilvl w:val="0"/>
          <w:numId w:val="7"/>
        </w:numPr>
        <w:spacing w:before="80"/>
        <w:ind w:left="284" w:hanging="284"/>
        <w:rPr>
          <w:rFonts w:ascii="Calibri" w:hAnsi="Calibri"/>
        </w:rPr>
      </w:pPr>
      <w:r w:rsidRPr="00FF0C18">
        <w:t>A positive number for the fiscal balance indicates an increase in revenue or a decrease in expenses or net capital investment in accrual terms.</w:t>
      </w:r>
      <w:r>
        <w:t xml:space="preserve"> </w:t>
      </w:r>
      <w:r w:rsidRPr="00FF0C18">
        <w:t xml:space="preserve"> A negative number for the fiscal balance indicates a decrease in revenue or an increase in expenses or net capital</w:t>
      </w:r>
      <w:r>
        <w:t xml:space="preserve"> investment in accrual terms.</w:t>
      </w:r>
    </w:p>
    <w:p w:rsidR="00033E9B" w:rsidRPr="00FF0C18" w:rsidRDefault="00033E9B" w:rsidP="00033E9B">
      <w:pPr>
        <w:pStyle w:val="Footnotes"/>
        <w:numPr>
          <w:ilvl w:val="0"/>
          <w:numId w:val="7"/>
        </w:numPr>
        <w:spacing w:before="80"/>
        <w:ind w:left="284" w:hanging="284"/>
      </w:pPr>
      <w:r w:rsidRPr="00FF0C18">
        <w:t xml:space="preserve">Figures may not </w:t>
      </w:r>
      <w:r w:rsidR="00AC77D0">
        <w:t>sum to totals due to rounding.</w:t>
      </w:r>
    </w:p>
    <w:p w:rsidR="00033E9B" w:rsidRPr="00497FD5" w:rsidRDefault="00033E9B" w:rsidP="00033E9B">
      <w:pPr>
        <w:pStyle w:val="Captionheading"/>
        <w:rPr>
          <w:vertAlign w:val="superscript"/>
        </w:rPr>
      </w:pPr>
      <w:r w:rsidRPr="00FC6579">
        <w:lastRenderedPageBreak/>
        <w:t xml:space="preserve">Table </w:t>
      </w:r>
      <w:r>
        <w:t>A2</w:t>
      </w:r>
      <w:r w:rsidRPr="00FC6579">
        <w:t xml:space="preserve">: </w:t>
      </w:r>
      <w:r>
        <w:t>Component 1</w:t>
      </w:r>
      <w:r w:rsidR="00FF5A1C">
        <w:t>: EUAs</w:t>
      </w:r>
      <w:r>
        <w:t xml:space="preserve"> – Financial implications (outturn prices</w:t>
      </w:r>
      <w:proofErr w:type="gramStart"/>
      <w:r>
        <w:t>)</w:t>
      </w:r>
      <w:r>
        <w:rPr>
          <w:vertAlign w:val="superscript"/>
        </w:rPr>
        <w:t>(</w:t>
      </w:r>
      <w:proofErr w:type="gramEnd"/>
      <w:r>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033E9B" w:rsidRPr="00B31810"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033E9B" w:rsidRPr="00BF331E" w:rsidRDefault="00033E9B" w:rsidP="00AC77D0">
            <w:pPr>
              <w:keepNext/>
              <w:keepLines/>
              <w:spacing w:before="70" w:after="70" w:line="240" w:lineRule="auto"/>
              <w:ind w:left="57" w:right="57"/>
              <w:rPr>
                <w:szCs w:val="20"/>
              </w:rPr>
            </w:pPr>
            <w:r w:rsidRPr="00BF331E">
              <w:rPr>
                <w:szCs w:val="20"/>
              </w:rPr>
              <w:t>($m)</w:t>
            </w:r>
          </w:p>
        </w:tc>
        <w:tc>
          <w:tcPr>
            <w:tcW w:w="326"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033E9B" w:rsidRPr="009F2DA0"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2019–20</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033E9B" w:rsidRPr="00C24267"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033E9B" w:rsidRPr="009F2DA0" w:rsidRDefault="00033E9B"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2026–27</w:t>
            </w:r>
          </w:p>
        </w:tc>
      </w:tr>
      <w:tr w:rsidR="00033E9B" w:rsidTr="00AC77D0">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033E9B" w:rsidRPr="00BF331E" w:rsidRDefault="00033E9B" w:rsidP="00AC77D0">
            <w:pPr>
              <w:keepNext/>
              <w:keepLines/>
              <w:spacing w:before="70" w:after="70" w:line="240" w:lineRule="auto"/>
              <w:ind w:left="57" w:right="57"/>
              <w:rPr>
                <w:b/>
                <w:szCs w:val="20"/>
              </w:rPr>
            </w:pPr>
            <w:r>
              <w:rPr>
                <w:b/>
                <w:szCs w:val="20"/>
              </w:rPr>
              <w:t>Impact on f</w:t>
            </w:r>
            <w:r w:rsidRPr="00883351">
              <w:rPr>
                <w:b/>
                <w:szCs w:val="20"/>
              </w:rPr>
              <w:t>iscal</w:t>
            </w:r>
            <w:r>
              <w:rPr>
                <w:b/>
                <w:szCs w:val="20"/>
              </w:rPr>
              <w:t xml:space="preserve"> and underlying cash balances</w:t>
            </w:r>
            <w:r w:rsidR="00FF5A1C">
              <w:rPr>
                <w:b/>
                <w:szCs w:val="20"/>
              </w:rPr>
              <w:t xml:space="preserve"> – expenses/payments</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30364D" w:rsidRPr="007F48AF" w:rsidRDefault="0030364D" w:rsidP="00AC77D0">
            <w:pPr>
              <w:keepNext/>
              <w:keepLines/>
              <w:spacing w:before="70" w:after="70" w:line="240" w:lineRule="auto"/>
              <w:ind w:left="57" w:right="57"/>
              <w:rPr>
                <w:szCs w:val="20"/>
              </w:rPr>
            </w:pPr>
            <w:r w:rsidRPr="007F48AF">
              <w:rPr>
                <w:szCs w:val="20"/>
              </w:rPr>
              <w:t>Administered</w:t>
            </w:r>
          </w:p>
        </w:tc>
        <w:tc>
          <w:tcPr>
            <w:tcW w:w="326"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-1.9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-2.6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-2.6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-2.7 </w:t>
            </w:r>
          </w:p>
        </w:tc>
        <w:tc>
          <w:tcPr>
            <w:tcW w:w="327"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-9.7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-2.7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-2.8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-2.9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-3.0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-3.0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-3.1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-3.2 </w:t>
            </w:r>
          </w:p>
        </w:tc>
        <w:tc>
          <w:tcPr>
            <w:tcW w:w="326"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-30.5 </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30364D" w:rsidRPr="007F48AF" w:rsidRDefault="0030364D" w:rsidP="00AC77D0">
            <w:pPr>
              <w:keepNext/>
              <w:keepLines/>
              <w:spacing w:before="70" w:after="70" w:line="240" w:lineRule="auto"/>
              <w:ind w:left="57" w:right="57"/>
              <w:rPr>
                <w:szCs w:val="20"/>
              </w:rPr>
            </w:pPr>
            <w:r w:rsidRPr="007F48AF">
              <w:rPr>
                <w:szCs w:val="20"/>
              </w:rPr>
              <w:t>Departmental</w:t>
            </w:r>
          </w:p>
        </w:tc>
        <w:tc>
          <w:tcPr>
            <w:tcW w:w="326"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7"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-0.4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5"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-0.1 </w:t>
            </w:r>
          </w:p>
        </w:tc>
        <w:tc>
          <w:tcPr>
            <w:tcW w:w="326" w:type="pct"/>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-1.1 </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30364D" w:rsidRPr="007F48AF" w:rsidRDefault="0030364D" w:rsidP="00AC77D0">
            <w:pPr>
              <w:keepNext/>
              <w:keepLines/>
              <w:spacing w:before="70" w:after="70" w:line="240" w:lineRule="auto"/>
              <w:ind w:left="57" w:right="57"/>
              <w:rPr>
                <w:b/>
                <w:szCs w:val="20"/>
              </w:rPr>
            </w:pPr>
            <w:r w:rsidRPr="007F48AF">
              <w:rPr>
                <w:b/>
                <w:szCs w:val="20"/>
              </w:rPr>
              <w:t>Total</w:t>
            </w:r>
          </w:p>
        </w:tc>
        <w:tc>
          <w:tcPr>
            <w:tcW w:w="326"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-1.9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-2.7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-2.7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-2.8 </w:t>
            </w:r>
          </w:p>
        </w:tc>
        <w:tc>
          <w:tcPr>
            <w:tcW w:w="327"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-10.1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-2.8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-2.9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-3.0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-3.1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-3.1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-3.2 </w:t>
            </w:r>
          </w:p>
        </w:tc>
        <w:tc>
          <w:tcPr>
            <w:tcW w:w="325"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-3.3 </w:t>
            </w:r>
          </w:p>
        </w:tc>
        <w:tc>
          <w:tcPr>
            <w:tcW w:w="326" w:type="pct"/>
            <w:shd w:val="clear" w:color="auto" w:fill="D7DDE9"/>
          </w:tcPr>
          <w:p w:rsidR="0030364D" w:rsidRPr="0030364D" w:rsidRDefault="0030364D" w:rsidP="00AC77D0">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-31.5 </w:t>
            </w:r>
          </w:p>
        </w:tc>
      </w:tr>
    </w:tbl>
    <w:p w:rsidR="00033E9B" w:rsidRPr="0030364D" w:rsidRDefault="00033E9B" w:rsidP="00141515">
      <w:pPr>
        <w:pStyle w:val="Footnotes"/>
        <w:keepNext/>
        <w:keepLines/>
        <w:numPr>
          <w:ilvl w:val="0"/>
          <w:numId w:val="21"/>
        </w:numPr>
        <w:spacing w:before="80"/>
        <w:ind w:left="284" w:hanging="284"/>
        <w:rPr>
          <w:rFonts w:ascii="Calibri" w:hAnsi="Calibri"/>
        </w:rPr>
      </w:pPr>
      <w:r w:rsidRPr="00FF0C18">
        <w:t>A positive number for the fiscal balance indicates an increase in revenue or a decrease in expenses or net capital investment in accrual terms.</w:t>
      </w:r>
      <w:r>
        <w:t xml:space="preserve"> </w:t>
      </w:r>
      <w:r w:rsidRPr="00FF0C18">
        <w:t xml:space="preserve"> A negative number for the fiscal balance indicates a decrease in revenue or an increase in expenses or net capital</w:t>
      </w:r>
      <w:r>
        <w:t xml:space="preserve"> investment in accrual terms.</w:t>
      </w:r>
    </w:p>
    <w:p w:rsidR="00033E9B" w:rsidRPr="00FF0C18" w:rsidRDefault="00033E9B" w:rsidP="00033E9B">
      <w:pPr>
        <w:pStyle w:val="Footnotes"/>
        <w:numPr>
          <w:ilvl w:val="0"/>
          <w:numId w:val="7"/>
        </w:numPr>
        <w:spacing w:before="80"/>
        <w:ind w:left="284" w:hanging="284"/>
      </w:pPr>
      <w:r w:rsidRPr="00FF0C18">
        <w:t xml:space="preserve">Figures may not </w:t>
      </w:r>
      <w:r w:rsidR="00AC77D0">
        <w:t>sum to totals due to rounding.</w:t>
      </w:r>
    </w:p>
    <w:p w:rsidR="0030364D" w:rsidRPr="00497FD5" w:rsidRDefault="0030364D" w:rsidP="0030364D">
      <w:pPr>
        <w:pStyle w:val="Captionheading"/>
        <w:rPr>
          <w:vertAlign w:val="superscript"/>
        </w:rPr>
      </w:pPr>
      <w:r w:rsidRPr="00FC6579">
        <w:t xml:space="preserve">Table </w:t>
      </w:r>
      <w:r w:rsidR="00FF5A1C">
        <w:t>A3</w:t>
      </w:r>
      <w:r w:rsidRPr="00FC6579">
        <w:t xml:space="preserve">: </w:t>
      </w:r>
      <w:r>
        <w:t>Component 3</w:t>
      </w:r>
      <w:r w:rsidR="00FF5A1C">
        <w:t>: Grant funding for new building</w:t>
      </w:r>
      <w:r>
        <w:t xml:space="preserve"> – Financial implications (outturn prices</w:t>
      </w:r>
      <w:proofErr w:type="gramStart"/>
      <w:r>
        <w:t>)</w:t>
      </w:r>
      <w:r>
        <w:rPr>
          <w:vertAlign w:val="superscript"/>
        </w:rPr>
        <w:t>(</w:t>
      </w:r>
      <w:proofErr w:type="gramEnd"/>
      <w:r>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30364D" w:rsidRPr="00B31810"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30364D" w:rsidRPr="00BF331E" w:rsidRDefault="0030364D" w:rsidP="00AC77D0">
            <w:pPr>
              <w:keepNext/>
              <w:keepLines/>
              <w:spacing w:before="70" w:after="70" w:line="240" w:lineRule="auto"/>
              <w:ind w:left="57" w:right="57"/>
              <w:rPr>
                <w:szCs w:val="20"/>
              </w:rPr>
            </w:pPr>
            <w:r w:rsidRPr="00BF331E">
              <w:rPr>
                <w:szCs w:val="20"/>
              </w:rPr>
              <w:t>($m)</w:t>
            </w:r>
          </w:p>
        </w:tc>
        <w:tc>
          <w:tcPr>
            <w:tcW w:w="326"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30364D" w:rsidRPr="009F2DA0"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2019–20</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30364D" w:rsidRPr="009F2DA0"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2026–27</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30364D" w:rsidRPr="00BF331E" w:rsidRDefault="0030364D" w:rsidP="00AC77D0">
            <w:pPr>
              <w:spacing w:before="70" w:after="70" w:line="240" w:lineRule="auto"/>
              <w:ind w:left="57" w:right="57"/>
              <w:rPr>
                <w:b/>
                <w:szCs w:val="20"/>
              </w:rPr>
            </w:pPr>
            <w:r>
              <w:rPr>
                <w:b/>
                <w:szCs w:val="20"/>
              </w:rPr>
              <w:t>Impact on f</w:t>
            </w:r>
            <w:r w:rsidRPr="00883351">
              <w:rPr>
                <w:b/>
                <w:szCs w:val="20"/>
              </w:rPr>
              <w:t>iscal</w:t>
            </w:r>
            <w:r>
              <w:rPr>
                <w:b/>
                <w:szCs w:val="20"/>
              </w:rPr>
              <w:t xml:space="preserve"> and underlying cash balances</w:t>
            </w:r>
            <w:r w:rsidR="00FF5A1C">
              <w:rPr>
                <w:b/>
                <w:szCs w:val="20"/>
              </w:rPr>
              <w:t xml:space="preserve"> – expenses/payments</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30364D" w:rsidRPr="007F48AF" w:rsidRDefault="0030364D" w:rsidP="00AC77D0">
            <w:pPr>
              <w:spacing w:before="70" w:after="70" w:line="240" w:lineRule="auto"/>
              <w:ind w:left="57" w:right="57"/>
              <w:rPr>
                <w:szCs w:val="20"/>
              </w:rPr>
            </w:pPr>
            <w:r w:rsidRPr="007F48AF">
              <w:rPr>
                <w:szCs w:val="20"/>
              </w:rPr>
              <w:t>Administered</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7"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-200.0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-50.0 </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-550.0 </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30364D" w:rsidRPr="007F48AF" w:rsidRDefault="0030364D" w:rsidP="00AC77D0">
            <w:pPr>
              <w:spacing w:before="70" w:after="70" w:line="240" w:lineRule="auto"/>
              <w:ind w:left="57" w:right="57"/>
              <w:rPr>
                <w:szCs w:val="20"/>
              </w:rPr>
            </w:pPr>
            <w:r w:rsidRPr="007F48AF">
              <w:rPr>
                <w:szCs w:val="20"/>
              </w:rPr>
              <w:t>Departmental</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7"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-6.4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-1.6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-1.7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-1.7 </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-17.8 </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30364D" w:rsidRPr="007F48AF" w:rsidRDefault="0030364D" w:rsidP="00AC77D0">
            <w:pPr>
              <w:spacing w:before="70" w:after="70" w:line="240" w:lineRule="auto"/>
              <w:ind w:left="57" w:right="57"/>
              <w:rPr>
                <w:b/>
                <w:szCs w:val="20"/>
              </w:rPr>
            </w:pPr>
            <w:r w:rsidRPr="007F48AF">
              <w:rPr>
                <w:b/>
                <w:szCs w:val="20"/>
              </w:rPr>
              <w:t>Total</w:t>
            </w:r>
          </w:p>
        </w:tc>
        <w:tc>
          <w:tcPr>
            <w:tcW w:w="326"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7"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-206.4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-51.6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-51.7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-51.7 </w:t>
            </w:r>
          </w:p>
        </w:tc>
        <w:tc>
          <w:tcPr>
            <w:tcW w:w="326"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-567.8 </w:t>
            </w:r>
          </w:p>
        </w:tc>
      </w:tr>
    </w:tbl>
    <w:p w:rsidR="0030364D" w:rsidRPr="0030364D" w:rsidRDefault="0030364D" w:rsidP="0030364D">
      <w:pPr>
        <w:pStyle w:val="Footnotes"/>
        <w:numPr>
          <w:ilvl w:val="0"/>
          <w:numId w:val="22"/>
        </w:numPr>
        <w:spacing w:before="80"/>
        <w:ind w:left="284" w:hanging="284"/>
        <w:rPr>
          <w:rFonts w:ascii="Calibri" w:hAnsi="Calibri"/>
        </w:rPr>
      </w:pPr>
      <w:r w:rsidRPr="00FF0C18">
        <w:t>A positive number for the fiscal balance indicates an increase in revenue or a decrease in expenses or net capital investment in accrual terms.</w:t>
      </w:r>
      <w:r>
        <w:t xml:space="preserve"> </w:t>
      </w:r>
      <w:r w:rsidRPr="00FF0C18">
        <w:t xml:space="preserve"> A negative number for the fiscal balance indicates a decrease in revenue or an increase in expenses or net capital</w:t>
      </w:r>
      <w:r>
        <w:t xml:space="preserve"> investment in accrual terms.</w:t>
      </w:r>
    </w:p>
    <w:p w:rsidR="0030364D" w:rsidRDefault="0030364D" w:rsidP="006B142D">
      <w:pPr>
        <w:pStyle w:val="Footnotes"/>
        <w:numPr>
          <w:ilvl w:val="0"/>
          <w:numId w:val="7"/>
        </w:numPr>
        <w:spacing w:before="80"/>
        <w:ind w:left="284" w:hanging="284"/>
      </w:pPr>
      <w:r w:rsidRPr="00FF0C18">
        <w:t xml:space="preserve">Figures may not </w:t>
      </w:r>
      <w:r w:rsidR="00AC77D0">
        <w:t>sum to totals due to rounding.</w:t>
      </w:r>
    </w:p>
    <w:p w:rsidR="0030364D" w:rsidRPr="00497FD5" w:rsidRDefault="0030364D" w:rsidP="0030364D">
      <w:pPr>
        <w:pStyle w:val="Captionheading"/>
        <w:rPr>
          <w:vertAlign w:val="superscript"/>
        </w:rPr>
      </w:pPr>
      <w:r w:rsidRPr="00FC6579">
        <w:lastRenderedPageBreak/>
        <w:t xml:space="preserve">Table </w:t>
      </w:r>
      <w:r w:rsidR="00FF5A1C">
        <w:t>A4</w:t>
      </w:r>
      <w:r w:rsidRPr="00FC6579">
        <w:t xml:space="preserve">: </w:t>
      </w:r>
      <w:r>
        <w:t>Component 4</w:t>
      </w:r>
      <w:r w:rsidR="00FF5A1C">
        <w:t>: Grant funding for new green roofs and walls</w:t>
      </w:r>
      <w:r>
        <w:t xml:space="preserve"> – Financial implications (outturn prices</w:t>
      </w:r>
      <w:proofErr w:type="gramStart"/>
      <w:r>
        <w:t>)</w:t>
      </w:r>
      <w:r>
        <w:rPr>
          <w:vertAlign w:val="superscript"/>
        </w:rPr>
        <w:t>(</w:t>
      </w:r>
      <w:proofErr w:type="gramEnd"/>
      <w:r>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2"/>
        <w:gridCol w:w="907"/>
        <w:gridCol w:w="901"/>
        <w:gridCol w:w="901"/>
        <w:gridCol w:w="901"/>
        <w:gridCol w:w="901"/>
        <w:gridCol w:w="901"/>
        <w:gridCol w:w="901"/>
        <w:gridCol w:w="901"/>
        <w:gridCol w:w="904"/>
      </w:tblGrid>
      <w:tr w:rsidR="0030364D" w:rsidRPr="00B31810"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30364D" w:rsidRPr="00BF331E" w:rsidRDefault="0030364D" w:rsidP="00AC77D0">
            <w:pPr>
              <w:keepNext/>
              <w:keepLines/>
              <w:spacing w:before="70" w:after="70" w:line="240" w:lineRule="auto"/>
              <w:ind w:left="57" w:right="57"/>
              <w:rPr>
                <w:szCs w:val="20"/>
              </w:rPr>
            </w:pPr>
            <w:r w:rsidRPr="00BF331E">
              <w:rPr>
                <w:szCs w:val="20"/>
              </w:rPr>
              <w:t>($m)</w:t>
            </w:r>
          </w:p>
        </w:tc>
        <w:tc>
          <w:tcPr>
            <w:tcW w:w="326"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30364D" w:rsidRPr="009F2DA0"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2019–20</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30364D" w:rsidRPr="00C24267"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30364D" w:rsidRPr="009F2DA0" w:rsidRDefault="0030364D" w:rsidP="00AC77D0">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9F2DA0">
              <w:rPr>
                <w:b/>
              </w:rPr>
              <w:t>Total to 2026–27</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cPr>
          <w:p w:rsidR="0030364D" w:rsidRPr="00BF331E" w:rsidRDefault="0030364D" w:rsidP="00AC77D0">
            <w:pPr>
              <w:spacing w:before="70" w:after="70" w:line="240" w:lineRule="auto"/>
              <w:ind w:left="57" w:right="57"/>
              <w:rPr>
                <w:b/>
                <w:szCs w:val="20"/>
              </w:rPr>
            </w:pPr>
            <w:r>
              <w:rPr>
                <w:b/>
                <w:szCs w:val="20"/>
              </w:rPr>
              <w:t>Impact on f</w:t>
            </w:r>
            <w:r w:rsidRPr="00883351">
              <w:rPr>
                <w:b/>
                <w:szCs w:val="20"/>
              </w:rPr>
              <w:t>iscal</w:t>
            </w:r>
            <w:r>
              <w:rPr>
                <w:b/>
                <w:szCs w:val="20"/>
              </w:rPr>
              <w:t xml:space="preserve"> and underlying cash balances</w:t>
            </w:r>
            <w:r w:rsidR="00FF5A1C">
              <w:rPr>
                <w:b/>
                <w:szCs w:val="20"/>
              </w:rPr>
              <w:t xml:space="preserve"> – expenses/payments</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30364D" w:rsidRPr="007F48AF" w:rsidRDefault="0030364D" w:rsidP="00AC77D0">
            <w:pPr>
              <w:spacing w:before="70" w:after="70" w:line="240" w:lineRule="auto"/>
              <w:ind w:left="57" w:right="57"/>
              <w:rPr>
                <w:szCs w:val="20"/>
              </w:rPr>
            </w:pPr>
            <w:r w:rsidRPr="007F48AF">
              <w:rPr>
                <w:szCs w:val="20"/>
              </w:rPr>
              <w:t>Administered</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7"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-40.0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-10.0 </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-110.0 </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tcPr>
          <w:p w:rsidR="0030364D" w:rsidRPr="007F48AF" w:rsidRDefault="0030364D" w:rsidP="00AC77D0">
            <w:pPr>
              <w:spacing w:before="70" w:after="70" w:line="240" w:lineRule="auto"/>
              <w:ind w:left="57" w:right="57"/>
              <w:rPr>
                <w:szCs w:val="20"/>
              </w:rPr>
            </w:pPr>
            <w:r w:rsidRPr="007F48AF">
              <w:rPr>
                <w:szCs w:val="20"/>
              </w:rPr>
              <w:t>Departmental</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7"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-1.9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5"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30364D">
              <w:rPr>
                <w:i/>
              </w:rPr>
              <w:t xml:space="preserve">-0.5 </w:t>
            </w:r>
          </w:p>
        </w:tc>
        <w:tc>
          <w:tcPr>
            <w:tcW w:w="326" w:type="pct"/>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30364D">
              <w:rPr>
                <w:b/>
                <w:i/>
              </w:rPr>
              <w:t xml:space="preserve">-5.3 </w:t>
            </w:r>
          </w:p>
        </w:tc>
      </w:tr>
      <w:tr w:rsidR="0030364D" w:rsidTr="00AC77D0">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30364D" w:rsidRPr="007F48AF" w:rsidRDefault="0030364D" w:rsidP="00AC77D0">
            <w:pPr>
              <w:spacing w:before="70" w:after="70" w:line="240" w:lineRule="auto"/>
              <w:ind w:left="57" w:right="57"/>
              <w:rPr>
                <w:b/>
                <w:szCs w:val="20"/>
              </w:rPr>
            </w:pPr>
            <w:r w:rsidRPr="007F48AF">
              <w:rPr>
                <w:b/>
                <w:szCs w:val="20"/>
              </w:rPr>
              <w:t>Total</w:t>
            </w:r>
          </w:p>
        </w:tc>
        <w:tc>
          <w:tcPr>
            <w:tcW w:w="326"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7"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-41.9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5"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-10.5 </w:t>
            </w:r>
          </w:p>
        </w:tc>
        <w:tc>
          <w:tcPr>
            <w:tcW w:w="326" w:type="pct"/>
            <w:shd w:val="clear" w:color="auto" w:fill="D7DDE9"/>
          </w:tcPr>
          <w:p w:rsidR="0030364D" w:rsidRPr="0030364D" w:rsidRDefault="0030364D" w:rsidP="00AC77D0">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30364D">
              <w:rPr>
                <w:b/>
              </w:rPr>
              <w:t xml:space="preserve">-115.3 </w:t>
            </w:r>
          </w:p>
        </w:tc>
      </w:tr>
    </w:tbl>
    <w:p w:rsidR="0030364D" w:rsidRPr="00FF5A1C" w:rsidRDefault="0030364D" w:rsidP="006B142D">
      <w:pPr>
        <w:pStyle w:val="Footnotes"/>
        <w:numPr>
          <w:ilvl w:val="0"/>
          <w:numId w:val="23"/>
        </w:numPr>
        <w:spacing w:before="80"/>
        <w:ind w:left="284" w:hanging="284"/>
        <w:rPr>
          <w:rFonts w:ascii="Calibri" w:hAnsi="Calibri"/>
        </w:rPr>
      </w:pPr>
      <w:r w:rsidRPr="00FF0C18">
        <w:t>A positive number for the fiscal balance indicates an increase in revenue or a decrease in expenses or net capital investment in accrual terms.</w:t>
      </w:r>
      <w:r>
        <w:t xml:space="preserve"> </w:t>
      </w:r>
      <w:r w:rsidRPr="00FF0C18">
        <w:t xml:space="preserve"> A negative number for the fiscal balance indicates a decrease in revenue or an increase in expenses or net capital</w:t>
      </w:r>
      <w:r>
        <w:t xml:space="preserve"> investment in accrual terms.</w:t>
      </w:r>
    </w:p>
    <w:p w:rsidR="0030364D" w:rsidRPr="00FF0C18" w:rsidRDefault="0030364D" w:rsidP="0030364D">
      <w:pPr>
        <w:pStyle w:val="Footnotes"/>
        <w:numPr>
          <w:ilvl w:val="0"/>
          <w:numId w:val="7"/>
        </w:numPr>
        <w:spacing w:before="80"/>
        <w:ind w:left="284" w:hanging="284"/>
      </w:pPr>
      <w:r w:rsidRPr="00FF0C18">
        <w:t xml:space="preserve">Figures may not </w:t>
      </w:r>
      <w:r w:rsidR="00AC77D0">
        <w:t>sum to totals due to rounding.</w:t>
      </w:r>
    </w:p>
    <w:sectPr w:rsidR="0030364D" w:rsidRPr="00FF0C18" w:rsidSect="001F0F2B">
      <w:headerReference w:type="first" r:id="rId17"/>
      <w:footerReference w:type="first" r:id="rId18"/>
      <w:pgSz w:w="16839" w:h="11907" w:orient="landscape" w:code="9"/>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C2B" w:rsidRDefault="00942C2B" w:rsidP="008F588A">
      <w:pPr>
        <w:spacing w:line="240" w:lineRule="auto"/>
      </w:pPr>
      <w:r>
        <w:separator/>
      </w:r>
    </w:p>
    <w:p w:rsidR="00942C2B" w:rsidRDefault="00942C2B"/>
  </w:endnote>
  <w:endnote w:type="continuationSeparator" w:id="0">
    <w:p w:rsidR="00942C2B" w:rsidRDefault="00942C2B" w:rsidP="008F588A">
      <w:pPr>
        <w:spacing w:line="240" w:lineRule="auto"/>
      </w:pPr>
      <w:r>
        <w:continuationSeparator/>
      </w:r>
    </w:p>
    <w:p w:rsidR="00942C2B" w:rsidRDefault="00942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Pr="00C24267" w:rsidRDefault="00942C2B"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672E78">
      <w:rPr>
        <w:noProof/>
      </w:rPr>
      <w:t>8</w:t>
    </w:r>
    <w:r w:rsidRPr="00C24267">
      <w:fldChar w:fldCharType="end"/>
    </w:r>
    <w:r w:rsidRPr="00C24267">
      <w:t xml:space="preserve"> of </w:t>
    </w:r>
    <w:r w:rsidR="00945D3B">
      <w:fldChar w:fldCharType="begin"/>
    </w:r>
    <w:r w:rsidR="00945D3B">
      <w:instrText xml:space="preserve"> NUMPAGES  \* Arabic  \* MERGEFORMAT </w:instrText>
    </w:r>
    <w:r w:rsidR="00945D3B">
      <w:fldChar w:fldCharType="separate"/>
    </w:r>
    <w:r w:rsidR="00672E78">
      <w:rPr>
        <w:noProof/>
      </w:rPr>
      <w:t>8</w:t>
    </w:r>
    <w:r w:rsidR="00945D3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Pr="00C24267" w:rsidRDefault="00942C2B" w:rsidP="00C24267">
    <w:pPr>
      <w:pStyle w:val="Letterfooter"/>
    </w:pPr>
    <w:r w:rsidRPr="00C24267">
      <w:t>Parliamentary Budget Office   PO Box 6010   Parliament House   Canberra ACT 2600</w:t>
    </w:r>
  </w:p>
  <w:p w:rsidR="00942C2B" w:rsidRPr="00C24267" w:rsidRDefault="00942C2B"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Pr="00C24267" w:rsidRDefault="00942C2B"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672E78">
      <w:rPr>
        <w:noProof/>
      </w:rPr>
      <w:t>2</w:t>
    </w:r>
    <w:r w:rsidRPr="00C24267">
      <w:fldChar w:fldCharType="end"/>
    </w:r>
    <w:r w:rsidRPr="00C24267">
      <w:t xml:space="preserve"> of </w:t>
    </w:r>
    <w:r w:rsidR="00945D3B">
      <w:fldChar w:fldCharType="begin"/>
    </w:r>
    <w:r w:rsidR="00945D3B">
      <w:instrText xml:space="preserve"> NUMPAGES  \* Arabic  \* MERGEFORMAT </w:instrText>
    </w:r>
    <w:r w:rsidR="00945D3B">
      <w:fldChar w:fldCharType="separate"/>
    </w:r>
    <w:r w:rsidR="00672E78">
      <w:rPr>
        <w:noProof/>
      </w:rPr>
      <w:t>8</w:t>
    </w:r>
    <w:r w:rsidR="00945D3B">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Pr="00C24267" w:rsidRDefault="00942C2B"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672E78">
      <w:rPr>
        <w:noProof/>
      </w:rPr>
      <w:t>6</w:t>
    </w:r>
    <w:r w:rsidRPr="00C24267">
      <w:fldChar w:fldCharType="end"/>
    </w:r>
    <w:r w:rsidRPr="00C24267">
      <w:t xml:space="preserve"> of </w:t>
    </w:r>
    <w:r w:rsidR="00945D3B">
      <w:fldChar w:fldCharType="begin"/>
    </w:r>
    <w:r w:rsidR="00945D3B">
      <w:instrText xml:space="preserve"> NUMPAGES  \* Arabic  \* MERGEFORMAT </w:instrText>
    </w:r>
    <w:r w:rsidR="00945D3B">
      <w:fldChar w:fldCharType="separate"/>
    </w:r>
    <w:r w:rsidR="00672E78">
      <w:rPr>
        <w:noProof/>
      </w:rPr>
      <w:t>8</w:t>
    </w:r>
    <w:r w:rsidR="00945D3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C2B" w:rsidRDefault="00942C2B" w:rsidP="008F588A">
      <w:pPr>
        <w:spacing w:line="240" w:lineRule="auto"/>
      </w:pPr>
      <w:r>
        <w:separator/>
      </w:r>
    </w:p>
    <w:p w:rsidR="00942C2B" w:rsidRDefault="00942C2B"/>
  </w:footnote>
  <w:footnote w:type="continuationSeparator" w:id="0">
    <w:p w:rsidR="00942C2B" w:rsidRDefault="00942C2B" w:rsidP="008F588A">
      <w:pPr>
        <w:spacing w:line="240" w:lineRule="auto"/>
      </w:pPr>
      <w:r>
        <w:continuationSeparator/>
      </w:r>
    </w:p>
    <w:p w:rsidR="00942C2B" w:rsidRDefault="00942C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Default="00942C2B"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942C2B" w:rsidRPr="00DA1C8A" w:rsidRDefault="00942C2B"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Pr="00C17112" w:rsidRDefault="00942C2B" w:rsidP="00C17112">
    <w:pPr>
      <w:pStyle w:val="Header"/>
    </w:pPr>
    <w:r>
      <w:rPr>
        <w:noProof/>
        <w:lang w:eastAsia="en-AU"/>
      </w:rPr>
      <w:drawing>
        <wp:inline distT="0" distB="0" distL="0" distR="0" wp14:anchorId="1E70962D" wp14:editId="603E07A6">
          <wp:extent cx="2696845" cy="57213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2B" w:rsidRPr="00141515" w:rsidRDefault="00942C2B" w:rsidP="00141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28A7086"/>
    <w:multiLevelType w:val="hybridMultilevel"/>
    <w:tmpl w:val="01B85BBA"/>
    <w:lvl w:ilvl="0" w:tplc="7DC0A7B2">
      <w:start w:val="2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8">
    <w:nsid w:val="30E45E35"/>
    <w:multiLevelType w:val="hybridMultilevel"/>
    <w:tmpl w:val="32567762"/>
    <w:lvl w:ilvl="0" w:tplc="7ADA9B40">
      <w:start w:val="1"/>
      <w:numFmt w:val="lowerLetter"/>
      <w:pStyle w:val="Footnotes"/>
      <w:lvlText w:val="(%1)"/>
      <w:lvlJc w:val="left"/>
      <w:pPr>
        <w:ind w:left="833"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745C3AB2"/>
    <w:multiLevelType w:val="hybridMultilevel"/>
    <w:tmpl w:val="E96EE6C8"/>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9"/>
  </w:num>
  <w:num w:numId="6">
    <w:abstractNumId w:val="8"/>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
  </w:num>
  <w:num w:numId="12">
    <w:abstractNumId w:val="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2"/>
  </w:num>
  <w:num w:numId="17">
    <w:abstractNumId w:val="10"/>
  </w:num>
  <w:num w:numId="18">
    <w:abstractNumId w:val="8"/>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C2B"/>
    <w:rsid w:val="00002D5D"/>
    <w:rsid w:val="000065C0"/>
    <w:rsid w:val="000133FC"/>
    <w:rsid w:val="00015FB2"/>
    <w:rsid w:val="00033E9B"/>
    <w:rsid w:val="00040DCE"/>
    <w:rsid w:val="00054D12"/>
    <w:rsid w:val="00096F3A"/>
    <w:rsid w:val="000C1A75"/>
    <w:rsid w:val="000E3681"/>
    <w:rsid w:val="001278D0"/>
    <w:rsid w:val="00141515"/>
    <w:rsid w:val="0014239B"/>
    <w:rsid w:val="001A02D1"/>
    <w:rsid w:val="001F0F2B"/>
    <w:rsid w:val="00220BE5"/>
    <w:rsid w:val="002422A3"/>
    <w:rsid w:val="0030364D"/>
    <w:rsid w:val="00315E34"/>
    <w:rsid w:val="00326DE2"/>
    <w:rsid w:val="003D7744"/>
    <w:rsid w:val="003E0F39"/>
    <w:rsid w:val="003E4F5F"/>
    <w:rsid w:val="003F73CA"/>
    <w:rsid w:val="00440E32"/>
    <w:rsid w:val="00461597"/>
    <w:rsid w:val="00485374"/>
    <w:rsid w:val="00490110"/>
    <w:rsid w:val="004C283B"/>
    <w:rsid w:val="004D13ED"/>
    <w:rsid w:val="004D5525"/>
    <w:rsid w:val="004F21C9"/>
    <w:rsid w:val="005035DA"/>
    <w:rsid w:val="00507897"/>
    <w:rsid w:val="00515A85"/>
    <w:rsid w:val="00532353"/>
    <w:rsid w:val="00545F24"/>
    <w:rsid w:val="0055581F"/>
    <w:rsid w:val="0056229A"/>
    <w:rsid w:val="00570154"/>
    <w:rsid w:val="00570B5A"/>
    <w:rsid w:val="00587422"/>
    <w:rsid w:val="005B1A4A"/>
    <w:rsid w:val="005C6967"/>
    <w:rsid w:val="005D32CA"/>
    <w:rsid w:val="005E3562"/>
    <w:rsid w:val="005F7DE0"/>
    <w:rsid w:val="006268A5"/>
    <w:rsid w:val="00640346"/>
    <w:rsid w:val="00660385"/>
    <w:rsid w:val="00662E65"/>
    <w:rsid w:val="0066665A"/>
    <w:rsid w:val="00672E78"/>
    <w:rsid w:val="006848D4"/>
    <w:rsid w:val="00692DD8"/>
    <w:rsid w:val="006B142D"/>
    <w:rsid w:val="006F0CE9"/>
    <w:rsid w:val="007202A8"/>
    <w:rsid w:val="007229A9"/>
    <w:rsid w:val="00761111"/>
    <w:rsid w:val="007B029A"/>
    <w:rsid w:val="007D33AA"/>
    <w:rsid w:val="007D3577"/>
    <w:rsid w:val="007E54B7"/>
    <w:rsid w:val="007E5C2C"/>
    <w:rsid w:val="007F7BCF"/>
    <w:rsid w:val="008030EC"/>
    <w:rsid w:val="00811D6D"/>
    <w:rsid w:val="00817E8E"/>
    <w:rsid w:val="00841C3A"/>
    <w:rsid w:val="00844776"/>
    <w:rsid w:val="008850D9"/>
    <w:rsid w:val="00885B9E"/>
    <w:rsid w:val="008A4578"/>
    <w:rsid w:val="008C03C3"/>
    <w:rsid w:val="008D3909"/>
    <w:rsid w:val="008D6ECA"/>
    <w:rsid w:val="008E4EBD"/>
    <w:rsid w:val="008F01C5"/>
    <w:rsid w:val="008F588A"/>
    <w:rsid w:val="00902D2D"/>
    <w:rsid w:val="00915804"/>
    <w:rsid w:val="00942C2B"/>
    <w:rsid w:val="009477E3"/>
    <w:rsid w:val="00957285"/>
    <w:rsid w:val="009573AF"/>
    <w:rsid w:val="0099362C"/>
    <w:rsid w:val="009963ED"/>
    <w:rsid w:val="009D4063"/>
    <w:rsid w:val="009D7158"/>
    <w:rsid w:val="009F1D89"/>
    <w:rsid w:val="009F571C"/>
    <w:rsid w:val="00A41BD3"/>
    <w:rsid w:val="00A449C2"/>
    <w:rsid w:val="00A5691F"/>
    <w:rsid w:val="00A65EA3"/>
    <w:rsid w:val="00A83C0E"/>
    <w:rsid w:val="00AA3D6F"/>
    <w:rsid w:val="00AB55AE"/>
    <w:rsid w:val="00AB6F7D"/>
    <w:rsid w:val="00AC77D0"/>
    <w:rsid w:val="00AC7878"/>
    <w:rsid w:val="00AD493E"/>
    <w:rsid w:val="00AE30B5"/>
    <w:rsid w:val="00AE5755"/>
    <w:rsid w:val="00B06055"/>
    <w:rsid w:val="00B44D8A"/>
    <w:rsid w:val="00B73AC8"/>
    <w:rsid w:val="00B747A7"/>
    <w:rsid w:val="00BA2BBF"/>
    <w:rsid w:val="00BC559C"/>
    <w:rsid w:val="00C17112"/>
    <w:rsid w:val="00C24267"/>
    <w:rsid w:val="00C727D4"/>
    <w:rsid w:val="00CA5D42"/>
    <w:rsid w:val="00CB40E1"/>
    <w:rsid w:val="00CE3721"/>
    <w:rsid w:val="00CF6DB6"/>
    <w:rsid w:val="00D134CA"/>
    <w:rsid w:val="00D17E38"/>
    <w:rsid w:val="00D34E36"/>
    <w:rsid w:val="00D52D5F"/>
    <w:rsid w:val="00D949A3"/>
    <w:rsid w:val="00DA1C8A"/>
    <w:rsid w:val="00DA3736"/>
    <w:rsid w:val="00DB44F0"/>
    <w:rsid w:val="00DD109E"/>
    <w:rsid w:val="00DD3E18"/>
    <w:rsid w:val="00E12103"/>
    <w:rsid w:val="00E15AAE"/>
    <w:rsid w:val="00E161EE"/>
    <w:rsid w:val="00E16709"/>
    <w:rsid w:val="00E21184"/>
    <w:rsid w:val="00E404A0"/>
    <w:rsid w:val="00E40B8B"/>
    <w:rsid w:val="00E5742E"/>
    <w:rsid w:val="00EA265F"/>
    <w:rsid w:val="00EA5685"/>
    <w:rsid w:val="00ED43FF"/>
    <w:rsid w:val="00ED6821"/>
    <w:rsid w:val="00EE137D"/>
    <w:rsid w:val="00EE6600"/>
    <w:rsid w:val="00EF1D6A"/>
    <w:rsid w:val="00EF2E51"/>
    <w:rsid w:val="00F16D51"/>
    <w:rsid w:val="00F31E24"/>
    <w:rsid w:val="00F52474"/>
    <w:rsid w:val="00F5529D"/>
    <w:rsid w:val="00F5669E"/>
    <w:rsid w:val="00F75D33"/>
    <w:rsid w:val="00F954CF"/>
    <w:rsid w:val="00F97DFF"/>
    <w:rsid w:val="00FC6579"/>
    <w:rsid w:val="00FD3FB3"/>
    <w:rsid w:val="00FE1053"/>
    <w:rsid w:val="00FE6904"/>
    <w:rsid w:val="00FF2FC3"/>
    <w:rsid w:val="00FF5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141515"/>
    <w:rPr>
      <w:rFonts w:eastAsia="Times New Roman" w:cs="Times New Roman"/>
      <w:spacing w:val="0"/>
      <w:lang w:eastAsia="en-AU"/>
    </w:rPr>
  </w:style>
  <w:style w:type="paragraph" w:customStyle="1" w:styleId="Bullet2">
    <w:name w:val="Bullet 2"/>
    <w:basedOn w:val="ListBullet2"/>
    <w:link w:val="Bullet2Char"/>
    <w:qFormat/>
    <w:rsid w:val="00141515"/>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141515"/>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141515"/>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141515"/>
    <w:rPr>
      <w:rFonts w:eastAsia="Times New Roman" w:cs="Times New Roman"/>
      <w:spacing w:val="0"/>
      <w:lang w:eastAsia="en-AU"/>
    </w:rPr>
  </w:style>
  <w:style w:type="paragraph" w:customStyle="1" w:styleId="Bullet2">
    <w:name w:val="Bullet 2"/>
    <w:basedOn w:val="ListBullet2"/>
    <w:link w:val="Bullet2Char"/>
    <w:qFormat/>
    <w:rsid w:val="00141515"/>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141515"/>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141515"/>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ga.com.au/wp-content/uploads/EUA-Finance-for-the-Regions-Summary-Report-2013-12-02.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sustainablemelbournefund.com.au/services/environmental-upgrade-agre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3915A2-BE83-4128-8F35-6F4CF574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170</TotalTime>
  <Pages>8</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PBO - GRN064 - National Green Buildings Plan - 30 June 2016</vt:lpstr>
    </vt:vector>
  </TitlesOfParts>
  <Company>Parliament of Australia</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GRN064 - National Green Buildings Plan - 30 June 2016</dc:title>
  <dc:creator>Parliamentary Budget Office</dc:creator>
  <cp:lastModifiedBy>Milligan, Louise (PBO)</cp:lastModifiedBy>
  <cp:revision>39</cp:revision>
  <cp:lastPrinted>2016-06-30T10:13:00Z</cp:lastPrinted>
  <dcterms:created xsi:type="dcterms:W3CDTF">2016-06-23T04:53:00Z</dcterms:created>
  <dcterms:modified xsi:type="dcterms:W3CDTF">2016-06-30T12:06:00Z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