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7C297C" w:rsidP="00C17112">
      <w:pPr>
        <w:spacing w:before="1560" w:after="0" w:line="240" w:lineRule="auto"/>
        <w:rPr>
          <w:rFonts w:ascii="Times New Roman" w:hAnsi="Times New Roman" w:cs="Times New Roman"/>
          <w:sz w:val="24"/>
          <w:szCs w:val="24"/>
        </w:rPr>
      </w:pPr>
      <w:r w:rsidRPr="007C297C">
        <w:rPr>
          <w:rFonts w:ascii="Times New Roman" w:hAnsi="Times New Roman" w:cs="Times New Roman"/>
          <w:sz w:val="24"/>
          <w:szCs w:val="24"/>
        </w:rPr>
        <w:t>Senator Richard Di Natale</w:t>
      </w:r>
    </w:p>
    <w:p w:rsidR="007C297C" w:rsidRPr="007C297C" w:rsidRDefault="007C297C" w:rsidP="007C297C">
      <w:pPr>
        <w:spacing w:before="0" w:after="0" w:line="240" w:lineRule="auto"/>
        <w:rPr>
          <w:rFonts w:ascii="Times New Roman" w:hAnsi="Times New Roman" w:cs="Times New Roman"/>
          <w:sz w:val="24"/>
          <w:szCs w:val="24"/>
        </w:rPr>
      </w:pPr>
      <w:r w:rsidRPr="007C297C">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7C297C" w:rsidRPr="00002D5D" w:rsidRDefault="007C297C" w:rsidP="007C297C">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Pr>
          <w:rFonts w:ascii="Times New Roman" w:hAnsi="Times New Roman" w:cs="Times New Roman"/>
          <w:sz w:val="24"/>
          <w:szCs w:val="24"/>
        </w:rPr>
        <w:t>Senator Di Natale</w:t>
      </w:r>
    </w:p>
    <w:p w:rsidR="00040DCE" w:rsidRPr="00002D5D" w:rsidRDefault="00040DCE" w:rsidP="00C17112">
      <w:pPr>
        <w:pStyle w:val="Lettertext"/>
      </w:pPr>
      <w:r w:rsidRPr="00002D5D">
        <w:t xml:space="preserve">Please find attached a response to your costing request, </w:t>
      </w:r>
      <w:r w:rsidR="00123DFD" w:rsidRPr="00123DFD">
        <w:rPr>
          <w:i/>
        </w:rPr>
        <w:t>Protecting Our Precious Places</w:t>
      </w:r>
      <w:r w:rsidRPr="00002D5D">
        <w:t xml:space="preserve"> (letter of </w:t>
      </w:r>
      <w:r w:rsidR="00123DFD">
        <w:t>30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0A57FC" w:rsidP="000A57FC">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123DFD">
        <w:rPr>
          <w:rFonts w:ascii="Times New Roman" w:hAnsi="Times New Roman" w:cs="Times New Roman"/>
          <w:sz w:val="24"/>
          <w:szCs w:val="24"/>
        </w:rPr>
        <w:t xml:space="preserve">June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2802"/>
        <w:gridCol w:w="5538"/>
      </w:tblGrid>
      <w:tr w:rsidR="004D5525" w:rsidRPr="00D33B17" w:rsidTr="00991786">
        <w:trPr>
          <w:cnfStyle w:val="100000000000" w:firstRow="1" w:lastRow="0" w:firstColumn="0" w:lastColumn="0" w:oddVBand="0" w:evenVBand="0" w:oddHBand="0" w:evenHBand="0" w:firstRowFirstColumn="0" w:firstRowLastColumn="0" w:lastRowFirstColumn="0" w:lastRowLastColumn="0"/>
        </w:trPr>
        <w:tc>
          <w:tcPr>
            <w:tcW w:w="2802" w:type="dxa"/>
          </w:tcPr>
          <w:p w:rsidR="004D5525" w:rsidRPr="00D33B17" w:rsidRDefault="004D5525" w:rsidP="004D5525">
            <w:pPr>
              <w:pStyle w:val="BodyText"/>
              <w:rPr>
                <w:sz w:val="22"/>
              </w:rPr>
            </w:pPr>
            <w:bookmarkStart w:id="0" w:name="_GoBack"/>
            <w:r w:rsidRPr="00D33B17">
              <w:rPr>
                <w:sz w:val="22"/>
              </w:rPr>
              <w:t>Name of proposal:</w:t>
            </w:r>
          </w:p>
        </w:tc>
        <w:tc>
          <w:tcPr>
            <w:tcW w:w="5538" w:type="dxa"/>
          </w:tcPr>
          <w:p w:rsidR="004D5525" w:rsidRPr="00D33B17" w:rsidRDefault="00123DFD" w:rsidP="007C297C">
            <w:pPr>
              <w:pStyle w:val="BodyText"/>
              <w:rPr>
                <w:sz w:val="22"/>
              </w:rPr>
            </w:pPr>
            <w:r w:rsidRPr="00D33B17">
              <w:rPr>
                <w:sz w:val="22"/>
              </w:rPr>
              <w:t>Protecting Our Precious Places</w:t>
            </w:r>
          </w:p>
        </w:tc>
      </w:tr>
      <w:bookmarkEnd w:id="0"/>
      <w:tr w:rsidR="007C297C" w:rsidTr="00991786">
        <w:tc>
          <w:tcPr>
            <w:tcW w:w="2802" w:type="dxa"/>
          </w:tcPr>
          <w:p w:rsidR="007C297C" w:rsidRDefault="007C297C" w:rsidP="004D5525">
            <w:pPr>
              <w:pStyle w:val="BodyText"/>
            </w:pPr>
            <w:r>
              <w:t>Summary of proposal:</w:t>
            </w:r>
          </w:p>
        </w:tc>
        <w:tc>
          <w:tcPr>
            <w:tcW w:w="5538" w:type="dxa"/>
          </w:tcPr>
          <w:p w:rsidR="007C297C" w:rsidRDefault="007C297C" w:rsidP="007C297C">
            <w:pPr>
              <w:spacing w:before="120" w:after="120"/>
            </w:pPr>
            <w:r w:rsidRPr="00916D5F">
              <w:rPr>
                <w:rFonts w:eastAsia="Times New Roman" w:cs="Times New Roman"/>
                <w:lang w:eastAsia="en-AU"/>
              </w:rPr>
              <w:t>The proposal includes the following components</w:t>
            </w:r>
            <w:r>
              <w:t>:</w:t>
            </w:r>
          </w:p>
          <w:p w:rsidR="007C297C" w:rsidRPr="00916D5F" w:rsidRDefault="007C297C" w:rsidP="007C297C">
            <w:pPr>
              <w:spacing w:before="120" w:after="120"/>
              <w:rPr>
                <w:rFonts w:eastAsia="Times New Roman" w:cs="Times New Roman"/>
                <w:u w:val="single"/>
                <w:lang w:eastAsia="en-AU"/>
              </w:rPr>
            </w:pPr>
            <w:r w:rsidRPr="00916D5F">
              <w:rPr>
                <w:rFonts w:eastAsia="Times New Roman" w:cs="Times New Roman"/>
                <w:u w:val="single"/>
                <w:lang w:eastAsia="en-AU"/>
              </w:rPr>
              <w:t xml:space="preserve">Component 1: Taskforce to create </w:t>
            </w:r>
            <w:r w:rsidR="00991786">
              <w:rPr>
                <w:rFonts w:eastAsia="Times New Roman" w:cs="Times New Roman"/>
                <w:u w:val="single"/>
                <w:lang w:eastAsia="en-AU"/>
              </w:rPr>
              <w:t xml:space="preserve">a </w:t>
            </w:r>
            <w:r w:rsidRPr="00916D5F">
              <w:rPr>
                <w:rFonts w:eastAsia="Times New Roman" w:cs="Times New Roman"/>
                <w:u w:val="single"/>
                <w:lang w:eastAsia="en-AU"/>
              </w:rPr>
              <w:t>new Environment Act</w:t>
            </w:r>
          </w:p>
          <w:p w:rsidR="007C297C" w:rsidRPr="00C9041C" w:rsidRDefault="007C297C" w:rsidP="000A57FC">
            <w:pPr>
              <w:pStyle w:val="Bullet1"/>
              <w:ind w:left="284" w:hanging="284"/>
              <w:rPr>
                <w:u w:val="single"/>
              </w:rPr>
            </w:pPr>
            <w:r w:rsidRPr="00916D5F">
              <w:t>This component would provide $2 million in 2016-17</w:t>
            </w:r>
            <w:r>
              <w:t>.</w:t>
            </w:r>
          </w:p>
          <w:p w:rsidR="007C297C" w:rsidRPr="00916D5F" w:rsidRDefault="007C297C" w:rsidP="007C297C">
            <w:pPr>
              <w:spacing w:before="120" w:after="120"/>
              <w:rPr>
                <w:rFonts w:eastAsia="Times New Roman" w:cs="Times New Roman"/>
                <w:u w:val="single"/>
                <w:lang w:eastAsia="en-AU"/>
              </w:rPr>
            </w:pPr>
            <w:r w:rsidRPr="00916D5F">
              <w:rPr>
                <w:rFonts w:eastAsia="Times New Roman" w:cs="Times New Roman"/>
                <w:u w:val="single"/>
                <w:lang w:eastAsia="en-AU"/>
              </w:rPr>
              <w:t>Component 2: Establish</w:t>
            </w:r>
            <w:r w:rsidR="00991786">
              <w:rPr>
                <w:rFonts w:eastAsia="Times New Roman" w:cs="Times New Roman"/>
                <w:u w:val="single"/>
                <w:lang w:eastAsia="en-AU"/>
              </w:rPr>
              <w:t xml:space="preserve"> </w:t>
            </w:r>
            <w:r w:rsidR="00D4177D">
              <w:rPr>
                <w:rFonts w:eastAsia="Times New Roman" w:cs="Times New Roman"/>
                <w:u w:val="single"/>
                <w:lang w:eastAsia="en-AU"/>
              </w:rPr>
              <w:t xml:space="preserve">a </w:t>
            </w:r>
            <w:r w:rsidR="00991786" w:rsidRPr="00991786">
              <w:rPr>
                <w:rFonts w:eastAsia="Times New Roman" w:cs="Times New Roman"/>
                <w:u w:val="single"/>
                <w:lang w:eastAsia="en-AU"/>
              </w:rPr>
              <w:t>new independent National Environment Protection Authority (NEPA)</w:t>
            </w:r>
          </w:p>
          <w:p w:rsidR="007C297C" w:rsidRPr="00996603" w:rsidRDefault="007C297C" w:rsidP="000A57FC">
            <w:pPr>
              <w:pStyle w:val="Bullet1"/>
              <w:ind w:left="284" w:hanging="284"/>
              <w:rPr>
                <w:szCs w:val="20"/>
              </w:rPr>
            </w:pPr>
            <w:r w:rsidRPr="003A6C45">
              <w:t xml:space="preserve">This </w:t>
            </w:r>
            <w:r w:rsidRPr="00996603">
              <w:rPr>
                <w:szCs w:val="20"/>
              </w:rPr>
              <w:t xml:space="preserve">component would provide $130 million per </w:t>
            </w:r>
            <w:r w:rsidR="00860375">
              <w:rPr>
                <w:szCs w:val="20"/>
              </w:rPr>
              <w:t>year</w:t>
            </w:r>
            <w:r w:rsidRPr="00996603">
              <w:rPr>
                <w:szCs w:val="20"/>
              </w:rPr>
              <w:t xml:space="preserve">.  </w:t>
            </w:r>
            <w:r w:rsidRPr="00407CE7">
              <w:t>All funds from Dep</w:t>
            </w:r>
            <w:r>
              <w:t>artmen</w:t>
            </w:r>
            <w:r w:rsidRPr="00407CE7">
              <w:t xml:space="preserve">t of </w:t>
            </w:r>
            <w:r>
              <w:t>the Environment</w:t>
            </w:r>
            <w:r w:rsidRPr="00407CE7">
              <w:t xml:space="preserve"> </w:t>
            </w:r>
            <w:r>
              <w:t>P</w:t>
            </w:r>
            <w:r w:rsidRPr="00407CE7">
              <w:t xml:space="preserve">rogram 1.5 </w:t>
            </w:r>
            <w:r>
              <w:t>would</w:t>
            </w:r>
            <w:r w:rsidRPr="00407CE7">
              <w:t xml:space="preserve"> be transfer</w:t>
            </w:r>
            <w:r>
              <w:t xml:space="preserve">red to the new </w:t>
            </w:r>
            <w:r w:rsidR="007C400A">
              <w:t>N</w:t>
            </w:r>
            <w:r>
              <w:t>EPA.  Any s</w:t>
            </w:r>
            <w:r w:rsidRPr="00407CE7">
              <w:t>hortfall w</w:t>
            </w:r>
            <w:r>
              <w:t>ould</w:t>
            </w:r>
            <w:r w:rsidRPr="00407CE7">
              <w:t xml:space="preserve"> be covered by new funding</w:t>
            </w:r>
            <w:r>
              <w:t>.</w:t>
            </w:r>
          </w:p>
          <w:p w:rsidR="007C297C" w:rsidRDefault="007C297C" w:rsidP="007C297C">
            <w:pPr>
              <w:spacing w:before="120" w:after="120"/>
              <w:rPr>
                <w:rFonts w:eastAsia="Times New Roman"/>
                <w:szCs w:val="20"/>
                <w:u w:val="single"/>
                <w:lang w:eastAsia="en-AU"/>
              </w:rPr>
            </w:pPr>
            <w:r w:rsidRPr="003A6C45">
              <w:rPr>
                <w:rFonts w:eastAsia="Times New Roman"/>
                <w:szCs w:val="20"/>
                <w:u w:val="single"/>
                <w:lang w:eastAsia="en-AU"/>
              </w:rPr>
              <w:t xml:space="preserve">Component 3: </w:t>
            </w:r>
            <w:r>
              <w:rPr>
                <w:rFonts w:eastAsia="Times New Roman"/>
                <w:szCs w:val="20"/>
                <w:u w:val="single"/>
                <w:lang w:eastAsia="en-AU"/>
              </w:rPr>
              <w:t xml:space="preserve">Restore </w:t>
            </w:r>
            <w:r w:rsidRPr="003A6C45">
              <w:rPr>
                <w:rFonts w:eastAsia="Times New Roman"/>
                <w:szCs w:val="20"/>
                <w:u w:val="single"/>
                <w:lang w:eastAsia="en-AU"/>
              </w:rPr>
              <w:t>Biodiversity Fund</w:t>
            </w:r>
          </w:p>
          <w:p w:rsidR="007C297C" w:rsidRPr="00C9041C" w:rsidRDefault="007C297C" w:rsidP="000A57FC">
            <w:pPr>
              <w:pStyle w:val="Bullet1"/>
              <w:ind w:left="284" w:hanging="284"/>
            </w:pPr>
            <w:r w:rsidRPr="00C9041C">
              <w:t>This component would provide $2 billion in funding over six</w:t>
            </w:r>
            <w:r>
              <w:t> </w:t>
            </w:r>
            <w:r w:rsidRPr="00C9041C">
              <w:t>years, with $1 billion to be injected immediately and $1</w:t>
            </w:r>
            <w:r>
              <w:t> </w:t>
            </w:r>
            <w:r w:rsidRPr="00C9041C">
              <w:t xml:space="preserve">billion invested in the first year beyond the </w:t>
            </w:r>
            <w:r w:rsidR="007C400A">
              <w:t>2016</w:t>
            </w:r>
            <w:r w:rsidR="007C400A">
              <w:noBreakHyphen/>
              <w:t xml:space="preserve">17 Budget </w:t>
            </w:r>
            <w:r w:rsidRPr="00C9041C">
              <w:t>forward estimates</w:t>
            </w:r>
            <w:r w:rsidR="007C400A">
              <w:t xml:space="preserve"> period</w:t>
            </w:r>
            <w:r w:rsidRPr="00C9041C">
              <w:t>.</w:t>
            </w:r>
          </w:p>
          <w:p w:rsidR="007C297C" w:rsidRDefault="007C297C" w:rsidP="007C297C">
            <w:pPr>
              <w:spacing w:before="120" w:after="120"/>
              <w:rPr>
                <w:u w:val="single"/>
              </w:rPr>
            </w:pPr>
            <w:r>
              <w:rPr>
                <w:rFonts w:eastAsia="Times New Roman"/>
                <w:szCs w:val="20"/>
                <w:u w:val="single"/>
                <w:lang w:eastAsia="en-AU"/>
              </w:rPr>
              <w:t xml:space="preserve">Component 4: </w:t>
            </w:r>
            <w:r w:rsidRPr="003A6C45">
              <w:rPr>
                <w:u w:val="single"/>
              </w:rPr>
              <w:t>Threatened species – habitat mapping</w:t>
            </w:r>
          </w:p>
          <w:p w:rsidR="007C297C" w:rsidRPr="003A6C45" w:rsidRDefault="007C297C" w:rsidP="000A57FC">
            <w:pPr>
              <w:pStyle w:val="Bullet1"/>
              <w:ind w:left="284" w:hanging="284"/>
            </w:pPr>
            <w:r w:rsidRPr="003A6C45">
              <w:t>This</w:t>
            </w:r>
            <w:r>
              <w:t xml:space="preserve"> component would provide </w:t>
            </w:r>
            <w:r w:rsidRPr="00067D6B">
              <w:t xml:space="preserve">$30 million per </w:t>
            </w:r>
            <w:r w:rsidR="00860375">
              <w:t>year</w:t>
            </w:r>
            <w:r w:rsidR="00860375" w:rsidRPr="00067D6B">
              <w:t xml:space="preserve"> </w:t>
            </w:r>
            <w:r w:rsidRPr="00067D6B">
              <w:t>for three years for comprehensive studies to identify and map important habitat, bioregional planning and other matters</w:t>
            </w:r>
            <w:r>
              <w:t>.</w:t>
            </w:r>
          </w:p>
          <w:p w:rsidR="007C297C" w:rsidRPr="003A6C45" w:rsidRDefault="007C297C" w:rsidP="007C297C">
            <w:pPr>
              <w:pStyle w:val="Bullet1"/>
              <w:numPr>
                <w:ilvl w:val="0"/>
                <w:numId w:val="0"/>
              </w:numPr>
              <w:spacing w:before="120" w:after="120"/>
              <w:rPr>
                <w:u w:val="single"/>
              </w:rPr>
            </w:pPr>
            <w:r>
              <w:rPr>
                <w:u w:val="single"/>
              </w:rPr>
              <w:t xml:space="preserve">Component 5: </w:t>
            </w:r>
            <w:r w:rsidRPr="003A6C45">
              <w:rPr>
                <w:u w:val="single"/>
              </w:rPr>
              <w:t>Threatened species – listing, recovery plans and research</w:t>
            </w:r>
          </w:p>
          <w:p w:rsidR="007C297C" w:rsidRDefault="007C297C" w:rsidP="000A57FC">
            <w:pPr>
              <w:pStyle w:val="Bullet1"/>
              <w:ind w:left="284" w:hanging="284"/>
            </w:pPr>
            <w:r>
              <w:t xml:space="preserve">This component would provide $10 million per </w:t>
            </w:r>
            <w:r w:rsidR="00860375">
              <w:t xml:space="preserve">year </w:t>
            </w:r>
            <w:r>
              <w:t>to:</w:t>
            </w:r>
          </w:p>
          <w:p w:rsidR="007C297C" w:rsidRPr="00916D5F" w:rsidRDefault="007C297C" w:rsidP="000A57FC">
            <w:pPr>
              <w:pStyle w:val="Bullet2"/>
              <w:ind w:left="568" w:hanging="284"/>
            </w:pPr>
            <w:r w:rsidRPr="00916D5F">
              <w:t>support the rapid listing of all species and ecological communities which belong on the threatened list</w:t>
            </w:r>
          </w:p>
          <w:p w:rsidR="007C297C" w:rsidRPr="00916D5F" w:rsidRDefault="007C297C" w:rsidP="000A57FC">
            <w:pPr>
              <w:pStyle w:val="Bullet2"/>
              <w:ind w:left="568" w:hanging="284"/>
            </w:pPr>
            <w:r w:rsidRPr="00916D5F">
              <w:t>develop and resource the implementation of recovery plans and threat abatement plans for listed species and ecological communities</w:t>
            </w:r>
          </w:p>
          <w:p w:rsidR="007C297C" w:rsidRPr="00916D5F" w:rsidRDefault="007C297C" w:rsidP="000A57FC">
            <w:pPr>
              <w:pStyle w:val="Bullet2"/>
              <w:ind w:left="568" w:hanging="284"/>
            </w:pPr>
            <w:proofErr w:type="gramStart"/>
            <w:r w:rsidRPr="00916D5F">
              <w:t>fund</w:t>
            </w:r>
            <w:proofErr w:type="gramEnd"/>
            <w:r w:rsidRPr="00916D5F">
              <w:t xml:space="preserve"> additional research.</w:t>
            </w:r>
          </w:p>
          <w:p w:rsidR="007C297C" w:rsidRDefault="007C297C" w:rsidP="007C297C">
            <w:pPr>
              <w:pStyle w:val="Bullet1"/>
              <w:numPr>
                <w:ilvl w:val="0"/>
                <w:numId w:val="0"/>
              </w:numPr>
              <w:spacing w:before="120" w:after="120"/>
              <w:rPr>
                <w:u w:val="single"/>
              </w:rPr>
            </w:pPr>
            <w:r>
              <w:rPr>
                <w:u w:val="single"/>
              </w:rPr>
              <w:t xml:space="preserve">Component 6: </w:t>
            </w:r>
            <w:r w:rsidRPr="003A6C45">
              <w:rPr>
                <w:u w:val="single"/>
              </w:rPr>
              <w:t>Reform Federal Court system</w:t>
            </w:r>
          </w:p>
          <w:p w:rsidR="00D4177D" w:rsidRDefault="007C297C" w:rsidP="000A57FC">
            <w:pPr>
              <w:pStyle w:val="Bullet1"/>
              <w:ind w:left="284" w:hanging="284"/>
            </w:pPr>
            <w:r w:rsidRPr="003A6C45">
              <w:t>This</w:t>
            </w:r>
            <w:r>
              <w:t xml:space="preserve"> </w:t>
            </w:r>
            <w:r w:rsidRPr="007C400A">
              <w:t>component</w:t>
            </w:r>
            <w:r>
              <w:t xml:space="preserve"> would provide </w:t>
            </w:r>
            <w:r w:rsidRPr="00E815D4">
              <w:t>$2 million over four years to</w:t>
            </w:r>
            <w:r>
              <w:t xml:space="preserve"> allow </w:t>
            </w:r>
            <w:r w:rsidRPr="00E815D4">
              <w:t>better access to justice.</w:t>
            </w:r>
          </w:p>
          <w:p w:rsidR="007C297C" w:rsidRDefault="007C297C" w:rsidP="007C297C">
            <w:pPr>
              <w:pStyle w:val="Bullet1"/>
              <w:numPr>
                <w:ilvl w:val="0"/>
                <w:numId w:val="0"/>
              </w:numPr>
              <w:spacing w:before="120" w:after="120"/>
              <w:rPr>
                <w:u w:val="single"/>
              </w:rPr>
            </w:pPr>
            <w:r w:rsidRPr="003F41FD">
              <w:rPr>
                <w:u w:val="single"/>
              </w:rPr>
              <w:lastRenderedPageBreak/>
              <w:t xml:space="preserve">Component </w:t>
            </w:r>
            <w:r>
              <w:rPr>
                <w:u w:val="single"/>
              </w:rPr>
              <w:t>7</w:t>
            </w:r>
            <w:r w:rsidRPr="003F41FD">
              <w:rPr>
                <w:u w:val="single"/>
              </w:rPr>
              <w:t xml:space="preserve">: </w:t>
            </w:r>
            <w:r>
              <w:rPr>
                <w:u w:val="single"/>
              </w:rPr>
              <w:t>World Heritage Areas (</w:t>
            </w:r>
            <w:r w:rsidRPr="003A6C45">
              <w:rPr>
                <w:u w:val="single"/>
              </w:rPr>
              <w:t>WHA</w:t>
            </w:r>
            <w:r>
              <w:rPr>
                <w:u w:val="single"/>
              </w:rPr>
              <w:t>s)</w:t>
            </w:r>
            <w:r w:rsidRPr="003A6C45">
              <w:rPr>
                <w:u w:val="single"/>
              </w:rPr>
              <w:t xml:space="preserve"> and </w:t>
            </w:r>
            <w:proofErr w:type="spellStart"/>
            <w:r w:rsidR="00860375">
              <w:rPr>
                <w:u w:val="single"/>
              </w:rPr>
              <w:t>Ramsar</w:t>
            </w:r>
            <w:proofErr w:type="spellEnd"/>
            <w:r w:rsidR="00860375" w:rsidRPr="003A6C45">
              <w:rPr>
                <w:u w:val="single"/>
              </w:rPr>
              <w:t xml:space="preserve"> </w:t>
            </w:r>
            <w:r w:rsidR="009F4756">
              <w:rPr>
                <w:u w:val="single"/>
              </w:rPr>
              <w:t xml:space="preserve">Convention </w:t>
            </w:r>
            <w:r w:rsidRPr="003A6C45">
              <w:rPr>
                <w:u w:val="single"/>
              </w:rPr>
              <w:t>review</w:t>
            </w:r>
          </w:p>
          <w:p w:rsidR="007C297C" w:rsidRDefault="007C297C" w:rsidP="000A57FC">
            <w:pPr>
              <w:pStyle w:val="Bullet1"/>
              <w:ind w:left="284" w:hanging="284"/>
            </w:pPr>
            <w:r w:rsidRPr="003A6C45">
              <w:t>This</w:t>
            </w:r>
            <w:r>
              <w:t xml:space="preserve"> </w:t>
            </w:r>
            <w:r w:rsidRPr="007C400A">
              <w:t>component</w:t>
            </w:r>
            <w:r>
              <w:t xml:space="preserve"> would provide the </w:t>
            </w:r>
            <w:r w:rsidR="00D4177D">
              <w:t>N</w:t>
            </w:r>
            <w:r>
              <w:t>EPA with additional funding of:</w:t>
            </w:r>
          </w:p>
          <w:p w:rsidR="007C297C" w:rsidRPr="00916D5F" w:rsidRDefault="007C297C" w:rsidP="000A57FC">
            <w:pPr>
              <w:pStyle w:val="Bullet2"/>
              <w:ind w:left="568" w:hanging="284"/>
            </w:pPr>
            <w:r w:rsidRPr="00916D5F">
              <w:t>$3 million in 2016-17 for a review of WHAs</w:t>
            </w:r>
          </w:p>
          <w:p w:rsidR="007C297C" w:rsidRDefault="007C297C" w:rsidP="000A57FC">
            <w:pPr>
              <w:pStyle w:val="Bullet2"/>
              <w:ind w:left="568" w:hanging="284"/>
            </w:pPr>
            <w:r w:rsidRPr="00916D5F">
              <w:t>$20 million per year for three years from 2017-18 to implement results of the review to improve protection of heritage values.</w:t>
            </w:r>
          </w:p>
          <w:p w:rsidR="00991786" w:rsidRDefault="00991786" w:rsidP="00991786">
            <w:pPr>
              <w:pStyle w:val="Bullet1"/>
              <w:numPr>
                <w:ilvl w:val="0"/>
                <w:numId w:val="0"/>
              </w:numPr>
              <w:spacing w:before="120" w:after="120"/>
              <w:rPr>
                <w:u w:val="single"/>
              </w:rPr>
            </w:pPr>
            <w:r w:rsidRPr="003F41FD">
              <w:rPr>
                <w:u w:val="single"/>
              </w:rPr>
              <w:t xml:space="preserve">Component </w:t>
            </w:r>
            <w:r>
              <w:rPr>
                <w:u w:val="single"/>
              </w:rPr>
              <w:t>8</w:t>
            </w:r>
            <w:r w:rsidRPr="003F41FD">
              <w:rPr>
                <w:u w:val="single"/>
              </w:rPr>
              <w:t xml:space="preserve">: </w:t>
            </w:r>
            <w:r w:rsidRPr="007C400A">
              <w:rPr>
                <w:u w:val="single"/>
              </w:rPr>
              <w:t>Yellow Crazy Ant eradication</w:t>
            </w:r>
          </w:p>
          <w:p w:rsidR="00991786" w:rsidRDefault="00991786" w:rsidP="000A57FC">
            <w:pPr>
              <w:pStyle w:val="Bullet1"/>
              <w:ind w:left="284" w:hanging="284"/>
            </w:pPr>
            <w:r>
              <w:t xml:space="preserve">This component would provide funding over 10 years to the </w:t>
            </w:r>
            <w:r w:rsidR="007C400A" w:rsidRPr="00D4177D">
              <w:t>Wet Tropics Management Authority (</w:t>
            </w:r>
            <w:r w:rsidRPr="00D4177D">
              <w:t>WTMA</w:t>
            </w:r>
            <w:r w:rsidR="007C400A" w:rsidRPr="00D4177D">
              <w:t>)</w:t>
            </w:r>
            <w:r>
              <w:t xml:space="preserve"> to deliver Yellow Crazy Ant eradication programs.</w:t>
            </w:r>
          </w:p>
          <w:p w:rsidR="00991786" w:rsidRPr="00991786" w:rsidRDefault="00991786" w:rsidP="000A57FC">
            <w:pPr>
              <w:pStyle w:val="Bullet2"/>
              <w:ind w:left="568" w:hanging="284"/>
            </w:pPr>
            <w:r>
              <w:t xml:space="preserve">The funding would be $5.0 million per year for three years (2016-17 to 2018-19) and $2.5 million per year for the following seven years, </w:t>
            </w:r>
            <w:r w:rsidR="00860375">
              <w:t xml:space="preserve">with the latter 7 years </w:t>
            </w:r>
            <w:r>
              <w:t>to be matched by the Queensland State Government.</w:t>
            </w:r>
          </w:p>
          <w:p w:rsidR="007C297C" w:rsidRPr="007C297C" w:rsidRDefault="007C297C" w:rsidP="007C297C">
            <w:pPr>
              <w:pStyle w:val="Bullet1"/>
              <w:keepNext/>
              <w:numPr>
                <w:ilvl w:val="0"/>
                <w:numId w:val="0"/>
              </w:numPr>
              <w:spacing w:before="120" w:after="120" w:line="240" w:lineRule="auto"/>
            </w:pPr>
            <w:r w:rsidRPr="007C297C">
              <w:t>The proposal would have effect from 1 September 2016.</w:t>
            </w:r>
          </w:p>
        </w:tc>
      </w:tr>
      <w:tr w:rsidR="004D5525" w:rsidTr="00991786">
        <w:tc>
          <w:tcPr>
            <w:tcW w:w="2802" w:type="dxa"/>
          </w:tcPr>
          <w:p w:rsidR="004D5525" w:rsidRDefault="004D5525" w:rsidP="004D5525">
            <w:pPr>
              <w:pStyle w:val="BodyText"/>
            </w:pPr>
            <w:r>
              <w:lastRenderedPageBreak/>
              <w:t>Person/party requesting costing:</w:t>
            </w:r>
          </w:p>
        </w:tc>
        <w:tc>
          <w:tcPr>
            <w:tcW w:w="5538" w:type="dxa"/>
          </w:tcPr>
          <w:p w:rsidR="004D5525" w:rsidRDefault="007C297C" w:rsidP="004D5525">
            <w:pPr>
              <w:pStyle w:val="BodyText"/>
            </w:pPr>
            <w:r w:rsidRPr="007C297C">
              <w:t>Senator Richard Di Natale, Australian Greens</w:t>
            </w:r>
          </w:p>
        </w:tc>
      </w:tr>
      <w:tr w:rsidR="00B43EFB" w:rsidTr="00991786">
        <w:tc>
          <w:tcPr>
            <w:tcW w:w="2802" w:type="dxa"/>
          </w:tcPr>
          <w:p w:rsidR="00B43EFB" w:rsidRDefault="00B43EFB" w:rsidP="00060F22">
            <w:pPr>
              <w:pStyle w:val="BodyText"/>
            </w:pPr>
            <w:r>
              <w:t>Date of public release of policy:</w:t>
            </w:r>
          </w:p>
        </w:tc>
        <w:tc>
          <w:tcPr>
            <w:tcW w:w="5538" w:type="dxa"/>
          </w:tcPr>
          <w:p w:rsidR="00D4177D" w:rsidRDefault="00D4177D" w:rsidP="000507CB">
            <w:pPr>
              <w:pStyle w:val="TableTextCentred"/>
              <w:jc w:val="left"/>
              <w:rPr>
                <w:sz w:val="22"/>
              </w:rPr>
            </w:pPr>
            <w:r>
              <w:rPr>
                <w:sz w:val="22"/>
              </w:rPr>
              <w:t>5 June 2016</w:t>
            </w:r>
          </w:p>
          <w:p w:rsidR="00B43EFB" w:rsidRDefault="00482627" w:rsidP="000507CB">
            <w:pPr>
              <w:pStyle w:val="TableTextCentred"/>
              <w:jc w:val="left"/>
              <w:rPr>
                <w:sz w:val="22"/>
              </w:rPr>
            </w:pPr>
            <w:hyperlink r:id="rId13" w:history="1">
              <w:r w:rsidR="00B43EFB" w:rsidRPr="00266054">
                <w:rPr>
                  <w:rStyle w:val="Hyperlink"/>
                  <w:sz w:val="22"/>
                </w:rPr>
                <w:t>http://greens.org.au/wildlife</w:t>
              </w:r>
            </w:hyperlink>
            <w:r w:rsidR="00B43EFB">
              <w:rPr>
                <w:sz w:val="22"/>
              </w:rPr>
              <w:t xml:space="preserve"> </w:t>
            </w:r>
          </w:p>
          <w:p w:rsidR="00B43EFB" w:rsidRDefault="00B43EFB" w:rsidP="000507CB">
            <w:pPr>
              <w:pStyle w:val="TableTextCentred"/>
              <w:jc w:val="left"/>
              <w:rPr>
                <w:sz w:val="22"/>
              </w:rPr>
            </w:pPr>
            <w:r>
              <w:rPr>
                <w:sz w:val="22"/>
              </w:rPr>
              <w:t xml:space="preserve">23 June 2016 </w:t>
            </w:r>
          </w:p>
          <w:p w:rsidR="00B43EFB" w:rsidRPr="00CB40E1" w:rsidRDefault="00482627" w:rsidP="000507CB">
            <w:pPr>
              <w:pStyle w:val="TableTextCentred"/>
              <w:jc w:val="left"/>
              <w:rPr>
                <w:sz w:val="22"/>
              </w:rPr>
            </w:pPr>
            <w:hyperlink r:id="rId14" w:history="1">
              <w:r w:rsidR="00B43EFB" w:rsidRPr="00266054">
                <w:rPr>
                  <w:rStyle w:val="Hyperlink"/>
                  <w:sz w:val="22"/>
                </w:rPr>
                <w:t>http://greens.org.au/news/qld/greens-commit-full-funding-eradicate-yellow-crazy-ants-while-other-parties-make-half</w:t>
              </w:r>
            </w:hyperlink>
          </w:p>
        </w:tc>
      </w:tr>
      <w:tr w:rsidR="004D5525" w:rsidTr="00991786">
        <w:tc>
          <w:tcPr>
            <w:tcW w:w="2802" w:type="dxa"/>
          </w:tcPr>
          <w:p w:rsidR="004D5525" w:rsidRDefault="004D5525" w:rsidP="004D5525">
            <w:pPr>
              <w:pStyle w:val="BodyText"/>
            </w:pPr>
            <w:r>
              <w:t>Date costing request received:</w:t>
            </w:r>
          </w:p>
        </w:tc>
        <w:tc>
          <w:tcPr>
            <w:tcW w:w="5538" w:type="dxa"/>
          </w:tcPr>
          <w:p w:rsidR="004D5525" w:rsidRDefault="00A9688E" w:rsidP="004D5525">
            <w:pPr>
              <w:pStyle w:val="BodyText"/>
            </w:pPr>
            <w:r>
              <w:t>30 June 2016</w:t>
            </w:r>
          </w:p>
        </w:tc>
      </w:tr>
      <w:tr w:rsidR="004D5525" w:rsidTr="00991786">
        <w:tc>
          <w:tcPr>
            <w:tcW w:w="2802" w:type="dxa"/>
          </w:tcPr>
          <w:p w:rsidR="004D5525" w:rsidRDefault="004D5525" w:rsidP="004D5525">
            <w:pPr>
              <w:pStyle w:val="BodyText"/>
            </w:pPr>
            <w:r>
              <w:t>Date costing completed</w:t>
            </w:r>
            <w:r w:rsidR="000A57FC">
              <w:t>:</w:t>
            </w:r>
          </w:p>
        </w:tc>
        <w:tc>
          <w:tcPr>
            <w:tcW w:w="5538" w:type="dxa"/>
          </w:tcPr>
          <w:p w:rsidR="004D5525" w:rsidRPr="00C17112" w:rsidRDefault="00A9688E" w:rsidP="004D5525">
            <w:pPr>
              <w:pStyle w:val="BodyText"/>
            </w:pPr>
            <w:r>
              <w:t>30 June 2016</w:t>
            </w:r>
          </w:p>
        </w:tc>
      </w:tr>
      <w:tr w:rsidR="004D5525" w:rsidTr="00991786">
        <w:tc>
          <w:tcPr>
            <w:tcW w:w="2802" w:type="dxa"/>
          </w:tcPr>
          <w:p w:rsidR="004D5525" w:rsidRPr="00220BE5" w:rsidRDefault="004D5525" w:rsidP="004D5525">
            <w:pPr>
              <w:pStyle w:val="BodyText"/>
            </w:pPr>
            <w:r w:rsidRPr="00220BE5">
              <w:t>Expiry date for the costing:</w:t>
            </w:r>
          </w:p>
        </w:tc>
        <w:tc>
          <w:tcPr>
            <w:tcW w:w="5538" w:type="dxa"/>
          </w:tcPr>
          <w:p w:rsidR="004D5525" w:rsidRPr="00220BE5" w:rsidRDefault="00F4535C" w:rsidP="00220BE5">
            <w:pPr>
              <w:pStyle w:val="BodyText"/>
            </w:pPr>
            <w:r>
              <w:t>Release of the next economic and fiscal outlook report</w:t>
            </w:r>
          </w:p>
        </w:tc>
      </w:tr>
    </w:tbl>
    <w:p w:rsidR="0055581F" w:rsidRPr="00002D5D" w:rsidRDefault="008030EC" w:rsidP="00FC6579">
      <w:pPr>
        <w:pStyle w:val="Heading2"/>
      </w:pPr>
      <w:r w:rsidRPr="00002D5D">
        <w:t>Costing overview</w:t>
      </w:r>
    </w:p>
    <w:p w:rsidR="007C297C" w:rsidRDefault="007C297C" w:rsidP="007C297C">
      <w:r>
        <w:t xml:space="preserve">This proposal would decrease both the </w:t>
      </w:r>
      <w:r w:rsidR="007C400A">
        <w:t xml:space="preserve">fiscal and </w:t>
      </w:r>
      <w:r>
        <w:t>underlying cash balances by $</w:t>
      </w:r>
      <w:r w:rsidR="00706991" w:rsidRPr="00706991">
        <w:t>1,523.2</w:t>
      </w:r>
      <w:r w:rsidR="00706991">
        <w:t> </w:t>
      </w:r>
      <w:r>
        <w:t>million over the 2016-17 Budget forward estimates period.  This impact reflects an increase in administered expen</w:t>
      </w:r>
      <w:r w:rsidR="007C400A">
        <w:t>ses</w:t>
      </w:r>
      <w:r>
        <w:t xml:space="preserve"> of $1,</w:t>
      </w:r>
      <w:r w:rsidR="00706991">
        <w:t>024.1</w:t>
      </w:r>
      <w:r>
        <w:t xml:space="preserve"> million and an increase in departmental expen</w:t>
      </w:r>
      <w:r w:rsidR="007C400A">
        <w:t>ses</w:t>
      </w:r>
      <w:r>
        <w:t xml:space="preserve"> of $499</w:t>
      </w:r>
      <w:r w:rsidR="00706991">
        <w:t>.1</w:t>
      </w:r>
      <w:r>
        <w:t xml:space="preserve"> million over this period.</w:t>
      </w:r>
    </w:p>
    <w:p w:rsidR="007C297C" w:rsidRDefault="007C297C" w:rsidP="007C297C">
      <w:r>
        <w:lastRenderedPageBreak/>
        <w:t xml:space="preserve">The proposal would have an ongoing impact that extends beyond the forward estimates period.  </w:t>
      </w:r>
      <w:r w:rsidR="007C400A">
        <w:t>Detailed</w:t>
      </w:r>
      <w:r w:rsidR="00B67D31">
        <w:t xml:space="preserve"> financial implications</w:t>
      </w:r>
      <w:r>
        <w:t xml:space="preserve"> for the </w:t>
      </w:r>
      <w:r w:rsidR="007C400A">
        <w:t xml:space="preserve">proposal, </w:t>
      </w:r>
      <w:r>
        <w:t>and by component</w:t>
      </w:r>
      <w:r w:rsidR="007C400A">
        <w:t>,</w:t>
      </w:r>
      <w:r>
        <w:t xml:space="preserve"> are provided at </w:t>
      </w:r>
      <w:r w:rsidRPr="00A624BC">
        <w:rPr>
          <w:u w:val="single"/>
        </w:rPr>
        <w:t>Attachment A</w:t>
      </w:r>
      <w:r>
        <w:t>.</w:t>
      </w:r>
    </w:p>
    <w:p w:rsidR="008D3909" w:rsidRPr="00916D5F" w:rsidRDefault="007C297C" w:rsidP="007C297C">
      <w:r>
        <w:t xml:space="preserve">This costing is considered to be of high reliability as it is based on specified capped amounts and the application of administrative costs based on similar programs.  </w:t>
      </w:r>
      <w:r w:rsidR="00860375">
        <w:t>However, no analysis has been undertaken to determine the adequacy of the prescribed funding amounts to achieve the objective of the proposal.</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013CB8">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1845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B73AC8" w:rsidRDefault="00CA5D42" w:rsidP="00184508">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18450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18450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18450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184508" w:rsidRDefault="00CA5D42" w:rsidP="0018450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184508">
              <w:rPr>
                <w:rFonts w:ascii="Calibri" w:hAnsi="Calibri"/>
                <w:szCs w:val="20"/>
              </w:rPr>
              <w:t>2019–20</w:t>
            </w:r>
          </w:p>
        </w:tc>
        <w:tc>
          <w:tcPr>
            <w:tcW w:w="681" w:type="pct"/>
            <w:vAlign w:val="center"/>
          </w:tcPr>
          <w:p w:rsidR="00CA5D42" w:rsidRPr="00F97DFF" w:rsidRDefault="00CA5D42" w:rsidP="00184508">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8B33B7" w:rsidRPr="001D274A" w:rsidTr="00184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8B33B7" w:rsidRPr="001D274A" w:rsidRDefault="008B33B7" w:rsidP="00184508">
            <w:pPr>
              <w:pStyle w:val="TableTextCentred"/>
              <w:keepNext/>
              <w:keepLines/>
              <w:spacing w:line="240" w:lineRule="auto"/>
              <w:ind w:left="57" w:right="57"/>
              <w:jc w:val="left"/>
              <w:rPr>
                <w:szCs w:val="20"/>
              </w:rPr>
            </w:pPr>
            <w:r w:rsidRPr="001D274A">
              <w:rPr>
                <w:szCs w:val="20"/>
              </w:rPr>
              <w:t>Fiscal balance</w:t>
            </w:r>
          </w:p>
        </w:tc>
        <w:tc>
          <w:tcPr>
            <w:tcW w:w="682" w:type="pct"/>
          </w:tcPr>
          <w:p w:rsidR="008B33B7" w:rsidRPr="008B33B7" w:rsidRDefault="008B33B7" w:rsidP="00184508">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sz w:val="24"/>
                <w:szCs w:val="24"/>
              </w:rPr>
            </w:pPr>
            <w:r>
              <w:rPr>
                <w:i w:val="0"/>
              </w:rPr>
              <w:t>-1,120.8</w:t>
            </w:r>
          </w:p>
        </w:tc>
        <w:tc>
          <w:tcPr>
            <w:tcW w:w="682" w:type="pct"/>
          </w:tcPr>
          <w:p w:rsidR="008B33B7" w:rsidRPr="008B33B7" w:rsidRDefault="008B33B7" w:rsidP="00184508">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sz w:val="24"/>
                <w:szCs w:val="24"/>
              </w:rPr>
            </w:pPr>
            <w:r>
              <w:rPr>
                <w:i w:val="0"/>
              </w:rPr>
              <w:t>-142.3</w:t>
            </w:r>
          </w:p>
        </w:tc>
        <w:tc>
          <w:tcPr>
            <w:tcW w:w="682" w:type="pct"/>
          </w:tcPr>
          <w:p w:rsidR="008B33B7" w:rsidRPr="008B33B7" w:rsidRDefault="008B33B7" w:rsidP="00184508">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sz w:val="24"/>
                <w:szCs w:val="24"/>
              </w:rPr>
            </w:pPr>
            <w:r>
              <w:rPr>
                <w:i w:val="0"/>
              </w:rPr>
              <w:t>-146.0</w:t>
            </w:r>
          </w:p>
        </w:tc>
        <w:tc>
          <w:tcPr>
            <w:tcW w:w="682" w:type="pct"/>
          </w:tcPr>
          <w:p w:rsidR="008B33B7" w:rsidRPr="008B33B7" w:rsidRDefault="008B33B7" w:rsidP="00184508">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i w:val="0"/>
                <w:sz w:val="24"/>
                <w:szCs w:val="24"/>
              </w:rPr>
            </w:pPr>
            <w:r>
              <w:rPr>
                <w:i w:val="0"/>
              </w:rPr>
              <w:t>-114.1</w:t>
            </w:r>
          </w:p>
        </w:tc>
        <w:tc>
          <w:tcPr>
            <w:tcW w:w="681" w:type="pct"/>
          </w:tcPr>
          <w:p w:rsidR="008B33B7" w:rsidRPr="00D4177D" w:rsidRDefault="008B33B7" w:rsidP="00184508">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i w:val="0"/>
                <w:sz w:val="24"/>
                <w:szCs w:val="24"/>
              </w:rPr>
            </w:pPr>
            <w:r w:rsidRPr="00D4177D">
              <w:rPr>
                <w:b/>
                <w:i w:val="0"/>
              </w:rPr>
              <w:t>-1,523.2</w:t>
            </w:r>
          </w:p>
        </w:tc>
      </w:tr>
      <w:tr w:rsidR="008B33B7" w:rsidRPr="001D274A" w:rsidTr="00184508">
        <w:tc>
          <w:tcPr>
            <w:cnfStyle w:val="001000000000" w:firstRow="0" w:lastRow="0" w:firstColumn="1" w:lastColumn="0" w:oddVBand="0" w:evenVBand="0" w:oddHBand="0" w:evenHBand="0" w:firstRowFirstColumn="0" w:firstRowLastColumn="0" w:lastRowFirstColumn="0" w:lastRowLastColumn="0"/>
            <w:tcW w:w="1591" w:type="pct"/>
          </w:tcPr>
          <w:p w:rsidR="008B33B7" w:rsidRPr="001D274A" w:rsidRDefault="008B33B7" w:rsidP="00184508">
            <w:pPr>
              <w:pStyle w:val="TableTextCentred"/>
              <w:keepNext/>
              <w:keepLines/>
              <w:spacing w:line="240" w:lineRule="auto"/>
              <w:ind w:left="57" w:right="57"/>
              <w:jc w:val="left"/>
              <w:rPr>
                <w:szCs w:val="20"/>
              </w:rPr>
            </w:pPr>
            <w:r w:rsidRPr="001D274A">
              <w:rPr>
                <w:szCs w:val="20"/>
              </w:rPr>
              <w:t>Underlying cash balance</w:t>
            </w:r>
          </w:p>
        </w:tc>
        <w:tc>
          <w:tcPr>
            <w:tcW w:w="682" w:type="pct"/>
          </w:tcPr>
          <w:p w:rsidR="008B33B7" w:rsidRPr="008B33B7" w:rsidRDefault="008B33B7"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sz w:val="24"/>
                <w:szCs w:val="24"/>
              </w:rPr>
            </w:pPr>
            <w:r>
              <w:rPr>
                <w:i w:val="0"/>
              </w:rPr>
              <w:t>-1,120.8</w:t>
            </w:r>
          </w:p>
        </w:tc>
        <w:tc>
          <w:tcPr>
            <w:tcW w:w="682" w:type="pct"/>
          </w:tcPr>
          <w:p w:rsidR="008B33B7" w:rsidRPr="008B33B7" w:rsidRDefault="008B33B7"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sz w:val="24"/>
                <w:szCs w:val="24"/>
              </w:rPr>
            </w:pPr>
            <w:r>
              <w:rPr>
                <w:i w:val="0"/>
              </w:rPr>
              <w:t>-142.3</w:t>
            </w:r>
          </w:p>
        </w:tc>
        <w:tc>
          <w:tcPr>
            <w:tcW w:w="682" w:type="pct"/>
          </w:tcPr>
          <w:p w:rsidR="008B33B7" w:rsidRPr="008B33B7" w:rsidRDefault="008B33B7"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sz w:val="24"/>
                <w:szCs w:val="24"/>
              </w:rPr>
            </w:pPr>
            <w:r>
              <w:rPr>
                <w:i w:val="0"/>
              </w:rPr>
              <w:t>-146.0</w:t>
            </w:r>
          </w:p>
        </w:tc>
        <w:tc>
          <w:tcPr>
            <w:tcW w:w="682" w:type="pct"/>
          </w:tcPr>
          <w:p w:rsidR="008B33B7" w:rsidRPr="008B33B7" w:rsidRDefault="008B33B7"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i w:val="0"/>
                <w:sz w:val="24"/>
                <w:szCs w:val="24"/>
              </w:rPr>
            </w:pPr>
            <w:r>
              <w:rPr>
                <w:i w:val="0"/>
              </w:rPr>
              <w:t>-114.1</w:t>
            </w:r>
          </w:p>
        </w:tc>
        <w:tc>
          <w:tcPr>
            <w:tcW w:w="681" w:type="pct"/>
          </w:tcPr>
          <w:p w:rsidR="008B33B7" w:rsidRPr="00D4177D" w:rsidRDefault="008B33B7"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 w:val="24"/>
                <w:szCs w:val="24"/>
              </w:rPr>
            </w:pPr>
            <w:r w:rsidRPr="00D4177D">
              <w:rPr>
                <w:b/>
                <w:i w:val="0"/>
              </w:rPr>
              <w:t>-1,523.2</w:t>
            </w:r>
          </w:p>
        </w:tc>
      </w:tr>
    </w:tbl>
    <w:p w:rsidR="00DB3D91" w:rsidRDefault="001D274A" w:rsidP="009D4063">
      <w:pPr>
        <w:pStyle w:val="Footnotes"/>
        <w:keepNext/>
        <w:keepLines/>
        <w:numPr>
          <w:ilvl w:val="0"/>
          <w:numId w:val="7"/>
        </w:numPr>
        <w:ind w:left="284" w:hanging="284"/>
      </w:pPr>
      <w:r w:rsidRPr="001D274A">
        <w:t xml:space="preserve">A negative number </w:t>
      </w:r>
      <w:r w:rsidR="00916D5F">
        <w:t>indicates a</w:t>
      </w:r>
      <w:r w:rsidR="00916D5F" w:rsidRPr="00916D5F">
        <w:t xml:space="preserve"> </w:t>
      </w:r>
      <w:r w:rsidR="00916D5F">
        <w:t>de</w:t>
      </w:r>
      <w:r w:rsidR="00916D5F" w:rsidRPr="00916D5F">
        <w:t>crease in the relevant budget balance</w:t>
      </w:r>
      <w:r w:rsidR="00DB3D91">
        <w:t>.</w:t>
      </w:r>
    </w:p>
    <w:p w:rsidR="009D4063" w:rsidRPr="001D274A" w:rsidRDefault="00AE0901" w:rsidP="009D4063">
      <w:pPr>
        <w:pStyle w:val="Footnotes"/>
        <w:keepNext/>
        <w:keepLines/>
        <w:numPr>
          <w:ilvl w:val="0"/>
          <w:numId w:val="7"/>
        </w:numPr>
        <w:ind w:left="284" w:hanging="284"/>
      </w:pPr>
      <w:r w:rsidRPr="00AE0901">
        <w:t>Figures may not sum to totals due to rounding</w:t>
      </w:r>
      <w:r w:rsidR="001D274A" w:rsidRPr="001D274A">
        <w:t>.</w:t>
      </w:r>
    </w:p>
    <w:p w:rsidR="008D3909" w:rsidRPr="00FC6579" w:rsidRDefault="005E3562" w:rsidP="00E40B8B">
      <w:pPr>
        <w:pStyle w:val="Heading2"/>
      </w:pPr>
      <w:r w:rsidRPr="00FC6579">
        <w:t>Key assumptions</w:t>
      </w:r>
    </w:p>
    <w:p w:rsidR="001D274A" w:rsidRDefault="001D274A" w:rsidP="001D274A">
      <w:r>
        <w:t xml:space="preserve">It </w:t>
      </w:r>
      <w:r w:rsidR="00013CB8">
        <w:t>is</w:t>
      </w:r>
      <w:r>
        <w:t xml:space="preserve"> assumed that </w:t>
      </w:r>
      <w:r w:rsidR="00013CB8">
        <w:t xml:space="preserve">components </w:t>
      </w:r>
      <w:r>
        <w:t xml:space="preserve">would </w:t>
      </w:r>
      <w:r w:rsidR="00013CB8">
        <w:t xml:space="preserve">receive </w:t>
      </w:r>
      <w:r>
        <w:t>a full year of funding</w:t>
      </w:r>
      <w:r w:rsidR="00013CB8">
        <w:t xml:space="preserve"> in 2016</w:t>
      </w:r>
      <w:r w:rsidR="00013CB8">
        <w:noBreakHyphen/>
        <w:t>17</w:t>
      </w:r>
      <w:r>
        <w:t>.</w:t>
      </w:r>
    </w:p>
    <w:p w:rsidR="005E3562" w:rsidRPr="00FC6579" w:rsidRDefault="005E3562" w:rsidP="00E40B8B">
      <w:pPr>
        <w:pStyle w:val="Heading2"/>
      </w:pPr>
      <w:r w:rsidRPr="00FC6579">
        <w:t>Methodology</w:t>
      </w:r>
    </w:p>
    <w:p w:rsidR="001D274A" w:rsidRDefault="001D274A" w:rsidP="001D274A">
      <w:r>
        <w:t xml:space="preserve">Administered expenditure estimates for </w:t>
      </w:r>
      <w:r w:rsidR="007C400A" w:rsidRPr="007C400A">
        <w:t>c</w:t>
      </w:r>
      <w:r w:rsidRPr="00D4177D">
        <w:t>omponent 3</w:t>
      </w:r>
      <w:r w:rsidR="007C400A" w:rsidRPr="00D4177D">
        <w:t xml:space="preserve"> (</w:t>
      </w:r>
      <w:r w:rsidRPr="00D4177D">
        <w:t>Restore Biodiversity Fund</w:t>
      </w:r>
      <w:r w:rsidR="007C400A" w:rsidRPr="00D4177D">
        <w:t>)</w:t>
      </w:r>
      <w:r w:rsidRPr="007C400A">
        <w:t xml:space="preserve"> and </w:t>
      </w:r>
      <w:r w:rsidR="007C400A" w:rsidRPr="00D4177D">
        <w:t>c</w:t>
      </w:r>
      <w:r w:rsidRPr="00D4177D">
        <w:t>omponent 5</w:t>
      </w:r>
      <w:r w:rsidR="007C400A" w:rsidRPr="00D4177D">
        <w:t xml:space="preserve"> (</w:t>
      </w:r>
      <w:r w:rsidRPr="00D4177D">
        <w:t>Threatened species – listing, recovery plans and research</w:t>
      </w:r>
      <w:r w:rsidR="007C400A" w:rsidRPr="00D4177D">
        <w:t>)</w:t>
      </w:r>
      <w:r>
        <w:t xml:space="preserve"> ar</w:t>
      </w:r>
      <w:r w:rsidR="00184508">
        <w:t>e as specified in the request.</w:t>
      </w:r>
    </w:p>
    <w:p w:rsidR="005E3562" w:rsidRPr="00002D5D" w:rsidRDefault="001D274A" w:rsidP="001D274A">
      <w:r>
        <w:t>Departmental expenditure estimates (where not specified in the request) are based on other like initiatives and estimates account for the net effect of indexation parameters and the efficiency dividend, in accordance with the Department of Finance’s costing practices.</w:t>
      </w:r>
    </w:p>
    <w:p w:rsidR="005E3562" w:rsidRPr="00FC6579" w:rsidRDefault="005E3562" w:rsidP="00E40B8B">
      <w:pPr>
        <w:pStyle w:val="Heading2"/>
      </w:pPr>
      <w:r w:rsidRPr="00FC6579">
        <w:t>Data sources</w:t>
      </w:r>
    </w:p>
    <w:p w:rsidR="001D274A" w:rsidRPr="00184508" w:rsidRDefault="001D274A" w:rsidP="00184508">
      <w:pPr>
        <w:pStyle w:val="Bullet1"/>
      </w:pPr>
      <w:r w:rsidRPr="00184508">
        <w:t>The Department of Finance provided indexation parameters.</w:t>
      </w:r>
    </w:p>
    <w:p w:rsidR="001D274A" w:rsidRPr="00184508" w:rsidRDefault="001D274A" w:rsidP="00184508">
      <w:pPr>
        <w:pStyle w:val="Bullet1"/>
      </w:pPr>
      <w:r w:rsidRPr="00184508">
        <w:t>The Treasury provided Consumer Price Index projections.</w:t>
      </w:r>
    </w:p>
    <w:p w:rsidR="00CA5D42" w:rsidRPr="00184508" w:rsidRDefault="001D274A" w:rsidP="00184508">
      <w:pPr>
        <w:pStyle w:val="Bullet1"/>
      </w:pPr>
      <w:r w:rsidRPr="00184508">
        <w:t xml:space="preserve">The Department of the Environment confirmed that Program 1.5 </w:t>
      </w:r>
      <w:r w:rsidR="00F65645" w:rsidRPr="00184508">
        <w:t>would be ongoing beyond 2019-20</w:t>
      </w:r>
      <w:r w:rsidR="007C400A" w:rsidRPr="00184508">
        <w:t>.</w:t>
      </w:r>
    </w:p>
    <w:p w:rsidR="00F65645" w:rsidRDefault="00F65645" w:rsidP="00F65645">
      <w:pPr>
        <w:pStyle w:val="Bullet1"/>
        <w:numPr>
          <w:ilvl w:val="0"/>
          <w:numId w:val="0"/>
        </w:numPr>
        <w:ind w:left="454" w:hanging="454"/>
      </w:pPr>
    </w:p>
    <w:p w:rsidR="00507897" w:rsidRPr="00002D5D" w:rsidRDefault="00507897" w:rsidP="00F65645">
      <w:pPr>
        <w:pStyle w:val="Footnotes"/>
        <w:numPr>
          <w:ilvl w:val="0"/>
          <w:numId w:val="0"/>
        </w:numPr>
        <w:rPr>
          <w:highlight w:val="yellow"/>
        </w:rPr>
        <w:sectPr w:rsidR="00507897" w:rsidRPr="00002D5D" w:rsidSect="00002D5D">
          <w:headerReference w:type="first" r:id="rId15"/>
          <w:footerReference w:type="first" r:id="rId16"/>
          <w:pgSz w:w="11906" w:h="16838"/>
          <w:pgMar w:top="1361" w:right="1797" w:bottom="1474" w:left="1797" w:header="709" w:footer="709" w:gutter="0"/>
          <w:cols w:space="708"/>
          <w:titlePg/>
          <w:docGrid w:linePitch="360"/>
        </w:sectPr>
      </w:pPr>
    </w:p>
    <w:p w:rsidR="00F65645" w:rsidRPr="00FC6579" w:rsidRDefault="00F65645" w:rsidP="00C772BA">
      <w:pPr>
        <w:pStyle w:val="Heading1"/>
      </w:pPr>
      <w:r w:rsidRPr="00FC6579">
        <w:lastRenderedPageBreak/>
        <w:t>Attachment A:</w:t>
      </w:r>
      <w:r>
        <w:t xml:space="preserve"> </w:t>
      </w:r>
      <w:r w:rsidR="00117ED9">
        <w:t>Protecting our P</w:t>
      </w:r>
      <w:r w:rsidR="00C772BA">
        <w:t xml:space="preserve">recious </w:t>
      </w:r>
      <w:r w:rsidR="00117ED9">
        <w:t>P</w:t>
      </w:r>
      <w:r w:rsidR="00C772BA">
        <w:t xml:space="preserve">laces—financial </w:t>
      </w:r>
      <w:r>
        <w:t>implications</w:t>
      </w:r>
    </w:p>
    <w:p w:rsidR="00F52474" w:rsidRPr="00FC6579" w:rsidRDefault="008516C0" w:rsidP="00FC6579">
      <w:pPr>
        <w:pStyle w:val="Captionheading"/>
      </w:pPr>
      <w:r w:rsidRPr="008516C0">
        <w:t>Table A1: Co</w:t>
      </w:r>
      <w:r w:rsidR="00C772BA">
        <w:t>mbined impact of all components</w:t>
      </w:r>
      <w:r w:rsidR="00C772BA" w:rsidRPr="00C772BA">
        <w:t xml:space="preserve">—Financial </w:t>
      </w:r>
      <w:proofErr w:type="gramStart"/>
      <w:r w:rsidR="00C772BA" w:rsidRPr="00C772BA">
        <w:t>implications</w:t>
      </w:r>
      <w:r w:rsidRPr="00F65DEA">
        <w:rPr>
          <w:vertAlign w:val="superscript"/>
        </w:rPr>
        <w:t>(</w:t>
      </w:r>
      <w:proofErr w:type="gramEnd"/>
      <w:r w:rsidRPr="00F65DEA">
        <w:rPr>
          <w:vertAlign w:val="superscript"/>
        </w:rPr>
        <w:t>a)(b)</w:t>
      </w:r>
    </w:p>
    <w:tbl>
      <w:tblPr>
        <w:tblStyle w:val="TableGrid"/>
        <w:tblW w:w="4949" w:type="pct"/>
        <w:tblLook w:val="0680" w:firstRow="0" w:lastRow="0" w:firstColumn="1" w:lastColumn="0" w:noHBand="1" w:noVBand="1"/>
      </w:tblPr>
      <w:tblGrid>
        <w:gridCol w:w="2138"/>
        <w:gridCol w:w="901"/>
        <w:gridCol w:w="901"/>
        <w:gridCol w:w="901"/>
        <w:gridCol w:w="902"/>
        <w:gridCol w:w="907"/>
        <w:gridCol w:w="902"/>
        <w:gridCol w:w="902"/>
        <w:gridCol w:w="902"/>
        <w:gridCol w:w="902"/>
        <w:gridCol w:w="902"/>
        <w:gridCol w:w="902"/>
        <w:gridCol w:w="902"/>
        <w:gridCol w:w="907"/>
      </w:tblGrid>
      <w:tr w:rsidR="00D4177D" w:rsidRPr="00B31810"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957285" w:rsidRPr="000507CB" w:rsidRDefault="00957285" w:rsidP="00184508">
            <w:pPr>
              <w:keepNext/>
              <w:keepLines/>
              <w:spacing w:before="70" w:after="70" w:line="240" w:lineRule="auto"/>
              <w:ind w:left="57" w:right="57"/>
              <w:rPr>
                <w:szCs w:val="20"/>
              </w:rPr>
            </w:pPr>
            <w:r w:rsidRPr="000507CB">
              <w:rPr>
                <w:szCs w:val="20"/>
              </w:rPr>
              <w:t>($m)</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2016–17</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2017–18</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2018–19</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2019–20</w:t>
            </w:r>
          </w:p>
        </w:tc>
        <w:tc>
          <w:tcPr>
            <w:tcW w:w="327"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07CB">
              <w:rPr>
                <w:b/>
                <w:szCs w:val="20"/>
              </w:rPr>
              <w:t>Total to 2019–20</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2020–21</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2021–22</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2022–23</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2023–24</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2024–25</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2025–26</w:t>
            </w:r>
          </w:p>
        </w:tc>
        <w:tc>
          <w:tcPr>
            <w:tcW w:w="325"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2026–27</w:t>
            </w:r>
          </w:p>
        </w:tc>
        <w:tc>
          <w:tcPr>
            <w:tcW w:w="327" w:type="pct"/>
            <w:shd w:val="clear" w:color="auto" w:fill="D7DDE9"/>
          </w:tcPr>
          <w:p w:rsidR="00957285" w:rsidRPr="000507CB" w:rsidRDefault="00957285"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07CB">
              <w:rPr>
                <w:b/>
                <w:szCs w:val="20"/>
              </w:rPr>
              <w:t>Total to 2026–27</w:t>
            </w:r>
          </w:p>
        </w:tc>
      </w:tr>
      <w:tr w:rsidR="00C36230" w:rsidRPr="00EF1D6A" w:rsidTr="00184508">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C36230" w:rsidRPr="000507CB" w:rsidRDefault="00C36230" w:rsidP="00184508">
            <w:pPr>
              <w:pStyle w:val="TableHeadingCentred"/>
              <w:spacing w:line="240" w:lineRule="auto"/>
              <w:ind w:left="57" w:right="57"/>
              <w:jc w:val="left"/>
              <w:rPr>
                <w:b/>
                <w:szCs w:val="20"/>
              </w:rPr>
            </w:pPr>
            <w:r w:rsidRPr="000507CB">
              <w:rPr>
                <w:b/>
                <w:szCs w:val="20"/>
              </w:rPr>
              <w:t>Impact on fiscal and underlying cash balances</w:t>
            </w:r>
          </w:p>
        </w:tc>
      </w:tr>
      <w:tr w:rsidR="000507CB"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0507CB" w:rsidRPr="000507CB" w:rsidRDefault="000507CB" w:rsidP="00184508">
            <w:pPr>
              <w:keepNext/>
              <w:keepLines/>
              <w:spacing w:before="70" w:after="70" w:line="240" w:lineRule="auto"/>
              <w:ind w:left="57" w:right="57"/>
              <w:rPr>
                <w:szCs w:val="20"/>
              </w:rPr>
            </w:pPr>
            <w:r w:rsidRPr="000507CB">
              <w:rPr>
                <w:szCs w:val="20"/>
              </w:rPr>
              <w:t>Administered</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-997.1</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-9.8</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-9.8</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7" w:type="pct"/>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-1</w:t>
            </w:r>
            <w:r w:rsidR="002A3BAC">
              <w:rPr>
                <w:b/>
                <w:szCs w:val="20"/>
              </w:rPr>
              <w:t>,</w:t>
            </w:r>
            <w:r w:rsidRPr="002A3BAC">
              <w:rPr>
                <w:b/>
                <w:szCs w:val="20"/>
              </w:rPr>
              <w:t>024.1</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-994.6</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-7.3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-4.8</w:t>
            </w:r>
          </w:p>
        </w:tc>
        <w:tc>
          <w:tcPr>
            <w:tcW w:w="327" w:type="pct"/>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-2</w:t>
            </w:r>
            <w:r w:rsidR="002A3BAC">
              <w:rPr>
                <w:b/>
                <w:szCs w:val="20"/>
              </w:rPr>
              <w:t>,</w:t>
            </w:r>
            <w:r w:rsidRPr="002A3BAC">
              <w:rPr>
                <w:b/>
                <w:szCs w:val="20"/>
              </w:rPr>
              <w:t>060.2</w:t>
            </w:r>
          </w:p>
        </w:tc>
      </w:tr>
      <w:tr w:rsidR="000507CB"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0507CB" w:rsidRPr="000507CB" w:rsidRDefault="000507CB" w:rsidP="00184508">
            <w:pPr>
              <w:keepNext/>
              <w:keepLines/>
              <w:spacing w:before="70" w:after="70" w:line="240" w:lineRule="auto"/>
              <w:ind w:left="57" w:right="57"/>
              <w:rPr>
                <w:szCs w:val="20"/>
              </w:rPr>
            </w:pPr>
            <w:r w:rsidRPr="000507CB">
              <w:rPr>
                <w:szCs w:val="20"/>
              </w:rPr>
              <w:t>Departmental</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-123.7</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-132.4</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-136.1</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-106.8</w:t>
            </w:r>
          </w:p>
        </w:tc>
        <w:tc>
          <w:tcPr>
            <w:tcW w:w="327" w:type="pct"/>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-499.1</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-101.5</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-91.3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-94.0</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-96.7</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-99.5</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-102.3</w:t>
            </w:r>
          </w:p>
        </w:tc>
        <w:tc>
          <w:tcPr>
            <w:tcW w:w="325" w:type="pct"/>
          </w:tcPr>
          <w:p w:rsidR="000507CB" w:rsidRPr="000507CB"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07CB">
              <w:rPr>
                <w:szCs w:val="20"/>
              </w:rPr>
              <w:t>-105.3</w:t>
            </w:r>
          </w:p>
        </w:tc>
        <w:tc>
          <w:tcPr>
            <w:tcW w:w="327" w:type="pct"/>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-1</w:t>
            </w:r>
            <w:r w:rsidR="002A3BAC">
              <w:rPr>
                <w:b/>
                <w:szCs w:val="20"/>
              </w:rPr>
              <w:t>,</w:t>
            </w:r>
            <w:r w:rsidRPr="002A3BAC">
              <w:rPr>
                <w:b/>
                <w:szCs w:val="20"/>
              </w:rPr>
              <w:t>189.6</w:t>
            </w:r>
          </w:p>
        </w:tc>
      </w:tr>
      <w:tr w:rsidR="00D4177D" w:rsidRPr="008D6ECA"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tcPr>
          <w:p w:rsidR="000507CB" w:rsidRPr="000507CB" w:rsidRDefault="000507CB" w:rsidP="00184508">
            <w:pPr>
              <w:keepNext/>
              <w:keepLines/>
              <w:spacing w:before="70" w:after="70" w:line="240" w:lineRule="auto"/>
              <w:ind w:left="57" w:right="57"/>
              <w:rPr>
                <w:b/>
                <w:szCs w:val="20"/>
              </w:rPr>
            </w:pPr>
            <w:r w:rsidRPr="000507CB">
              <w:rPr>
                <w:b/>
                <w:szCs w:val="20"/>
              </w:rPr>
              <w:t>Total</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w:t>
            </w:r>
            <w:r w:rsidR="002A3BAC">
              <w:rPr>
                <w:rFonts w:ascii="Calibri" w:hAnsi="Calibri"/>
                <w:b/>
                <w:bCs/>
                <w:i w:val="0"/>
                <w:color w:val="000000"/>
                <w:szCs w:val="20"/>
              </w:rPr>
              <w:t>,</w:t>
            </w:r>
            <w:r w:rsidRPr="002A3BAC">
              <w:rPr>
                <w:rFonts w:ascii="Calibri" w:hAnsi="Calibri"/>
                <w:b/>
                <w:bCs/>
                <w:i w:val="0"/>
                <w:color w:val="000000"/>
                <w:szCs w:val="20"/>
              </w:rPr>
              <w:t>120.8</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-142.3</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-146.0</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-114.1</w:t>
            </w:r>
          </w:p>
        </w:tc>
        <w:tc>
          <w:tcPr>
            <w:tcW w:w="327"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w:t>
            </w:r>
            <w:r w:rsidR="002A3BAC">
              <w:rPr>
                <w:rFonts w:ascii="Calibri" w:hAnsi="Calibri"/>
                <w:b/>
                <w:bCs/>
                <w:i w:val="0"/>
                <w:color w:val="000000"/>
                <w:szCs w:val="20"/>
              </w:rPr>
              <w:t>,</w:t>
            </w:r>
            <w:r w:rsidRPr="002A3BAC">
              <w:rPr>
                <w:rFonts w:ascii="Calibri" w:hAnsi="Calibri"/>
                <w:b/>
                <w:bCs/>
                <w:i w:val="0"/>
                <w:color w:val="000000"/>
                <w:szCs w:val="20"/>
              </w:rPr>
              <w:t>523.2</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w:t>
            </w:r>
            <w:r w:rsidR="002A3BAC">
              <w:rPr>
                <w:rFonts w:ascii="Calibri" w:hAnsi="Calibri"/>
                <w:b/>
                <w:bCs/>
                <w:i w:val="0"/>
                <w:color w:val="000000"/>
                <w:szCs w:val="20"/>
              </w:rPr>
              <w:t>,</w:t>
            </w:r>
            <w:r w:rsidRPr="002A3BAC">
              <w:rPr>
                <w:rFonts w:ascii="Calibri" w:hAnsi="Calibri"/>
                <w:b/>
                <w:bCs/>
                <w:i w:val="0"/>
                <w:color w:val="000000"/>
                <w:szCs w:val="20"/>
              </w:rPr>
              <w:t>096.1</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-98.7</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-101.3</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-104.0</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-106.8</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-109.7</w:t>
            </w:r>
          </w:p>
        </w:tc>
        <w:tc>
          <w:tcPr>
            <w:tcW w:w="325"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-110.1</w:t>
            </w:r>
          </w:p>
        </w:tc>
        <w:tc>
          <w:tcPr>
            <w:tcW w:w="327" w:type="pct"/>
            <w:shd w:val="clear" w:color="auto" w:fill="E9ECF3"/>
          </w:tcPr>
          <w:p w:rsidR="000507CB" w:rsidRPr="002A3BAC" w:rsidRDefault="000507C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rFonts w:ascii="Calibri" w:hAnsi="Calibri"/>
                <w:b/>
                <w:bCs/>
                <w:i w:val="0"/>
                <w:color w:val="000000"/>
                <w:szCs w:val="20"/>
              </w:rPr>
            </w:pPr>
            <w:r w:rsidRPr="002A3BAC">
              <w:rPr>
                <w:rFonts w:ascii="Calibri" w:hAnsi="Calibri"/>
                <w:b/>
                <w:bCs/>
                <w:i w:val="0"/>
                <w:color w:val="000000"/>
                <w:szCs w:val="20"/>
              </w:rPr>
              <w:t>-3</w:t>
            </w:r>
            <w:r w:rsidR="002A3BAC">
              <w:rPr>
                <w:rFonts w:ascii="Calibri" w:hAnsi="Calibri"/>
                <w:b/>
                <w:bCs/>
                <w:i w:val="0"/>
                <w:color w:val="000000"/>
                <w:szCs w:val="20"/>
              </w:rPr>
              <w:t>,</w:t>
            </w:r>
            <w:r w:rsidRPr="002A3BAC">
              <w:rPr>
                <w:rFonts w:ascii="Calibri" w:hAnsi="Calibri"/>
                <w:b/>
                <w:bCs/>
                <w:i w:val="0"/>
                <w:color w:val="000000"/>
                <w:szCs w:val="20"/>
              </w:rPr>
              <w:t>249.8</w:t>
            </w:r>
          </w:p>
        </w:tc>
      </w:tr>
    </w:tbl>
    <w:p w:rsidR="008516C0" w:rsidRPr="008516C0" w:rsidRDefault="00C772BA" w:rsidP="008516C0">
      <w:pPr>
        <w:pStyle w:val="Footnotes"/>
        <w:numPr>
          <w:ilvl w:val="0"/>
          <w:numId w:val="10"/>
        </w:numPr>
        <w:ind w:left="284" w:hanging="284"/>
      </w:pPr>
      <w:r w:rsidRPr="00C772BA">
        <w:t>A negative number indicates a decrease in revenue or an increase in expenses or net capital investment in accrual and cash terms</w:t>
      </w:r>
      <w:r w:rsidR="008516C0" w:rsidRPr="008516C0">
        <w:t xml:space="preserve">. </w:t>
      </w:r>
    </w:p>
    <w:p w:rsidR="0011232B" w:rsidRDefault="008516C0" w:rsidP="0011232B">
      <w:pPr>
        <w:pStyle w:val="Footnotes"/>
        <w:numPr>
          <w:ilvl w:val="0"/>
          <w:numId w:val="10"/>
        </w:numPr>
        <w:ind w:left="284" w:hanging="284"/>
      </w:pPr>
      <w:r w:rsidRPr="008516C0">
        <w:t>Figures may not sum to total due to rounding.</w:t>
      </w:r>
    </w:p>
    <w:p w:rsidR="008516C0" w:rsidRPr="00FC6579" w:rsidRDefault="008516C0" w:rsidP="008516C0">
      <w:pPr>
        <w:pStyle w:val="Captionheading"/>
      </w:pPr>
      <w:r w:rsidRPr="008516C0">
        <w:t xml:space="preserve">Table A2: Component 1: Taskforce to create </w:t>
      </w:r>
      <w:r w:rsidR="002A3BAC">
        <w:t xml:space="preserve">a </w:t>
      </w:r>
      <w:r w:rsidRPr="008516C0">
        <w:t>new Environment Act</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2375" w:type="pct"/>
        <w:tblLook w:val="0680" w:firstRow="0" w:lastRow="0" w:firstColumn="1" w:lastColumn="0" w:noHBand="1" w:noVBand="1"/>
      </w:tblPr>
      <w:tblGrid>
        <w:gridCol w:w="2147"/>
        <w:gridCol w:w="906"/>
        <w:gridCol w:w="901"/>
        <w:gridCol w:w="901"/>
        <w:gridCol w:w="901"/>
        <w:gridCol w:w="901"/>
      </w:tblGrid>
      <w:tr w:rsidR="008516C0" w:rsidRPr="00B31810" w:rsidTr="002A3BAC">
        <w:trPr>
          <w:cantSplit/>
        </w:trPr>
        <w:tc>
          <w:tcPr>
            <w:cnfStyle w:val="001000000000" w:firstRow="0" w:lastRow="0" w:firstColumn="1" w:lastColumn="0" w:oddVBand="0" w:evenVBand="0" w:oddHBand="0" w:evenHBand="0" w:firstRowFirstColumn="0" w:firstRowLastColumn="0" w:lastRowFirstColumn="0" w:lastRowLastColumn="0"/>
            <w:tcW w:w="1612" w:type="pct"/>
            <w:shd w:val="clear" w:color="auto" w:fill="D7DDE9"/>
          </w:tcPr>
          <w:p w:rsidR="008516C0" w:rsidRPr="00055D2C" w:rsidRDefault="008516C0" w:rsidP="00184508">
            <w:pPr>
              <w:keepNext/>
              <w:keepLines/>
              <w:spacing w:before="70" w:after="70" w:line="240" w:lineRule="auto"/>
              <w:ind w:left="57" w:right="57"/>
              <w:rPr>
                <w:szCs w:val="20"/>
              </w:rPr>
            </w:pPr>
            <w:r w:rsidRPr="00055D2C">
              <w:rPr>
                <w:szCs w:val="20"/>
              </w:rPr>
              <w:t>($m)</w:t>
            </w:r>
          </w:p>
        </w:tc>
        <w:tc>
          <w:tcPr>
            <w:tcW w:w="680"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678"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r>
      <w:tr w:rsidR="00C36230" w:rsidRPr="00EF1D6A" w:rsidTr="000507C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C36230" w:rsidRPr="00055D2C" w:rsidRDefault="00C36230" w:rsidP="00184508">
            <w:pPr>
              <w:pStyle w:val="TableHeadingCentred"/>
              <w:spacing w:line="240" w:lineRule="auto"/>
              <w:ind w:left="57" w:right="57"/>
              <w:jc w:val="left"/>
              <w:rPr>
                <w:b/>
                <w:szCs w:val="20"/>
              </w:rPr>
            </w:pPr>
            <w:r w:rsidRPr="00055D2C">
              <w:rPr>
                <w:b/>
                <w:szCs w:val="20"/>
              </w:rPr>
              <w:t>Impact on fiscal and underlying cash balances</w:t>
            </w:r>
          </w:p>
        </w:tc>
      </w:tr>
      <w:tr w:rsidR="00F65DEA" w:rsidTr="002A3BAC">
        <w:trPr>
          <w:cantSplit/>
        </w:trPr>
        <w:tc>
          <w:tcPr>
            <w:cnfStyle w:val="001000000000" w:firstRow="0" w:lastRow="0" w:firstColumn="1" w:lastColumn="0" w:oddVBand="0" w:evenVBand="0" w:oddHBand="0" w:evenHBand="0" w:firstRowFirstColumn="0" w:firstRowLastColumn="0" w:lastRowFirstColumn="0" w:lastRowLastColumn="0"/>
            <w:tcW w:w="1612" w:type="pct"/>
          </w:tcPr>
          <w:p w:rsidR="00F65DEA" w:rsidRPr="00055D2C" w:rsidRDefault="00F65DEA" w:rsidP="00184508">
            <w:pPr>
              <w:keepNext/>
              <w:keepLines/>
              <w:spacing w:before="70" w:after="70" w:line="240" w:lineRule="auto"/>
              <w:ind w:left="57" w:right="57"/>
              <w:rPr>
                <w:szCs w:val="20"/>
              </w:rPr>
            </w:pPr>
            <w:r w:rsidRPr="00055D2C">
              <w:rPr>
                <w:szCs w:val="20"/>
              </w:rPr>
              <w:t>Departmental</w:t>
            </w:r>
          </w:p>
        </w:tc>
        <w:tc>
          <w:tcPr>
            <w:tcW w:w="680"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w:t>
            </w:r>
          </w:p>
        </w:tc>
        <w:tc>
          <w:tcPr>
            <w:tcW w:w="677"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677"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677"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678"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-2.0</w:t>
            </w:r>
          </w:p>
        </w:tc>
      </w:tr>
      <w:tr w:rsidR="00F65DEA" w:rsidRPr="008D6ECA" w:rsidTr="002A3BAC">
        <w:trPr>
          <w:cantSplit/>
        </w:trPr>
        <w:tc>
          <w:tcPr>
            <w:cnfStyle w:val="001000000000" w:firstRow="0" w:lastRow="0" w:firstColumn="1" w:lastColumn="0" w:oddVBand="0" w:evenVBand="0" w:oddHBand="0" w:evenHBand="0" w:firstRowFirstColumn="0" w:firstRowLastColumn="0" w:lastRowFirstColumn="0" w:lastRowLastColumn="0"/>
            <w:tcW w:w="1612" w:type="pct"/>
            <w:shd w:val="clear" w:color="auto" w:fill="E9ECF3"/>
          </w:tcPr>
          <w:p w:rsidR="00F65DEA" w:rsidRPr="00055D2C" w:rsidRDefault="00F65DEA" w:rsidP="00184508">
            <w:pPr>
              <w:keepNext/>
              <w:keepLines/>
              <w:spacing w:before="70" w:after="70" w:line="240" w:lineRule="auto"/>
              <w:ind w:left="57" w:right="57"/>
              <w:rPr>
                <w:b/>
                <w:szCs w:val="20"/>
              </w:rPr>
            </w:pPr>
            <w:r w:rsidRPr="00055D2C">
              <w:rPr>
                <w:b/>
                <w:szCs w:val="20"/>
              </w:rPr>
              <w:t>Total</w:t>
            </w:r>
          </w:p>
        </w:tc>
        <w:tc>
          <w:tcPr>
            <w:tcW w:w="680"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w:t>
            </w:r>
          </w:p>
        </w:tc>
        <w:tc>
          <w:tcPr>
            <w:tcW w:w="677"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w:t>
            </w:r>
          </w:p>
        </w:tc>
        <w:tc>
          <w:tcPr>
            <w:tcW w:w="677"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w:t>
            </w:r>
          </w:p>
        </w:tc>
        <w:tc>
          <w:tcPr>
            <w:tcW w:w="677"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w:t>
            </w:r>
          </w:p>
        </w:tc>
        <w:tc>
          <w:tcPr>
            <w:tcW w:w="678"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w:t>
            </w:r>
          </w:p>
        </w:tc>
      </w:tr>
    </w:tbl>
    <w:p w:rsidR="008516C0" w:rsidRPr="008516C0" w:rsidRDefault="00BF41FF" w:rsidP="004739DE">
      <w:pPr>
        <w:pStyle w:val="Footnotes"/>
        <w:numPr>
          <w:ilvl w:val="0"/>
          <w:numId w:val="21"/>
        </w:numPr>
        <w:ind w:left="284" w:hanging="284"/>
      </w:pPr>
      <w:r w:rsidRPr="00BF41FF">
        <w:t>A negative number indicates a decrease in revenue or an increase in expenses or net capital investment in accrual and cash terms</w:t>
      </w:r>
      <w:r w:rsidR="008516C0" w:rsidRPr="008516C0">
        <w:t xml:space="preserve">. </w:t>
      </w:r>
    </w:p>
    <w:p w:rsidR="008516C0" w:rsidRDefault="008516C0" w:rsidP="004739DE">
      <w:pPr>
        <w:pStyle w:val="Footnotes"/>
        <w:numPr>
          <w:ilvl w:val="0"/>
          <w:numId w:val="10"/>
        </w:numPr>
        <w:ind w:left="284" w:hanging="284"/>
      </w:pPr>
      <w:r w:rsidRPr="008516C0">
        <w:t>Figures may not sum to total due to rounding.</w:t>
      </w:r>
    </w:p>
    <w:p w:rsidR="00C772BA" w:rsidRDefault="00C772BA" w:rsidP="00C772BA">
      <w:pPr>
        <w:pStyle w:val="Footnotes"/>
        <w:numPr>
          <w:ilvl w:val="0"/>
          <w:numId w:val="28"/>
        </w:numPr>
        <w:ind w:left="284" w:hanging="284"/>
      </w:pPr>
      <w:r w:rsidRPr="00C772BA">
        <w:t>Indicates nil.</w:t>
      </w:r>
    </w:p>
    <w:p w:rsidR="008516C0" w:rsidRPr="00FC6579" w:rsidRDefault="00F65DEA" w:rsidP="008516C0">
      <w:pPr>
        <w:pStyle w:val="Captionheading"/>
      </w:pPr>
      <w:r w:rsidRPr="00F65DEA">
        <w:lastRenderedPageBreak/>
        <w:t xml:space="preserve">Table A3: Component 2: Establish independent </w:t>
      </w:r>
      <w:r w:rsidR="002A3BAC">
        <w:t>N</w:t>
      </w:r>
      <w:r w:rsidRPr="00F65DEA">
        <w:t>EPA</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4949" w:type="pct"/>
        <w:tblLook w:val="0680" w:firstRow="0" w:lastRow="0" w:firstColumn="1" w:lastColumn="0" w:noHBand="1" w:noVBand="1"/>
      </w:tblPr>
      <w:tblGrid>
        <w:gridCol w:w="2138"/>
        <w:gridCol w:w="901"/>
        <w:gridCol w:w="901"/>
        <w:gridCol w:w="901"/>
        <w:gridCol w:w="902"/>
        <w:gridCol w:w="907"/>
        <w:gridCol w:w="902"/>
        <w:gridCol w:w="902"/>
        <w:gridCol w:w="902"/>
        <w:gridCol w:w="902"/>
        <w:gridCol w:w="902"/>
        <w:gridCol w:w="902"/>
        <w:gridCol w:w="902"/>
        <w:gridCol w:w="907"/>
      </w:tblGrid>
      <w:tr w:rsidR="00D4177D" w:rsidRPr="00B31810" w:rsidTr="002A3BAC">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8516C0" w:rsidRPr="00055D2C" w:rsidRDefault="008516C0" w:rsidP="00184508">
            <w:pPr>
              <w:keepNext/>
              <w:keepLines/>
              <w:spacing w:before="70" w:after="70" w:line="240" w:lineRule="auto"/>
              <w:ind w:left="57" w:right="57"/>
              <w:rPr>
                <w:szCs w:val="20"/>
              </w:rPr>
            </w:pPr>
            <w:r w:rsidRPr="00055D2C">
              <w:rPr>
                <w:szCs w:val="20"/>
              </w:rPr>
              <w:t>($m)</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32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2020–21</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2021–22</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2022–23</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2023–24</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2024–25</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2025–26</w:t>
            </w:r>
          </w:p>
        </w:tc>
        <w:tc>
          <w:tcPr>
            <w:tcW w:w="325"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2026–27</w:t>
            </w:r>
          </w:p>
        </w:tc>
        <w:tc>
          <w:tcPr>
            <w:tcW w:w="32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2026–27</w:t>
            </w:r>
          </w:p>
        </w:tc>
      </w:tr>
      <w:tr w:rsidR="00C36230" w:rsidRPr="00EF1D6A" w:rsidTr="00C36230">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C36230" w:rsidRPr="00055D2C" w:rsidRDefault="00C36230" w:rsidP="00184508">
            <w:pPr>
              <w:pStyle w:val="TableHeadingCentred"/>
              <w:spacing w:line="240" w:lineRule="auto"/>
              <w:ind w:left="57" w:right="57"/>
              <w:jc w:val="left"/>
              <w:rPr>
                <w:b/>
                <w:szCs w:val="20"/>
              </w:rPr>
            </w:pPr>
            <w:r w:rsidRPr="00055D2C">
              <w:rPr>
                <w:b/>
                <w:szCs w:val="20"/>
              </w:rPr>
              <w:t>Impact on fiscal and underlying cash balances</w:t>
            </w:r>
          </w:p>
        </w:tc>
      </w:tr>
      <w:tr w:rsidR="00F65DEA" w:rsidTr="002A3BAC">
        <w:trPr>
          <w:cantSplit/>
        </w:trPr>
        <w:tc>
          <w:tcPr>
            <w:cnfStyle w:val="001000000000" w:firstRow="0" w:lastRow="0" w:firstColumn="1" w:lastColumn="0" w:oddVBand="0" w:evenVBand="0" w:oddHBand="0" w:evenHBand="0" w:firstRowFirstColumn="0" w:firstRowLastColumn="0" w:lastRowFirstColumn="0" w:lastRowLastColumn="0"/>
            <w:tcW w:w="771" w:type="pct"/>
          </w:tcPr>
          <w:p w:rsidR="00F65DEA" w:rsidRPr="00055D2C" w:rsidRDefault="00F65DEA" w:rsidP="00184508">
            <w:pPr>
              <w:keepNext/>
              <w:keepLines/>
              <w:spacing w:before="70" w:after="70" w:line="240" w:lineRule="auto"/>
              <w:ind w:left="57" w:right="57"/>
              <w:rPr>
                <w:szCs w:val="20"/>
              </w:rPr>
            </w:pPr>
            <w:r w:rsidRPr="00055D2C">
              <w:rPr>
                <w:szCs w:val="20"/>
              </w:rPr>
              <w:t>Departmental</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-70.3</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-76.8</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-80.5</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-81.1</w:t>
            </w:r>
          </w:p>
        </w:tc>
        <w:tc>
          <w:tcPr>
            <w:tcW w:w="327"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-308.7</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-83.6</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-86.2</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-88.8</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-91.5</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-94.3</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-97.2</w:t>
            </w:r>
          </w:p>
        </w:tc>
        <w:tc>
          <w:tcPr>
            <w:tcW w:w="325"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-100.1</w:t>
            </w:r>
          </w:p>
        </w:tc>
        <w:tc>
          <w:tcPr>
            <w:tcW w:w="327" w:type="pct"/>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-950.3</w:t>
            </w:r>
          </w:p>
        </w:tc>
      </w:tr>
      <w:tr w:rsidR="00D4177D" w:rsidRPr="008D6ECA" w:rsidTr="002A3BAC">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tcPr>
          <w:p w:rsidR="00F65DEA" w:rsidRPr="00055D2C" w:rsidRDefault="00F65DEA" w:rsidP="00184508">
            <w:pPr>
              <w:keepNext/>
              <w:keepLines/>
              <w:spacing w:before="70" w:after="70" w:line="240" w:lineRule="auto"/>
              <w:ind w:left="57" w:right="57"/>
              <w:rPr>
                <w:b/>
                <w:szCs w:val="20"/>
              </w:rPr>
            </w:pPr>
            <w:r w:rsidRPr="00055D2C">
              <w:rPr>
                <w:b/>
                <w:szCs w:val="20"/>
              </w:rPr>
              <w:t>Total</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-70.3</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-76.8</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-80.5</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-81.1</w:t>
            </w:r>
          </w:p>
        </w:tc>
        <w:tc>
          <w:tcPr>
            <w:tcW w:w="327"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-308.7</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-83.6</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-86.2</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-88.8</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-91.5</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-94.3</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-97.2</w:t>
            </w:r>
          </w:p>
        </w:tc>
        <w:tc>
          <w:tcPr>
            <w:tcW w:w="325"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-100.1</w:t>
            </w:r>
          </w:p>
        </w:tc>
        <w:tc>
          <w:tcPr>
            <w:tcW w:w="327" w:type="pct"/>
            <w:shd w:val="clear" w:color="auto" w:fill="E9ECF3"/>
          </w:tcPr>
          <w:p w:rsidR="00F65DEA" w:rsidRPr="00055D2C" w:rsidRDefault="00F65DEA"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-950.3</w:t>
            </w:r>
          </w:p>
        </w:tc>
      </w:tr>
    </w:tbl>
    <w:p w:rsidR="008516C0" w:rsidRPr="008516C0" w:rsidRDefault="00BF41FF" w:rsidP="004739DE">
      <w:pPr>
        <w:pStyle w:val="Footnotes"/>
        <w:numPr>
          <w:ilvl w:val="0"/>
          <w:numId w:val="22"/>
        </w:numPr>
        <w:ind w:left="284" w:hanging="284"/>
      </w:pPr>
      <w:r w:rsidRPr="00BF41FF">
        <w:t>A negative number indicates a decrease in revenue or an increase in expenses or net capital investment in accrual and cash terms</w:t>
      </w:r>
      <w:r w:rsidR="008516C0" w:rsidRPr="008516C0">
        <w:t xml:space="preserve">. </w:t>
      </w:r>
    </w:p>
    <w:p w:rsidR="00C772BA" w:rsidRDefault="00C772BA" w:rsidP="00C772BA">
      <w:pPr>
        <w:pStyle w:val="Footnotes"/>
        <w:numPr>
          <w:ilvl w:val="0"/>
          <w:numId w:val="10"/>
        </w:numPr>
        <w:ind w:left="284" w:hanging="284"/>
      </w:pPr>
      <w:r w:rsidRPr="008516C0">
        <w:t>Figures may not sum to total due to rounding.</w:t>
      </w:r>
    </w:p>
    <w:p w:rsidR="008516C0" w:rsidRPr="00FC6579" w:rsidRDefault="00F9532B" w:rsidP="008516C0">
      <w:pPr>
        <w:pStyle w:val="Captionheading"/>
      </w:pPr>
      <w:r w:rsidRPr="00F9532B">
        <w:t>Table A4: Component 3: Restore Biodiversity Fund</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4949" w:type="pct"/>
        <w:tblLook w:val="0680" w:firstRow="0" w:lastRow="0" w:firstColumn="1" w:lastColumn="0" w:noHBand="1" w:noVBand="1"/>
      </w:tblPr>
      <w:tblGrid>
        <w:gridCol w:w="2138"/>
        <w:gridCol w:w="901"/>
        <w:gridCol w:w="901"/>
        <w:gridCol w:w="901"/>
        <w:gridCol w:w="902"/>
        <w:gridCol w:w="907"/>
        <w:gridCol w:w="902"/>
        <w:gridCol w:w="902"/>
        <w:gridCol w:w="902"/>
        <w:gridCol w:w="902"/>
        <w:gridCol w:w="902"/>
        <w:gridCol w:w="902"/>
        <w:gridCol w:w="902"/>
        <w:gridCol w:w="907"/>
      </w:tblGrid>
      <w:tr w:rsidR="00D4177D" w:rsidRPr="00B31810"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8516C0" w:rsidRPr="002A3BAC" w:rsidRDefault="008516C0" w:rsidP="00184508">
            <w:pPr>
              <w:keepNext/>
              <w:keepLines/>
              <w:spacing w:before="70" w:after="70" w:line="240" w:lineRule="auto"/>
              <w:ind w:left="57" w:right="57"/>
              <w:rPr>
                <w:szCs w:val="20"/>
              </w:rPr>
            </w:pPr>
            <w:r w:rsidRPr="002A3BAC">
              <w:rPr>
                <w:szCs w:val="20"/>
              </w:rPr>
              <w:t>($m)</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2016–17</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2017–18</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2018–19</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2019–20</w:t>
            </w:r>
          </w:p>
        </w:tc>
        <w:tc>
          <w:tcPr>
            <w:tcW w:w="327"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Total to 2019–20</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2020–21</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2021–22</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2022–23</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2023–24</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2024–25</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2025–26</w:t>
            </w:r>
          </w:p>
        </w:tc>
        <w:tc>
          <w:tcPr>
            <w:tcW w:w="325"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2026–27</w:t>
            </w:r>
          </w:p>
        </w:tc>
        <w:tc>
          <w:tcPr>
            <w:tcW w:w="327" w:type="pct"/>
            <w:shd w:val="clear" w:color="auto" w:fill="D7DDE9"/>
          </w:tcPr>
          <w:p w:rsidR="008516C0" w:rsidRPr="002A3BA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A3BAC">
              <w:rPr>
                <w:b/>
                <w:szCs w:val="20"/>
              </w:rPr>
              <w:t>Total to 2026–27</w:t>
            </w:r>
          </w:p>
        </w:tc>
      </w:tr>
      <w:tr w:rsidR="00C36230" w:rsidRPr="00EF1D6A" w:rsidTr="00184508">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C36230" w:rsidRPr="002A3BAC" w:rsidRDefault="00C36230" w:rsidP="00184508">
            <w:pPr>
              <w:pStyle w:val="TableHeadingCentred"/>
              <w:spacing w:line="240" w:lineRule="auto"/>
              <w:ind w:left="57" w:right="57"/>
              <w:jc w:val="left"/>
              <w:rPr>
                <w:b/>
                <w:szCs w:val="20"/>
              </w:rPr>
            </w:pPr>
            <w:r w:rsidRPr="002A3BAC">
              <w:rPr>
                <w:b/>
                <w:szCs w:val="20"/>
              </w:rPr>
              <w:t>Impact on fiscal and underlying cash balances</w:t>
            </w:r>
          </w:p>
        </w:tc>
      </w:tr>
      <w:tr w:rsidR="007608E8"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7608E8" w:rsidRPr="002A3BAC" w:rsidRDefault="007608E8" w:rsidP="00184508">
            <w:pPr>
              <w:keepNext/>
              <w:keepLines/>
              <w:spacing w:before="70" w:after="70" w:line="240" w:lineRule="auto"/>
              <w:ind w:left="57" w:right="57"/>
              <w:rPr>
                <w:szCs w:val="20"/>
              </w:rPr>
            </w:pPr>
            <w:r w:rsidRPr="002A3BAC">
              <w:rPr>
                <w:szCs w:val="20"/>
              </w:rPr>
              <w:t>Administered</w:t>
            </w:r>
          </w:p>
        </w:tc>
        <w:tc>
          <w:tcPr>
            <w:tcW w:w="325"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-987.3</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7"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-987.3</w:t>
            </w:r>
          </w:p>
        </w:tc>
        <w:tc>
          <w:tcPr>
            <w:tcW w:w="325"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-987.3</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7"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-1</w:t>
            </w:r>
            <w:r>
              <w:rPr>
                <w:szCs w:val="20"/>
              </w:rPr>
              <w:t>,</w:t>
            </w:r>
            <w:r w:rsidRPr="002A3BAC">
              <w:rPr>
                <w:szCs w:val="20"/>
              </w:rPr>
              <w:t>974.6</w:t>
            </w:r>
          </w:p>
        </w:tc>
      </w:tr>
      <w:tr w:rsidR="007608E8"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7608E8" w:rsidRPr="002A3BAC" w:rsidRDefault="007608E8" w:rsidP="00184508">
            <w:pPr>
              <w:keepNext/>
              <w:keepLines/>
              <w:spacing w:before="70" w:after="70" w:line="240" w:lineRule="auto"/>
              <w:ind w:left="57" w:right="57"/>
              <w:rPr>
                <w:szCs w:val="20"/>
              </w:rPr>
            </w:pPr>
            <w:r w:rsidRPr="002A3BAC">
              <w:rPr>
                <w:szCs w:val="20"/>
              </w:rPr>
              <w:t>Departmental</w:t>
            </w:r>
          </w:p>
        </w:tc>
        <w:tc>
          <w:tcPr>
            <w:tcW w:w="325"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-12.7</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7"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-12.7</w:t>
            </w:r>
          </w:p>
        </w:tc>
        <w:tc>
          <w:tcPr>
            <w:tcW w:w="325"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-12.7</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5" w:type="pct"/>
          </w:tcPr>
          <w:p w:rsidR="007608E8" w:rsidRPr="00055D2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327" w:type="pct"/>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A3BAC">
              <w:rPr>
                <w:szCs w:val="20"/>
              </w:rPr>
              <w:t>-25.4</w:t>
            </w:r>
          </w:p>
        </w:tc>
      </w:tr>
      <w:tr w:rsidR="00D4177D" w:rsidRPr="008D6ECA"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tcPr>
          <w:p w:rsidR="007608E8" w:rsidRPr="002A3BAC" w:rsidRDefault="007608E8" w:rsidP="00184508">
            <w:pPr>
              <w:keepNext/>
              <w:keepLines/>
              <w:spacing w:before="70" w:after="70" w:line="240" w:lineRule="auto"/>
              <w:ind w:left="57" w:right="57"/>
              <w:rPr>
                <w:b/>
                <w:szCs w:val="20"/>
              </w:rPr>
            </w:pPr>
            <w:r w:rsidRPr="002A3BAC">
              <w:rPr>
                <w:b/>
                <w:szCs w:val="20"/>
              </w:rPr>
              <w:t>Total</w:t>
            </w:r>
          </w:p>
        </w:tc>
        <w:tc>
          <w:tcPr>
            <w:tcW w:w="325" w:type="pct"/>
            <w:shd w:val="clear" w:color="auto" w:fill="E9ECF3"/>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A3BAC">
              <w:rPr>
                <w:b/>
                <w:i w:val="0"/>
                <w:szCs w:val="20"/>
              </w:rPr>
              <w:t>-1</w:t>
            </w:r>
            <w:r>
              <w:rPr>
                <w:b/>
                <w:i w:val="0"/>
                <w:szCs w:val="20"/>
              </w:rPr>
              <w:t>,</w:t>
            </w:r>
            <w:r w:rsidRPr="002A3BAC">
              <w:rPr>
                <w:b/>
                <w:i w:val="0"/>
                <w:szCs w:val="20"/>
              </w:rPr>
              <w:t>000.0</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7" w:type="pct"/>
            <w:shd w:val="clear" w:color="auto" w:fill="E9ECF3"/>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A3BAC">
              <w:rPr>
                <w:b/>
                <w:i w:val="0"/>
                <w:szCs w:val="20"/>
              </w:rPr>
              <w:t>-1</w:t>
            </w:r>
            <w:r>
              <w:rPr>
                <w:b/>
                <w:i w:val="0"/>
                <w:szCs w:val="20"/>
              </w:rPr>
              <w:t>,</w:t>
            </w:r>
            <w:r w:rsidRPr="002A3BAC">
              <w:rPr>
                <w:b/>
                <w:i w:val="0"/>
                <w:szCs w:val="20"/>
              </w:rPr>
              <w:t>000.0</w:t>
            </w:r>
          </w:p>
        </w:tc>
        <w:tc>
          <w:tcPr>
            <w:tcW w:w="325" w:type="pct"/>
            <w:shd w:val="clear" w:color="auto" w:fill="E9ECF3"/>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A3BAC">
              <w:rPr>
                <w:b/>
                <w:i w:val="0"/>
                <w:szCs w:val="20"/>
              </w:rPr>
              <w:t>-1</w:t>
            </w:r>
            <w:r>
              <w:rPr>
                <w:b/>
                <w:i w:val="0"/>
                <w:szCs w:val="20"/>
              </w:rPr>
              <w:t>,</w:t>
            </w:r>
            <w:r w:rsidRPr="002A3BAC">
              <w:rPr>
                <w:b/>
                <w:i w:val="0"/>
                <w:szCs w:val="20"/>
              </w:rPr>
              <w:t>000.0</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5" w:type="pct"/>
            <w:shd w:val="clear" w:color="auto" w:fill="E9ECF3"/>
          </w:tcPr>
          <w:p w:rsidR="007608E8" w:rsidRPr="007608E8"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7608E8">
              <w:rPr>
                <w:b/>
                <w:i w:val="0"/>
                <w:szCs w:val="20"/>
              </w:rPr>
              <w:t>-</w:t>
            </w:r>
          </w:p>
        </w:tc>
        <w:tc>
          <w:tcPr>
            <w:tcW w:w="327" w:type="pct"/>
            <w:shd w:val="clear" w:color="auto" w:fill="E9ECF3"/>
          </w:tcPr>
          <w:p w:rsidR="007608E8" w:rsidRPr="002A3BAC" w:rsidRDefault="007608E8"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A3BAC">
              <w:rPr>
                <w:b/>
                <w:i w:val="0"/>
                <w:szCs w:val="20"/>
              </w:rPr>
              <w:t>-2</w:t>
            </w:r>
            <w:r>
              <w:rPr>
                <w:b/>
                <w:i w:val="0"/>
                <w:szCs w:val="20"/>
              </w:rPr>
              <w:t>,</w:t>
            </w:r>
            <w:r w:rsidRPr="002A3BAC">
              <w:rPr>
                <w:b/>
                <w:i w:val="0"/>
                <w:szCs w:val="20"/>
              </w:rPr>
              <w:t>000.0</w:t>
            </w:r>
          </w:p>
        </w:tc>
      </w:tr>
    </w:tbl>
    <w:p w:rsidR="008516C0" w:rsidRPr="008516C0" w:rsidRDefault="00BF41FF" w:rsidP="004739DE">
      <w:pPr>
        <w:pStyle w:val="Footnotes"/>
        <w:numPr>
          <w:ilvl w:val="0"/>
          <w:numId w:val="23"/>
        </w:numPr>
        <w:ind w:left="284" w:hanging="284"/>
      </w:pPr>
      <w:r w:rsidRPr="00BF41FF">
        <w:t>A negative number indicates a decrease in revenue or an increase in expenses or net capital investment in accrual and cash terms</w:t>
      </w:r>
      <w:r w:rsidR="008516C0" w:rsidRPr="008516C0">
        <w:t xml:space="preserve">. </w:t>
      </w:r>
    </w:p>
    <w:p w:rsidR="00C772BA" w:rsidRDefault="00C772BA" w:rsidP="00C772BA">
      <w:pPr>
        <w:pStyle w:val="Footnotes"/>
        <w:numPr>
          <w:ilvl w:val="0"/>
          <w:numId w:val="10"/>
        </w:numPr>
        <w:ind w:left="284" w:hanging="284"/>
      </w:pPr>
      <w:r w:rsidRPr="008516C0">
        <w:t>Figures may not sum to total due to rounding.</w:t>
      </w:r>
    </w:p>
    <w:p w:rsidR="00C772BA" w:rsidRDefault="00C772BA" w:rsidP="00C772BA">
      <w:pPr>
        <w:pStyle w:val="Footnotes"/>
        <w:numPr>
          <w:ilvl w:val="0"/>
          <w:numId w:val="28"/>
        </w:numPr>
        <w:ind w:left="284" w:hanging="284"/>
      </w:pPr>
      <w:r w:rsidRPr="00C772BA">
        <w:t>Indicates nil.</w:t>
      </w:r>
    </w:p>
    <w:p w:rsidR="008516C0" w:rsidRPr="00FC6579" w:rsidRDefault="00F9532B" w:rsidP="008516C0">
      <w:pPr>
        <w:pStyle w:val="Captionheading"/>
      </w:pPr>
      <w:r w:rsidRPr="00F9532B">
        <w:lastRenderedPageBreak/>
        <w:t>Table A5: Component 4: Threatened species - habitat mapping</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2375" w:type="pct"/>
        <w:tblLook w:val="0680" w:firstRow="0" w:lastRow="0" w:firstColumn="1" w:lastColumn="0" w:noHBand="1" w:noVBand="1"/>
      </w:tblPr>
      <w:tblGrid>
        <w:gridCol w:w="2146"/>
        <w:gridCol w:w="905"/>
        <w:gridCol w:w="901"/>
        <w:gridCol w:w="901"/>
        <w:gridCol w:w="901"/>
        <w:gridCol w:w="903"/>
      </w:tblGrid>
      <w:tr w:rsidR="008516C0" w:rsidRPr="00B31810" w:rsidTr="000D4CC1">
        <w:trPr>
          <w:cantSplit/>
        </w:trPr>
        <w:tc>
          <w:tcPr>
            <w:cnfStyle w:val="001000000000" w:firstRow="0" w:lastRow="0" w:firstColumn="1" w:lastColumn="0" w:oddVBand="0" w:evenVBand="0" w:oddHBand="0" w:evenHBand="0" w:firstRowFirstColumn="0" w:firstRowLastColumn="0" w:lastRowFirstColumn="0" w:lastRowLastColumn="0"/>
            <w:tcW w:w="1611" w:type="pct"/>
            <w:shd w:val="clear" w:color="auto" w:fill="D7DDE9"/>
          </w:tcPr>
          <w:p w:rsidR="008516C0" w:rsidRPr="00055D2C" w:rsidRDefault="008516C0" w:rsidP="00184508">
            <w:pPr>
              <w:keepNext/>
              <w:keepLines/>
              <w:spacing w:before="70" w:after="70" w:line="240" w:lineRule="auto"/>
              <w:ind w:left="57" w:right="57"/>
              <w:rPr>
                <w:szCs w:val="20"/>
              </w:rPr>
            </w:pPr>
            <w:r w:rsidRPr="00055D2C">
              <w:rPr>
                <w:szCs w:val="20"/>
              </w:rPr>
              <w:t>($m)</w:t>
            </w:r>
          </w:p>
        </w:tc>
        <w:tc>
          <w:tcPr>
            <w:tcW w:w="680"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679"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r>
      <w:tr w:rsidR="00C36230" w:rsidRPr="00EF1D6A" w:rsidTr="000507C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C36230" w:rsidRPr="00055D2C" w:rsidRDefault="00C36230" w:rsidP="00184508">
            <w:pPr>
              <w:pStyle w:val="TableHeadingCentred"/>
              <w:spacing w:line="240" w:lineRule="auto"/>
              <w:ind w:left="57" w:right="57"/>
              <w:jc w:val="left"/>
              <w:rPr>
                <w:b/>
                <w:szCs w:val="20"/>
              </w:rPr>
            </w:pPr>
            <w:r w:rsidRPr="00055D2C">
              <w:rPr>
                <w:b/>
                <w:szCs w:val="20"/>
              </w:rPr>
              <w:t>Impact on fiscal and underlying cash balances</w:t>
            </w:r>
          </w:p>
        </w:tc>
      </w:tr>
      <w:tr w:rsidR="00F9532B" w:rsidTr="000D4CC1">
        <w:trPr>
          <w:cantSplit/>
        </w:trPr>
        <w:tc>
          <w:tcPr>
            <w:cnfStyle w:val="001000000000" w:firstRow="0" w:lastRow="0" w:firstColumn="1" w:lastColumn="0" w:oddVBand="0" w:evenVBand="0" w:oddHBand="0" w:evenHBand="0" w:firstRowFirstColumn="0" w:firstRowLastColumn="0" w:lastRowFirstColumn="0" w:lastRowLastColumn="0"/>
            <w:tcW w:w="1611" w:type="pct"/>
          </w:tcPr>
          <w:p w:rsidR="00F9532B" w:rsidRPr="00055D2C" w:rsidRDefault="00F9532B" w:rsidP="00184508">
            <w:pPr>
              <w:keepNext/>
              <w:keepLines/>
              <w:spacing w:before="70" w:after="70" w:line="240" w:lineRule="auto"/>
              <w:ind w:left="57" w:right="57"/>
              <w:rPr>
                <w:szCs w:val="20"/>
              </w:rPr>
            </w:pPr>
            <w:r w:rsidRPr="00055D2C">
              <w:rPr>
                <w:szCs w:val="20"/>
              </w:rPr>
              <w:t>Departmental</w:t>
            </w:r>
          </w:p>
        </w:tc>
        <w:tc>
          <w:tcPr>
            <w:tcW w:w="680"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-30.0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-30.0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-30.0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w:t>
            </w:r>
          </w:p>
        </w:tc>
        <w:tc>
          <w:tcPr>
            <w:tcW w:w="679"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-90.0</w:t>
            </w:r>
          </w:p>
        </w:tc>
      </w:tr>
      <w:tr w:rsidR="00F9532B" w:rsidRPr="008D6ECA" w:rsidTr="000D4CC1">
        <w:trPr>
          <w:cantSplit/>
        </w:trPr>
        <w:tc>
          <w:tcPr>
            <w:cnfStyle w:val="001000000000" w:firstRow="0" w:lastRow="0" w:firstColumn="1" w:lastColumn="0" w:oddVBand="0" w:evenVBand="0" w:oddHBand="0" w:evenHBand="0" w:firstRowFirstColumn="0" w:firstRowLastColumn="0" w:lastRowFirstColumn="0" w:lastRowLastColumn="0"/>
            <w:tcW w:w="1611" w:type="pct"/>
            <w:shd w:val="clear" w:color="auto" w:fill="E9ECF3"/>
          </w:tcPr>
          <w:p w:rsidR="00F9532B" w:rsidRPr="00055D2C" w:rsidRDefault="00F9532B" w:rsidP="00184508">
            <w:pPr>
              <w:keepNext/>
              <w:keepLines/>
              <w:spacing w:before="70" w:after="70" w:line="240" w:lineRule="auto"/>
              <w:ind w:left="57" w:right="57"/>
              <w:rPr>
                <w:b/>
                <w:szCs w:val="20"/>
              </w:rPr>
            </w:pPr>
            <w:r w:rsidRPr="00055D2C">
              <w:rPr>
                <w:b/>
                <w:szCs w:val="20"/>
              </w:rPr>
              <w:t>Total</w:t>
            </w:r>
          </w:p>
        </w:tc>
        <w:tc>
          <w:tcPr>
            <w:tcW w:w="680"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-30.0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-30.0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-30.0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w:t>
            </w:r>
          </w:p>
        </w:tc>
        <w:tc>
          <w:tcPr>
            <w:tcW w:w="679"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-90.0</w:t>
            </w:r>
          </w:p>
        </w:tc>
      </w:tr>
    </w:tbl>
    <w:p w:rsidR="008516C0" w:rsidRPr="008516C0" w:rsidRDefault="00BF41FF" w:rsidP="004739DE">
      <w:pPr>
        <w:pStyle w:val="Footnotes"/>
        <w:numPr>
          <w:ilvl w:val="0"/>
          <w:numId w:val="24"/>
        </w:numPr>
        <w:ind w:left="284" w:hanging="284"/>
      </w:pPr>
      <w:r w:rsidRPr="00BF41FF">
        <w:t>A negative number indicates a decrease in revenue or an increase in expenses or net capital investment in accrual and cash terms</w:t>
      </w:r>
      <w:r w:rsidR="008516C0" w:rsidRPr="008516C0">
        <w:t xml:space="preserve">. </w:t>
      </w:r>
    </w:p>
    <w:p w:rsidR="00C772BA" w:rsidRDefault="00C772BA" w:rsidP="00C772BA">
      <w:pPr>
        <w:pStyle w:val="Footnotes"/>
        <w:numPr>
          <w:ilvl w:val="0"/>
          <w:numId w:val="10"/>
        </w:numPr>
        <w:ind w:left="284" w:hanging="284"/>
      </w:pPr>
      <w:r w:rsidRPr="008516C0">
        <w:t>Figures may not sum to total due to rounding.</w:t>
      </w:r>
    </w:p>
    <w:p w:rsidR="00C772BA" w:rsidRDefault="00C772BA" w:rsidP="00C772BA">
      <w:pPr>
        <w:pStyle w:val="Footnotes"/>
        <w:numPr>
          <w:ilvl w:val="0"/>
          <w:numId w:val="28"/>
        </w:numPr>
        <w:ind w:left="284" w:hanging="284"/>
      </w:pPr>
      <w:r w:rsidRPr="00C772BA">
        <w:t>Indicates nil.</w:t>
      </w:r>
    </w:p>
    <w:p w:rsidR="008516C0" w:rsidRPr="00FC6579" w:rsidRDefault="004739DE" w:rsidP="008516C0">
      <w:pPr>
        <w:pStyle w:val="Captionheading"/>
      </w:pPr>
      <w:r>
        <w:t xml:space="preserve">Table A6: Component 5: </w:t>
      </w:r>
      <w:r w:rsidR="00F9532B" w:rsidRPr="00F9532B">
        <w:t>Threatened species - listing, recovery plans and research</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4949" w:type="pct"/>
        <w:tblLook w:val="0680" w:firstRow="0" w:lastRow="0" w:firstColumn="1" w:lastColumn="0" w:noHBand="1" w:noVBand="1"/>
      </w:tblPr>
      <w:tblGrid>
        <w:gridCol w:w="2138"/>
        <w:gridCol w:w="901"/>
        <w:gridCol w:w="901"/>
        <w:gridCol w:w="901"/>
        <w:gridCol w:w="902"/>
        <w:gridCol w:w="907"/>
        <w:gridCol w:w="902"/>
        <w:gridCol w:w="902"/>
        <w:gridCol w:w="902"/>
        <w:gridCol w:w="902"/>
        <w:gridCol w:w="902"/>
        <w:gridCol w:w="902"/>
        <w:gridCol w:w="902"/>
        <w:gridCol w:w="907"/>
      </w:tblGrid>
      <w:tr w:rsidR="00D4177D" w:rsidRPr="00B31810"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8516C0" w:rsidRPr="002266F2" w:rsidRDefault="008516C0" w:rsidP="00184508">
            <w:pPr>
              <w:keepNext/>
              <w:keepLines/>
              <w:spacing w:before="70" w:after="70" w:line="240" w:lineRule="auto"/>
              <w:ind w:left="57" w:right="57"/>
              <w:rPr>
                <w:szCs w:val="20"/>
              </w:rPr>
            </w:pPr>
            <w:r w:rsidRPr="002266F2">
              <w:rPr>
                <w:szCs w:val="20"/>
              </w:rPr>
              <w:t>($m)</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2016–17</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2017–18</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2018–19</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2019–20</w:t>
            </w:r>
          </w:p>
        </w:tc>
        <w:tc>
          <w:tcPr>
            <w:tcW w:w="327"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Total to 2019–20</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2020–21</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2021–22</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2022–23</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2023–24</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2024–25</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2025–26</w:t>
            </w:r>
          </w:p>
        </w:tc>
        <w:tc>
          <w:tcPr>
            <w:tcW w:w="325"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2026–27</w:t>
            </w:r>
          </w:p>
        </w:tc>
        <w:tc>
          <w:tcPr>
            <w:tcW w:w="326" w:type="pct"/>
            <w:shd w:val="clear" w:color="auto" w:fill="D7DDE9"/>
          </w:tcPr>
          <w:p w:rsidR="008516C0" w:rsidRPr="002266F2"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Total to 2026–27</w:t>
            </w:r>
          </w:p>
        </w:tc>
      </w:tr>
      <w:tr w:rsidR="00C36230" w:rsidRPr="00EF1D6A" w:rsidTr="00184508">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C36230" w:rsidRPr="002266F2" w:rsidRDefault="00C36230" w:rsidP="00184508">
            <w:pPr>
              <w:pStyle w:val="TableHeadingCentred"/>
              <w:spacing w:line="240" w:lineRule="auto"/>
              <w:ind w:left="57" w:right="57"/>
              <w:jc w:val="left"/>
              <w:rPr>
                <w:b/>
                <w:szCs w:val="20"/>
              </w:rPr>
            </w:pPr>
            <w:r w:rsidRPr="002266F2">
              <w:rPr>
                <w:b/>
                <w:szCs w:val="20"/>
              </w:rPr>
              <w:t>Impact on fiscal and underlying cash balances</w:t>
            </w:r>
          </w:p>
        </w:tc>
      </w:tr>
      <w:tr w:rsidR="00F9532B"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F9532B" w:rsidRPr="002266F2" w:rsidRDefault="00F9532B" w:rsidP="00184508">
            <w:pPr>
              <w:keepNext/>
              <w:keepLines/>
              <w:spacing w:before="70" w:after="70" w:line="240" w:lineRule="auto"/>
              <w:ind w:left="57" w:right="57"/>
              <w:rPr>
                <w:szCs w:val="20"/>
              </w:rPr>
            </w:pPr>
            <w:r w:rsidRPr="002266F2">
              <w:rPr>
                <w:szCs w:val="20"/>
              </w:rPr>
              <w:t>Administered</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7"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-19.3</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-4.8</w:t>
            </w:r>
          </w:p>
        </w:tc>
        <w:tc>
          <w:tcPr>
            <w:tcW w:w="326"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-53.1</w:t>
            </w:r>
          </w:p>
        </w:tc>
      </w:tr>
      <w:tr w:rsidR="00F9532B" w:rsidTr="00184508">
        <w:trPr>
          <w:cantSplit/>
        </w:trPr>
        <w:tc>
          <w:tcPr>
            <w:cnfStyle w:val="001000000000" w:firstRow="0" w:lastRow="0" w:firstColumn="1" w:lastColumn="0" w:oddVBand="0" w:evenVBand="0" w:oddHBand="0" w:evenHBand="0" w:firstRowFirstColumn="0" w:firstRowLastColumn="0" w:lastRowFirstColumn="0" w:lastRowLastColumn="0"/>
            <w:tcW w:w="771" w:type="pct"/>
          </w:tcPr>
          <w:p w:rsidR="00F9532B" w:rsidRPr="002266F2" w:rsidRDefault="00F9532B" w:rsidP="00184508">
            <w:pPr>
              <w:keepNext/>
              <w:keepLines/>
              <w:spacing w:before="70" w:after="70" w:line="240" w:lineRule="auto"/>
              <w:ind w:left="57" w:right="57"/>
              <w:rPr>
                <w:szCs w:val="20"/>
              </w:rPr>
            </w:pPr>
            <w:r w:rsidRPr="002266F2">
              <w:rPr>
                <w:szCs w:val="20"/>
              </w:rPr>
              <w:t>Departmental</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7"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-20.7</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5"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2266F2">
              <w:rPr>
                <w:szCs w:val="20"/>
              </w:rPr>
              <w:t>-5.2</w:t>
            </w:r>
          </w:p>
        </w:tc>
        <w:tc>
          <w:tcPr>
            <w:tcW w:w="326" w:type="pct"/>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2266F2">
              <w:rPr>
                <w:b/>
                <w:szCs w:val="20"/>
              </w:rPr>
              <w:t>-56.9</w:t>
            </w:r>
          </w:p>
        </w:tc>
      </w:tr>
      <w:tr w:rsidR="00D4177D" w:rsidRPr="008D6ECA" w:rsidTr="00184508">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E9ECF3"/>
          </w:tcPr>
          <w:p w:rsidR="00F9532B" w:rsidRPr="002266F2" w:rsidRDefault="00F9532B" w:rsidP="00184508">
            <w:pPr>
              <w:keepNext/>
              <w:keepLines/>
              <w:spacing w:before="70" w:after="70" w:line="240" w:lineRule="auto"/>
              <w:ind w:left="57" w:right="57"/>
              <w:rPr>
                <w:b/>
                <w:szCs w:val="20"/>
              </w:rPr>
            </w:pPr>
            <w:r w:rsidRPr="002266F2">
              <w:rPr>
                <w:b/>
                <w:szCs w:val="20"/>
              </w:rPr>
              <w:t>Total</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7"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-40.0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5"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-10.0</w:t>
            </w:r>
          </w:p>
        </w:tc>
        <w:tc>
          <w:tcPr>
            <w:tcW w:w="326" w:type="pct"/>
            <w:shd w:val="clear" w:color="auto" w:fill="E9ECF3"/>
          </w:tcPr>
          <w:p w:rsidR="00F9532B" w:rsidRPr="002266F2"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2266F2">
              <w:rPr>
                <w:b/>
                <w:i w:val="0"/>
                <w:szCs w:val="20"/>
              </w:rPr>
              <w:t>-110.0</w:t>
            </w:r>
          </w:p>
        </w:tc>
      </w:tr>
    </w:tbl>
    <w:p w:rsidR="008516C0" w:rsidRPr="008516C0" w:rsidRDefault="00BF41FF" w:rsidP="004739DE">
      <w:pPr>
        <w:pStyle w:val="Footnotes"/>
        <w:numPr>
          <w:ilvl w:val="0"/>
          <w:numId w:val="25"/>
        </w:numPr>
        <w:ind w:left="284" w:hanging="284"/>
      </w:pPr>
      <w:r w:rsidRPr="00BF41FF">
        <w:t>A negative number indicates a decrease in revenue or an increase in expenses or net capital investment in accrual and cash terms</w:t>
      </w:r>
      <w:r w:rsidR="008516C0" w:rsidRPr="008516C0">
        <w:t xml:space="preserve">. </w:t>
      </w:r>
    </w:p>
    <w:p w:rsidR="008516C0" w:rsidRDefault="008516C0" w:rsidP="008516C0">
      <w:pPr>
        <w:pStyle w:val="Footnotes"/>
        <w:numPr>
          <w:ilvl w:val="0"/>
          <w:numId w:val="10"/>
        </w:numPr>
        <w:ind w:left="284" w:hanging="284"/>
      </w:pPr>
      <w:r w:rsidRPr="008516C0">
        <w:t>Figures may not sum to total due to rounding.</w:t>
      </w:r>
    </w:p>
    <w:p w:rsidR="008516C0" w:rsidRPr="00FC6579" w:rsidRDefault="00F9532B" w:rsidP="008516C0">
      <w:pPr>
        <w:pStyle w:val="Captionheading"/>
      </w:pPr>
      <w:r w:rsidRPr="00F9532B">
        <w:lastRenderedPageBreak/>
        <w:t>Table A7: Component 6: Reform Federal Court system</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2375" w:type="pct"/>
        <w:tblLook w:val="0680" w:firstRow="0" w:lastRow="0" w:firstColumn="1" w:lastColumn="0" w:noHBand="1" w:noVBand="1"/>
      </w:tblPr>
      <w:tblGrid>
        <w:gridCol w:w="2146"/>
        <w:gridCol w:w="905"/>
        <w:gridCol w:w="901"/>
        <w:gridCol w:w="901"/>
        <w:gridCol w:w="901"/>
        <w:gridCol w:w="903"/>
      </w:tblGrid>
      <w:tr w:rsidR="008516C0" w:rsidRPr="00B31810" w:rsidTr="002266F2">
        <w:trPr>
          <w:cantSplit/>
        </w:trPr>
        <w:tc>
          <w:tcPr>
            <w:cnfStyle w:val="001000000000" w:firstRow="0" w:lastRow="0" w:firstColumn="1" w:lastColumn="0" w:oddVBand="0" w:evenVBand="0" w:oddHBand="0" w:evenHBand="0" w:firstRowFirstColumn="0" w:firstRowLastColumn="0" w:lastRowFirstColumn="0" w:lastRowLastColumn="0"/>
            <w:tcW w:w="1611" w:type="pct"/>
            <w:shd w:val="clear" w:color="auto" w:fill="D7DDE9"/>
          </w:tcPr>
          <w:p w:rsidR="008516C0" w:rsidRPr="00055D2C" w:rsidRDefault="008516C0" w:rsidP="00184508">
            <w:pPr>
              <w:keepNext/>
              <w:keepLines/>
              <w:spacing w:before="70" w:after="70" w:line="240" w:lineRule="auto"/>
              <w:ind w:left="57" w:right="57"/>
              <w:rPr>
                <w:szCs w:val="20"/>
              </w:rPr>
            </w:pPr>
            <w:r w:rsidRPr="00055D2C">
              <w:rPr>
                <w:szCs w:val="20"/>
              </w:rPr>
              <w:t>($m)</w:t>
            </w:r>
          </w:p>
        </w:tc>
        <w:tc>
          <w:tcPr>
            <w:tcW w:w="680"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679"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r>
      <w:tr w:rsidR="00C36230" w:rsidRPr="00EF1D6A" w:rsidTr="000507C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C36230" w:rsidRPr="00055D2C" w:rsidRDefault="00C36230" w:rsidP="00184508">
            <w:pPr>
              <w:pStyle w:val="TableHeadingCentred"/>
              <w:spacing w:line="240" w:lineRule="auto"/>
              <w:ind w:left="57" w:right="57"/>
              <w:jc w:val="left"/>
              <w:rPr>
                <w:b/>
                <w:szCs w:val="20"/>
              </w:rPr>
            </w:pPr>
            <w:r w:rsidRPr="00055D2C">
              <w:rPr>
                <w:b/>
                <w:szCs w:val="20"/>
              </w:rPr>
              <w:t>Impact on fiscal and underlying cash balances</w:t>
            </w:r>
          </w:p>
        </w:tc>
      </w:tr>
      <w:tr w:rsidR="00F9532B" w:rsidTr="002266F2">
        <w:trPr>
          <w:cantSplit/>
        </w:trPr>
        <w:tc>
          <w:tcPr>
            <w:cnfStyle w:val="001000000000" w:firstRow="0" w:lastRow="0" w:firstColumn="1" w:lastColumn="0" w:oddVBand="0" w:evenVBand="0" w:oddHBand="0" w:evenHBand="0" w:firstRowFirstColumn="0" w:firstRowLastColumn="0" w:lastRowFirstColumn="0" w:lastRowLastColumn="0"/>
            <w:tcW w:w="1611" w:type="pct"/>
          </w:tcPr>
          <w:p w:rsidR="00F9532B" w:rsidRPr="00055D2C" w:rsidRDefault="00F9532B" w:rsidP="00184508">
            <w:pPr>
              <w:keepNext/>
              <w:keepLines/>
              <w:spacing w:before="70" w:after="70" w:line="240" w:lineRule="auto"/>
              <w:ind w:left="57" w:right="57"/>
              <w:rPr>
                <w:szCs w:val="20"/>
              </w:rPr>
            </w:pPr>
            <w:r w:rsidRPr="00055D2C">
              <w:rPr>
                <w:szCs w:val="20"/>
              </w:rPr>
              <w:t>Departmental</w:t>
            </w:r>
          </w:p>
        </w:tc>
        <w:tc>
          <w:tcPr>
            <w:tcW w:w="680"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-0.5</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-0.5</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-0.5</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-0.5</w:t>
            </w:r>
          </w:p>
        </w:tc>
        <w:tc>
          <w:tcPr>
            <w:tcW w:w="679"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-2.0</w:t>
            </w:r>
          </w:p>
        </w:tc>
      </w:tr>
      <w:tr w:rsidR="00F9532B" w:rsidRPr="008D6ECA" w:rsidTr="002266F2">
        <w:trPr>
          <w:cantSplit/>
        </w:trPr>
        <w:tc>
          <w:tcPr>
            <w:cnfStyle w:val="001000000000" w:firstRow="0" w:lastRow="0" w:firstColumn="1" w:lastColumn="0" w:oddVBand="0" w:evenVBand="0" w:oddHBand="0" w:evenHBand="0" w:firstRowFirstColumn="0" w:firstRowLastColumn="0" w:lastRowFirstColumn="0" w:lastRowLastColumn="0"/>
            <w:tcW w:w="1611" w:type="pct"/>
            <w:shd w:val="clear" w:color="auto" w:fill="E9ECF3"/>
          </w:tcPr>
          <w:p w:rsidR="00F9532B" w:rsidRPr="00055D2C" w:rsidRDefault="00F9532B" w:rsidP="00184508">
            <w:pPr>
              <w:keepNext/>
              <w:keepLines/>
              <w:spacing w:before="70" w:after="70" w:line="240" w:lineRule="auto"/>
              <w:ind w:left="57" w:right="57"/>
              <w:rPr>
                <w:b/>
                <w:szCs w:val="20"/>
              </w:rPr>
            </w:pPr>
            <w:r w:rsidRPr="00055D2C">
              <w:rPr>
                <w:b/>
                <w:szCs w:val="20"/>
              </w:rPr>
              <w:t>Total</w:t>
            </w:r>
          </w:p>
        </w:tc>
        <w:tc>
          <w:tcPr>
            <w:tcW w:w="680"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-0.5</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-0.5</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-0.5</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-0.5</w:t>
            </w:r>
          </w:p>
        </w:tc>
        <w:tc>
          <w:tcPr>
            <w:tcW w:w="679"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w:t>
            </w:r>
          </w:p>
        </w:tc>
      </w:tr>
    </w:tbl>
    <w:p w:rsidR="008516C0" w:rsidRPr="008516C0" w:rsidRDefault="00BF41FF" w:rsidP="004739DE">
      <w:pPr>
        <w:pStyle w:val="Footnotes"/>
        <w:numPr>
          <w:ilvl w:val="0"/>
          <w:numId w:val="26"/>
        </w:numPr>
        <w:ind w:left="284" w:hanging="284"/>
      </w:pPr>
      <w:r w:rsidRPr="00BF41FF">
        <w:t>A negative number indicates a decrease in revenue or an increase in expenses or net capital investment in accrual and cash terms</w:t>
      </w:r>
      <w:r w:rsidR="008516C0" w:rsidRPr="008516C0">
        <w:t xml:space="preserve">. </w:t>
      </w:r>
    </w:p>
    <w:p w:rsidR="00C772BA" w:rsidRDefault="00C772BA" w:rsidP="00C772BA">
      <w:pPr>
        <w:pStyle w:val="Footnotes"/>
        <w:numPr>
          <w:ilvl w:val="0"/>
          <w:numId w:val="10"/>
        </w:numPr>
        <w:ind w:left="284" w:hanging="284"/>
      </w:pPr>
      <w:r w:rsidRPr="008516C0">
        <w:t>Figures may not sum to total due to rounding.</w:t>
      </w:r>
    </w:p>
    <w:p w:rsidR="008516C0" w:rsidRPr="00FC6579" w:rsidRDefault="00F9532B" w:rsidP="008516C0">
      <w:pPr>
        <w:pStyle w:val="Captionheading"/>
      </w:pPr>
      <w:r w:rsidRPr="00F9532B">
        <w:t xml:space="preserve">Table A8: Component 7: </w:t>
      </w:r>
      <w:r w:rsidR="0030128A" w:rsidRPr="0030128A">
        <w:t xml:space="preserve">World Heritage Areas </w:t>
      </w:r>
      <w:r w:rsidRPr="00F9532B">
        <w:t xml:space="preserve">and </w:t>
      </w:r>
      <w:proofErr w:type="spellStart"/>
      <w:r w:rsidR="00006987" w:rsidRPr="00F9532B">
        <w:t>R</w:t>
      </w:r>
      <w:r w:rsidR="00006987">
        <w:t>amsar</w:t>
      </w:r>
      <w:proofErr w:type="spellEnd"/>
      <w:r w:rsidR="00006987">
        <w:t xml:space="preserve"> </w:t>
      </w:r>
      <w:r w:rsidR="009F4756">
        <w:t xml:space="preserve">Convention </w:t>
      </w:r>
      <w:r w:rsidRPr="00F9532B">
        <w:t>review</w:t>
      </w:r>
      <w:r w:rsidR="00BF41FF">
        <w:t xml:space="preserve">—Financial </w:t>
      </w:r>
      <w:proofErr w:type="gramStart"/>
      <w:r w:rsidR="00BF41FF">
        <w:t>implications</w:t>
      </w:r>
      <w:r w:rsidR="00BF41FF">
        <w:rPr>
          <w:vertAlign w:val="superscript"/>
        </w:rPr>
        <w:t>(</w:t>
      </w:r>
      <w:proofErr w:type="gramEnd"/>
      <w:r w:rsidR="00BF41FF">
        <w:rPr>
          <w:vertAlign w:val="superscript"/>
        </w:rPr>
        <w:t>a)(b)</w:t>
      </w:r>
    </w:p>
    <w:tbl>
      <w:tblPr>
        <w:tblStyle w:val="TableGrid"/>
        <w:tblW w:w="2375" w:type="pct"/>
        <w:tblLook w:val="0680" w:firstRow="0" w:lastRow="0" w:firstColumn="1" w:lastColumn="0" w:noHBand="1" w:noVBand="1"/>
      </w:tblPr>
      <w:tblGrid>
        <w:gridCol w:w="2145"/>
        <w:gridCol w:w="904"/>
        <w:gridCol w:w="901"/>
        <w:gridCol w:w="901"/>
        <w:gridCol w:w="901"/>
        <w:gridCol w:w="905"/>
      </w:tblGrid>
      <w:tr w:rsidR="008516C0" w:rsidRPr="00B31810" w:rsidTr="002266F2">
        <w:trPr>
          <w:cantSplit/>
        </w:trPr>
        <w:tc>
          <w:tcPr>
            <w:cnfStyle w:val="001000000000" w:firstRow="0" w:lastRow="0" w:firstColumn="1" w:lastColumn="0" w:oddVBand="0" w:evenVBand="0" w:oddHBand="0" w:evenHBand="0" w:firstRowFirstColumn="0" w:firstRowLastColumn="0" w:lastRowFirstColumn="0" w:lastRowLastColumn="0"/>
            <w:tcW w:w="1610" w:type="pct"/>
            <w:shd w:val="clear" w:color="auto" w:fill="D7DDE9"/>
          </w:tcPr>
          <w:p w:rsidR="008516C0" w:rsidRPr="00055D2C" w:rsidRDefault="008516C0" w:rsidP="00184508">
            <w:pPr>
              <w:keepNext/>
              <w:keepLines/>
              <w:spacing w:before="70" w:after="70" w:line="240" w:lineRule="auto"/>
              <w:ind w:left="57" w:right="57"/>
              <w:rPr>
                <w:szCs w:val="20"/>
              </w:rPr>
            </w:pPr>
            <w:r w:rsidRPr="00055D2C">
              <w:rPr>
                <w:szCs w:val="20"/>
              </w:rPr>
              <w:t>($m)</w:t>
            </w:r>
          </w:p>
        </w:tc>
        <w:tc>
          <w:tcPr>
            <w:tcW w:w="679"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677"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681" w:type="pct"/>
            <w:shd w:val="clear" w:color="auto" w:fill="D7DDE9"/>
          </w:tcPr>
          <w:p w:rsidR="008516C0" w:rsidRPr="00055D2C" w:rsidRDefault="008516C0" w:rsidP="00184508">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r>
      <w:tr w:rsidR="00C36230" w:rsidRPr="00EF1D6A" w:rsidTr="00C36230">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C36230" w:rsidRPr="00055D2C" w:rsidRDefault="00C36230" w:rsidP="00184508">
            <w:pPr>
              <w:pStyle w:val="TableHeadingCentred"/>
              <w:spacing w:line="240" w:lineRule="auto"/>
              <w:ind w:left="57" w:right="57"/>
              <w:jc w:val="left"/>
              <w:rPr>
                <w:b/>
                <w:szCs w:val="20"/>
              </w:rPr>
            </w:pPr>
            <w:r w:rsidRPr="00055D2C">
              <w:rPr>
                <w:b/>
                <w:szCs w:val="20"/>
              </w:rPr>
              <w:t>Impact on fiscal and underlying cash balances</w:t>
            </w:r>
          </w:p>
        </w:tc>
      </w:tr>
      <w:tr w:rsidR="00F9532B" w:rsidTr="002266F2">
        <w:trPr>
          <w:cantSplit/>
        </w:trPr>
        <w:tc>
          <w:tcPr>
            <w:cnfStyle w:val="001000000000" w:firstRow="0" w:lastRow="0" w:firstColumn="1" w:lastColumn="0" w:oddVBand="0" w:evenVBand="0" w:oddHBand="0" w:evenHBand="0" w:firstRowFirstColumn="0" w:firstRowLastColumn="0" w:lastRowFirstColumn="0" w:lastRowLastColumn="0"/>
            <w:tcW w:w="1610" w:type="pct"/>
          </w:tcPr>
          <w:p w:rsidR="00F9532B" w:rsidRPr="00055D2C" w:rsidRDefault="00F9532B" w:rsidP="00184508">
            <w:pPr>
              <w:keepNext/>
              <w:keepLines/>
              <w:spacing w:before="70" w:after="70" w:line="240" w:lineRule="auto"/>
              <w:ind w:left="57" w:right="57"/>
              <w:rPr>
                <w:szCs w:val="20"/>
              </w:rPr>
            </w:pPr>
            <w:r w:rsidRPr="00055D2C">
              <w:rPr>
                <w:szCs w:val="20"/>
              </w:rPr>
              <w:t>Departmental</w:t>
            </w:r>
          </w:p>
        </w:tc>
        <w:tc>
          <w:tcPr>
            <w:tcW w:w="679"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-3.0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-20.0</w:t>
            </w:r>
          </w:p>
        </w:tc>
        <w:tc>
          <w:tcPr>
            <w:tcW w:w="677"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-20.0</w:t>
            </w:r>
          </w:p>
        </w:tc>
        <w:tc>
          <w:tcPr>
            <w:tcW w:w="681" w:type="pct"/>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-63.0</w:t>
            </w:r>
          </w:p>
        </w:tc>
      </w:tr>
      <w:tr w:rsidR="00F9532B" w:rsidRPr="008D6ECA" w:rsidTr="002266F2">
        <w:trPr>
          <w:cantSplit/>
        </w:trPr>
        <w:tc>
          <w:tcPr>
            <w:cnfStyle w:val="001000000000" w:firstRow="0" w:lastRow="0" w:firstColumn="1" w:lastColumn="0" w:oddVBand="0" w:evenVBand="0" w:oddHBand="0" w:evenHBand="0" w:firstRowFirstColumn="0" w:firstRowLastColumn="0" w:lastRowFirstColumn="0" w:lastRowLastColumn="0"/>
            <w:tcW w:w="1610" w:type="pct"/>
            <w:shd w:val="clear" w:color="auto" w:fill="E9ECF3"/>
          </w:tcPr>
          <w:p w:rsidR="00F9532B" w:rsidRPr="00055D2C" w:rsidRDefault="00F9532B" w:rsidP="00184508">
            <w:pPr>
              <w:keepNext/>
              <w:keepLines/>
              <w:spacing w:before="70" w:after="70" w:line="240" w:lineRule="auto"/>
              <w:ind w:left="57" w:right="57"/>
              <w:rPr>
                <w:b/>
                <w:szCs w:val="20"/>
              </w:rPr>
            </w:pPr>
            <w:r w:rsidRPr="00055D2C">
              <w:rPr>
                <w:b/>
                <w:szCs w:val="20"/>
              </w:rPr>
              <w:t>Total</w:t>
            </w:r>
          </w:p>
        </w:tc>
        <w:tc>
          <w:tcPr>
            <w:tcW w:w="679"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-3.0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-20.0</w:t>
            </w:r>
          </w:p>
        </w:tc>
        <w:tc>
          <w:tcPr>
            <w:tcW w:w="677"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-20.0</w:t>
            </w:r>
          </w:p>
        </w:tc>
        <w:tc>
          <w:tcPr>
            <w:tcW w:w="681" w:type="pct"/>
            <w:shd w:val="clear" w:color="auto" w:fill="E9ECF3"/>
          </w:tcPr>
          <w:p w:rsidR="00F9532B" w:rsidRPr="00055D2C" w:rsidRDefault="00F9532B" w:rsidP="00184508">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szCs w:val="20"/>
              </w:rPr>
            </w:pPr>
            <w:r w:rsidRPr="00055D2C">
              <w:rPr>
                <w:b/>
                <w:i w:val="0"/>
                <w:szCs w:val="20"/>
              </w:rPr>
              <w:t>-63.0</w:t>
            </w:r>
          </w:p>
        </w:tc>
      </w:tr>
    </w:tbl>
    <w:p w:rsidR="008516C0" w:rsidRPr="008516C0" w:rsidRDefault="00BF41FF" w:rsidP="004739DE">
      <w:pPr>
        <w:pStyle w:val="Footnotes"/>
        <w:numPr>
          <w:ilvl w:val="0"/>
          <w:numId w:val="27"/>
        </w:numPr>
        <w:ind w:left="284" w:hanging="284"/>
      </w:pPr>
      <w:r w:rsidRPr="00BF41FF">
        <w:t>A negative number indicates a decrease in revenue or an increase in expenses or net capital investment in accrual and cash terms</w:t>
      </w:r>
      <w:r w:rsidR="008516C0" w:rsidRPr="008516C0">
        <w:t xml:space="preserve">. </w:t>
      </w:r>
    </w:p>
    <w:p w:rsidR="00C772BA" w:rsidRDefault="00C772BA" w:rsidP="00C772BA">
      <w:pPr>
        <w:pStyle w:val="Footnotes"/>
        <w:numPr>
          <w:ilvl w:val="0"/>
          <w:numId w:val="10"/>
        </w:numPr>
        <w:ind w:left="284" w:hanging="284"/>
      </w:pPr>
      <w:r w:rsidRPr="008516C0">
        <w:t>Figures may not sum to total due to rounding.</w:t>
      </w:r>
    </w:p>
    <w:p w:rsidR="0030128A" w:rsidRPr="00FC6579" w:rsidRDefault="0030128A" w:rsidP="0030128A">
      <w:pPr>
        <w:pStyle w:val="Captionheading"/>
      </w:pPr>
      <w:r w:rsidRPr="00F9532B">
        <w:lastRenderedPageBreak/>
        <w:t>Table A</w:t>
      </w:r>
      <w:r>
        <w:t>9</w:t>
      </w:r>
      <w:r w:rsidRPr="00F9532B">
        <w:t xml:space="preserve">: Component </w:t>
      </w:r>
      <w:r>
        <w:t>8</w:t>
      </w:r>
      <w:r w:rsidRPr="00F9532B">
        <w:t xml:space="preserve">: </w:t>
      </w:r>
      <w:r w:rsidR="007C400A">
        <w:t>Yellow Crazy Ant eradication</w:t>
      </w:r>
      <w:r>
        <w:t xml:space="preserve">—Financial </w:t>
      </w:r>
      <w:proofErr w:type="gramStart"/>
      <w:r>
        <w:t>implications</w:t>
      </w:r>
      <w:r>
        <w:rPr>
          <w:vertAlign w:val="superscript"/>
        </w:rPr>
        <w:t>(</w:t>
      </w:r>
      <w:proofErr w:type="gramEnd"/>
      <w:r>
        <w:rPr>
          <w:vertAlign w:val="superscript"/>
        </w:rPr>
        <w:t>a)(b)</w:t>
      </w:r>
    </w:p>
    <w:tbl>
      <w:tblPr>
        <w:tblStyle w:val="TableGrid"/>
        <w:tblW w:w="2375" w:type="pct"/>
        <w:tblLook w:val="0680" w:firstRow="0" w:lastRow="0" w:firstColumn="1" w:lastColumn="0" w:noHBand="1" w:noVBand="1"/>
      </w:tblPr>
      <w:tblGrid>
        <w:gridCol w:w="2147"/>
        <w:gridCol w:w="904"/>
        <w:gridCol w:w="901"/>
        <w:gridCol w:w="901"/>
        <w:gridCol w:w="901"/>
        <w:gridCol w:w="903"/>
      </w:tblGrid>
      <w:tr w:rsidR="0030128A" w:rsidRPr="00B31810" w:rsidTr="00057C29">
        <w:trPr>
          <w:cantSplit/>
        </w:trPr>
        <w:tc>
          <w:tcPr>
            <w:cnfStyle w:val="001000000000" w:firstRow="0" w:lastRow="0" w:firstColumn="1" w:lastColumn="0" w:oddVBand="0" w:evenVBand="0" w:oddHBand="0" w:evenHBand="0" w:firstRowFirstColumn="0" w:firstRowLastColumn="0" w:lastRowFirstColumn="0" w:lastRowLastColumn="0"/>
            <w:tcW w:w="1612" w:type="pct"/>
            <w:shd w:val="clear" w:color="auto" w:fill="D7DDE9"/>
          </w:tcPr>
          <w:p w:rsidR="0030128A" w:rsidRPr="00055D2C" w:rsidRDefault="0030128A" w:rsidP="00057C29">
            <w:pPr>
              <w:keepNext/>
              <w:keepLines/>
              <w:spacing w:before="70" w:after="70" w:line="240" w:lineRule="auto"/>
              <w:ind w:left="57" w:right="57"/>
              <w:rPr>
                <w:szCs w:val="20"/>
              </w:rPr>
            </w:pPr>
            <w:r w:rsidRPr="00055D2C">
              <w:rPr>
                <w:szCs w:val="20"/>
              </w:rPr>
              <w:t>($m)</w:t>
            </w:r>
          </w:p>
        </w:tc>
        <w:tc>
          <w:tcPr>
            <w:tcW w:w="679" w:type="pct"/>
            <w:shd w:val="clear" w:color="auto" w:fill="D7DDE9"/>
          </w:tcPr>
          <w:p w:rsidR="0030128A" w:rsidRPr="00055D2C" w:rsidRDefault="0030128A" w:rsidP="00057C2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2016–17</w:t>
            </w:r>
          </w:p>
        </w:tc>
        <w:tc>
          <w:tcPr>
            <w:tcW w:w="677" w:type="pct"/>
            <w:shd w:val="clear" w:color="auto" w:fill="D7DDE9"/>
          </w:tcPr>
          <w:p w:rsidR="0030128A" w:rsidRPr="00055D2C" w:rsidRDefault="0030128A" w:rsidP="00057C2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2017–18</w:t>
            </w:r>
          </w:p>
        </w:tc>
        <w:tc>
          <w:tcPr>
            <w:tcW w:w="677" w:type="pct"/>
            <w:shd w:val="clear" w:color="auto" w:fill="D7DDE9"/>
          </w:tcPr>
          <w:p w:rsidR="0030128A" w:rsidRPr="00055D2C" w:rsidRDefault="0030128A" w:rsidP="00057C2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2018–19</w:t>
            </w:r>
          </w:p>
        </w:tc>
        <w:tc>
          <w:tcPr>
            <w:tcW w:w="677" w:type="pct"/>
            <w:shd w:val="clear" w:color="auto" w:fill="D7DDE9"/>
          </w:tcPr>
          <w:p w:rsidR="0030128A" w:rsidRPr="00055D2C" w:rsidRDefault="0030128A" w:rsidP="00057C2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szCs w:val="20"/>
              </w:rPr>
            </w:pPr>
            <w:r w:rsidRPr="00055D2C">
              <w:rPr>
                <w:szCs w:val="20"/>
              </w:rPr>
              <w:t>2019–20</w:t>
            </w:r>
          </w:p>
        </w:tc>
        <w:tc>
          <w:tcPr>
            <w:tcW w:w="679" w:type="pct"/>
            <w:shd w:val="clear" w:color="auto" w:fill="D7DDE9"/>
          </w:tcPr>
          <w:p w:rsidR="0030128A" w:rsidRPr="00055D2C" w:rsidRDefault="0030128A" w:rsidP="00057C29">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szCs w:val="20"/>
              </w:rPr>
            </w:pPr>
            <w:r w:rsidRPr="00055D2C">
              <w:rPr>
                <w:b/>
                <w:szCs w:val="20"/>
              </w:rPr>
              <w:t>Total to 2019–20</w:t>
            </w:r>
          </w:p>
        </w:tc>
      </w:tr>
      <w:tr w:rsidR="0030128A" w:rsidRPr="00EF1D6A" w:rsidTr="008B3CD9">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30128A" w:rsidRPr="00055D2C" w:rsidRDefault="0030128A" w:rsidP="00057C29">
            <w:pPr>
              <w:pStyle w:val="TableHeadingCentred"/>
              <w:ind w:left="57" w:right="57"/>
              <w:jc w:val="left"/>
              <w:rPr>
                <w:b/>
                <w:szCs w:val="20"/>
              </w:rPr>
            </w:pPr>
            <w:r w:rsidRPr="00055D2C">
              <w:rPr>
                <w:b/>
                <w:szCs w:val="20"/>
              </w:rPr>
              <w:t>Impact on fiscal and underlying cash balances</w:t>
            </w:r>
          </w:p>
        </w:tc>
      </w:tr>
      <w:tr w:rsidR="00057C29" w:rsidTr="00057C29">
        <w:trPr>
          <w:cantSplit/>
        </w:trPr>
        <w:tc>
          <w:tcPr>
            <w:cnfStyle w:val="001000000000" w:firstRow="0" w:lastRow="0" w:firstColumn="1" w:lastColumn="0" w:oddVBand="0" w:evenVBand="0" w:oddHBand="0" w:evenHBand="0" w:firstRowFirstColumn="0" w:firstRowLastColumn="0" w:lastRowFirstColumn="0" w:lastRowLastColumn="0"/>
            <w:tcW w:w="1612" w:type="pct"/>
          </w:tcPr>
          <w:p w:rsidR="00057C29" w:rsidRPr="00055D2C" w:rsidRDefault="00057C29" w:rsidP="00057C29">
            <w:pPr>
              <w:keepNext/>
              <w:keepLines/>
              <w:spacing w:before="70" w:after="70" w:line="240" w:lineRule="auto"/>
              <w:ind w:left="57" w:right="57"/>
              <w:rPr>
                <w:szCs w:val="20"/>
              </w:rPr>
            </w:pPr>
            <w:r w:rsidRPr="00057C29">
              <w:rPr>
                <w:szCs w:val="20"/>
              </w:rPr>
              <w:t>Administered</w:t>
            </w:r>
          </w:p>
        </w:tc>
        <w:tc>
          <w:tcPr>
            <w:tcW w:w="679" w:type="pct"/>
          </w:tcPr>
          <w:p w:rsidR="00057C29" w:rsidRPr="00FD4630"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pPr>
            <w:r w:rsidRPr="00FD4630">
              <w:t>-5.0</w:t>
            </w:r>
          </w:p>
        </w:tc>
        <w:tc>
          <w:tcPr>
            <w:tcW w:w="677" w:type="pct"/>
          </w:tcPr>
          <w:p w:rsidR="00057C29" w:rsidRPr="00FD4630"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pPr>
            <w:r w:rsidRPr="00FD4630">
              <w:t>-5.0</w:t>
            </w:r>
          </w:p>
        </w:tc>
        <w:tc>
          <w:tcPr>
            <w:tcW w:w="677" w:type="pct"/>
          </w:tcPr>
          <w:p w:rsidR="00057C29" w:rsidRPr="00FD4630"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pPr>
            <w:r w:rsidRPr="00FD4630">
              <w:t>-5.0</w:t>
            </w:r>
          </w:p>
        </w:tc>
        <w:tc>
          <w:tcPr>
            <w:tcW w:w="677" w:type="pct"/>
          </w:tcPr>
          <w:p w:rsidR="00057C29" w:rsidRPr="00FD4630"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pPr>
            <w:r w:rsidRPr="00FD4630">
              <w:t>-2.5</w:t>
            </w:r>
          </w:p>
        </w:tc>
        <w:tc>
          <w:tcPr>
            <w:tcW w:w="679" w:type="pct"/>
          </w:tcPr>
          <w:p w:rsidR="00057C29" w:rsidRPr="00B375D6"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rPr>
            </w:pPr>
            <w:r w:rsidRPr="00B375D6">
              <w:rPr>
                <w:b/>
              </w:rPr>
              <w:t>-17.5</w:t>
            </w:r>
          </w:p>
        </w:tc>
      </w:tr>
      <w:tr w:rsidR="00057C29" w:rsidRPr="008D6ECA" w:rsidTr="00057C29">
        <w:trPr>
          <w:cantSplit/>
        </w:trPr>
        <w:tc>
          <w:tcPr>
            <w:cnfStyle w:val="001000000000" w:firstRow="0" w:lastRow="0" w:firstColumn="1" w:lastColumn="0" w:oddVBand="0" w:evenVBand="0" w:oddHBand="0" w:evenHBand="0" w:firstRowFirstColumn="0" w:firstRowLastColumn="0" w:lastRowFirstColumn="0" w:lastRowLastColumn="0"/>
            <w:tcW w:w="1612" w:type="pct"/>
            <w:shd w:val="clear" w:color="auto" w:fill="E9ECF3"/>
          </w:tcPr>
          <w:p w:rsidR="00057C29" w:rsidRPr="00055D2C" w:rsidRDefault="00057C29" w:rsidP="00057C29">
            <w:pPr>
              <w:keepNext/>
              <w:keepLines/>
              <w:spacing w:before="70" w:after="70" w:line="240" w:lineRule="auto"/>
              <w:ind w:left="57" w:right="57"/>
              <w:rPr>
                <w:b/>
                <w:szCs w:val="20"/>
              </w:rPr>
            </w:pPr>
            <w:r w:rsidRPr="00055D2C">
              <w:rPr>
                <w:b/>
                <w:szCs w:val="20"/>
              </w:rPr>
              <w:t>Total</w:t>
            </w:r>
          </w:p>
        </w:tc>
        <w:tc>
          <w:tcPr>
            <w:tcW w:w="679" w:type="pct"/>
            <w:shd w:val="clear" w:color="auto" w:fill="E9ECF3"/>
          </w:tcPr>
          <w:p w:rsidR="00057C29" w:rsidRPr="00057C29"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057C29">
              <w:rPr>
                <w:b/>
                <w:i w:val="0"/>
              </w:rPr>
              <w:t>-5.0</w:t>
            </w:r>
          </w:p>
        </w:tc>
        <w:tc>
          <w:tcPr>
            <w:tcW w:w="677" w:type="pct"/>
            <w:shd w:val="clear" w:color="auto" w:fill="E9ECF3"/>
          </w:tcPr>
          <w:p w:rsidR="00057C29" w:rsidRPr="00057C29"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057C29">
              <w:rPr>
                <w:b/>
                <w:i w:val="0"/>
              </w:rPr>
              <w:t>-5.0</w:t>
            </w:r>
          </w:p>
        </w:tc>
        <w:tc>
          <w:tcPr>
            <w:tcW w:w="677" w:type="pct"/>
            <w:shd w:val="clear" w:color="auto" w:fill="E9ECF3"/>
          </w:tcPr>
          <w:p w:rsidR="00057C29" w:rsidRPr="00057C29"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057C29">
              <w:rPr>
                <w:b/>
                <w:i w:val="0"/>
              </w:rPr>
              <w:t>-5.0</w:t>
            </w:r>
          </w:p>
        </w:tc>
        <w:tc>
          <w:tcPr>
            <w:tcW w:w="677" w:type="pct"/>
            <w:shd w:val="clear" w:color="auto" w:fill="E9ECF3"/>
          </w:tcPr>
          <w:p w:rsidR="00057C29" w:rsidRPr="00057C29"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057C29">
              <w:rPr>
                <w:b/>
                <w:i w:val="0"/>
              </w:rPr>
              <w:t>-2.5</w:t>
            </w:r>
          </w:p>
        </w:tc>
        <w:tc>
          <w:tcPr>
            <w:tcW w:w="679" w:type="pct"/>
            <w:shd w:val="clear" w:color="auto" w:fill="E9ECF3"/>
          </w:tcPr>
          <w:p w:rsidR="00057C29" w:rsidRPr="00057C29" w:rsidRDefault="00057C29" w:rsidP="00057C29">
            <w:pPr>
              <w:pStyle w:val="TableTextRight"/>
              <w:ind w:left="57" w:right="57"/>
              <w:cnfStyle w:val="000000000000" w:firstRow="0" w:lastRow="0" w:firstColumn="0" w:lastColumn="0" w:oddVBand="0" w:evenVBand="0" w:oddHBand="0" w:evenHBand="0" w:firstRowFirstColumn="0" w:firstRowLastColumn="0" w:lastRowFirstColumn="0" w:lastRowLastColumn="0"/>
              <w:rPr>
                <w:b/>
                <w:i w:val="0"/>
              </w:rPr>
            </w:pPr>
            <w:r w:rsidRPr="00057C29">
              <w:rPr>
                <w:b/>
                <w:i w:val="0"/>
              </w:rPr>
              <w:t>-17.5</w:t>
            </w:r>
          </w:p>
        </w:tc>
      </w:tr>
    </w:tbl>
    <w:p w:rsidR="0030128A" w:rsidRPr="008516C0" w:rsidRDefault="0030128A" w:rsidP="00506121">
      <w:pPr>
        <w:pStyle w:val="Footnotes"/>
        <w:numPr>
          <w:ilvl w:val="0"/>
          <w:numId w:val="29"/>
        </w:numPr>
        <w:ind w:left="284" w:hanging="284"/>
      </w:pPr>
      <w:r w:rsidRPr="00BF41FF">
        <w:t>A negative number indicates a decrease in revenue or an increase in expenses or net capital investment in accrual and cash terms</w:t>
      </w:r>
      <w:r w:rsidRPr="008516C0">
        <w:t xml:space="preserve">. </w:t>
      </w:r>
    </w:p>
    <w:p w:rsidR="0030128A" w:rsidRDefault="0030128A" w:rsidP="00506121">
      <w:pPr>
        <w:pStyle w:val="Footnotes"/>
        <w:numPr>
          <w:ilvl w:val="0"/>
          <w:numId w:val="10"/>
        </w:numPr>
        <w:ind w:left="284" w:hanging="284"/>
      </w:pPr>
      <w:r w:rsidRPr="008516C0">
        <w:t>Figures may not sum to total due to rounding.</w:t>
      </w:r>
    </w:p>
    <w:sectPr w:rsidR="0030128A" w:rsidSect="00CA12A0">
      <w:headerReference w:type="first" r:id="rId17"/>
      <w:footerReference w:type="first" r:id="rId18"/>
      <w:pgSz w:w="16839" w:h="11907" w:orient="landscape" w:code="9"/>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D9" w:rsidRDefault="008B3CD9" w:rsidP="008F588A">
      <w:pPr>
        <w:spacing w:line="240" w:lineRule="auto"/>
      </w:pPr>
      <w:r>
        <w:separator/>
      </w:r>
    </w:p>
    <w:p w:rsidR="008B3CD9" w:rsidRDefault="008B3CD9"/>
  </w:endnote>
  <w:endnote w:type="continuationSeparator" w:id="0">
    <w:p w:rsidR="008B3CD9" w:rsidRDefault="008B3CD9" w:rsidP="008F588A">
      <w:pPr>
        <w:spacing w:line="240" w:lineRule="auto"/>
      </w:pPr>
      <w:r>
        <w:continuationSeparator/>
      </w:r>
    </w:p>
    <w:p w:rsidR="008B3CD9" w:rsidRDefault="008B3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C24267" w:rsidRDefault="008B3CD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82627">
      <w:rPr>
        <w:noProof/>
      </w:rPr>
      <w:t>9</w:t>
    </w:r>
    <w:r w:rsidRPr="00C24267">
      <w:fldChar w:fldCharType="end"/>
    </w:r>
    <w:r w:rsidRPr="00C24267">
      <w:t xml:space="preserve"> of </w:t>
    </w:r>
    <w:fldSimple w:instr=" NUMPAGES  \* Arabic  \* MERGEFORMAT ">
      <w:r w:rsidR="00482627">
        <w:rPr>
          <w:noProof/>
        </w:rPr>
        <w:t>9</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C24267" w:rsidRDefault="008B3CD9" w:rsidP="00C24267">
    <w:pPr>
      <w:pStyle w:val="Letterfooter"/>
    </w:pPr>
    <w:r w:rsidRPr="00C24267">
      <w:t>Parliamentary Budget Office   PO Box 6010   Parliament House   Canberra ACT 2600</w:t>
    </w:r>
  </w:p>
  <w:p w:rsidR="008B3CD9" w:rsidRPr="00C24267" w:rsidRDefault="008B3CD9"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C24267" w:rsidRDefault="008B3CD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82627">
      <w:rPr>
        <w:noProof/>
      </w:rPr>
      <w:t>2</w:t>
    </w:r>
    <w:r w:rsidRPr="00C24267">
      <w:fldChar w:fldCharType="end"/>
    </w:r>
    <w:r w:rsidRPr="00C24267">
      <w:t xml:space="preserve"> of </w:t>
    </w:r>
    <w:fldSimple w:instr=" NUMPAGES  \* Arabic  \* MERGEFORMAT ">
      <w:r w:rsidR="00482627">
        <w:rPr>
          <w:noProof/>
        </w:rPr>
        <w:t>9</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C24267" w:rsidRDefault="008B3CD9"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82627">
      <w:rPr>
        <w:noProof/>
      </w:rPr>
      <w:t>5</w:t>
    </w:r>
    <w:r w:rsidRPr="00C24267">
      <w:fldChar w:fldCharType="end"/>
    </w:r>
    <w:r w:rsidRPr="00C24267">
      <w:t xml:space="preserve"> of </w:t>
    </w:r>
    <w:fldSimple w:instr=" NUMPAGES  \* Arabic  \* MERGEFORMAT ">
      <w:r w:rsidR="00482627">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D9" w:rsidRDefault="008B3CD9" w:rsidP="008F588A">
      <w:pPr>
        <w:spacing w:line="240" w:lineRule="auto"/>
      </w:pPr>
      <w:r>
        <w:separator/>
      </w:r>
    </w:p>
    <w:p w:rsidR="008B3CD9" w:rsidRDefault="008B3CD9"/>
  </w:footnote>
  <w:footnote w:type="continuationSeparator" w:id="0">
    <w:p w:rsidR="008B3CD9" w:rsidRDefault="008B3CD9" w:rsidP="008F588A">
      <w:pPr>
        <w:spacing w:line="240" w:lineRule="auto"/>
      </w:pPr>
      <w:r>
        <w:continuationSeparator/>
      </w:r>
    </w:p>
    <w:p w:rsidR="008B3CD9" w:rsidRDefault="008B3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Default="008B3CD9" w:rsidP="00CB40E1">
    <w:pPr>
      <w:pStyle w:val="Header"/>
    </w:pPr>
    <w:r>
      <w:rPr>
        <w:noProof/>
        <w:lang w:eastAsia="en-AU"/>
      </w:rPr>
      <w:drawing>
        <wp:inline distT="0" distB="0" distL="0" distR="0" wp14:anchorId="1BED500A" wp14:editId="7A244607">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8B3CD9" w:rsidRPr="00DA1C8A" w:rsidRDefault="008B3CD9"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0A57FC" w:rsidRDefault="000A57FC" w:rsidP="000A57FC">
    <w:pPr>
      <w:pStyle w:val="Header"/>
    </w:pPr>
    <w:r>
      <w:rPr>
        <w:noProof/>
        <w:lang w:eastAsia="en-AU"/>
      </w:rPr>
      <w:drawing>
        <wp:inline distT="0" distB="0" distL="0" distR="0" wp14:anchorId="35E899B6" wp14:editId="375DA6A5">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D9" w:rsidRPr="000A57FC" w:rsidRDefault="008B3CD9" w:rsidP="000A5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65E7B5A"/>
    <w:multiLevelType w:val="hybridMultilevel"/>
    <w:tmpl w:val="F5600B58"/>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9070E29"/>
    <w:multiLevelType w:val="hybridMultilevel"/>
    <w:tmpl w:val="65EA4040"/>
    <w:lvl w:ilvl="0" w:tplc="CA7A5E2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745C3AB2"/>
    <w:multiLevelType w:val="hybridMultilevel"/>
    <w:tmpl w:val="1B560E6C"/>
    <w:lvl w:ilvl="0" w:tplc="B0F895A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C080122"/>
    <w:multiLevelType w:val="hybridMultilevel"/>
    <w:tmpl w:val="28548164"/>
    <w:lvl w:ilvl="0" w:tplc="E2C07836">
      <w:start w:val="1"/>
      <w:numFmt w:val="lowerLetter"/>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10"/>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8"/>
  </w:num>
  <w:num w:numId="18">
    <w:abstractNumId w:val="11"/>
  </w:num>
  <w:num w:numId="19">
    <w:abstractNumId w:val="2"/>
  </w:num>
  <w:num w:numId="20">
    <w:abstractNumId w:val="12"/>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9"/>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CA"/>
    <w:rsid w:val="00002D5D"/>
    <w:rsid w:val="00006987"/>
    <w:rsid w:val="00013CB8"/>
    <w:rsid w:val="00015FB2"/>
    <w:rsid w:val="00040DCE"/>
    <w:rsid w:val="000507CB"/>
    <w:rsid w:val="00055D2C"/>
    <w:rsid w:val="00057C29"/>
    <w:rsid w:val="00060F22"/>
    <w:rsid w:val="00096F3A"/>
    <w:rsid w:val="000A57FC"/>
    <w:rsid w:val="000C1A75"/>
    <w:rsid w:val="000D4CC1"/>
    <w:rsid w:val="0011232B"/>
    <w:rsid w:val="00117ED9"/>
    <w:rsid w:val="00123DFD"/>
    <w:rsid w:val="001278D0"/>
    <w:rsid w:val="0014239B"/>
    <w:rsid w:val="00184508"/>
    <w:rsid w:val="001A02D1"/>
    <w:rsid w:val="001D274A"/>
    <w:rsid w:val="00220BE5"/>
    <w:rsid w:val="002266F2"/>
    <w:rsid w:val="002422A3"/>
    <w:rsid w:val="002A3BAC"/>
    <w:rsid w:val="0030128A"/>
    <w:rsid w:val="00315E34"/>
    <w:rsid w:val="00326DE2"/>
    <w:rsid w:val="003D7744"/>
    <w:rsid w:val="003E4F5F"/>
    <w:rsid w:val="003F73CA"/>
    <w:rsid w:val="00410A2C"/>
    <w:rsid w:val="00440E32"/>
    <w:rsid w:val="00461597"/>
    <w:rsid w:val="004739DE"/>
    <w:rsid w:val="00482627"/>
    <w:rsid w:val="00485374"/>
    <w:rsid w:val="004C283B"/>
    <w:rsid w:val="004D13ED"/>
    <w:rsid w:val="004D5525"/>
    <w:rsid w:val="004F4D33"/>
    <w:rsid w:val="005035DA"/>
    <w:rsid w:val="00506121"/>
    <w:rsid w:val="00507897"/>
    <w:rsid w:val="00515A85"/>
    <w:rsid w:val="00545F24"/>
    <w:rsid w:val="0055581F"/>
    <w:rsid w:val="0056229A"/>
    <w:rsid w:val="00570154"/>
    <w:rsid w:val="00570B5A"/>
    <w:rsid w:val="00587422"/>
    <w:rsid w:val="005B1A4A"/>
    <w:rsid w:val="005B7B75"/>
    <w:rsid w:val="005C6967"/>
    <w:rsid w:val="005E3562"/>
    <w:rsid w:val="005F7DE0"/>
    <w:rsid w:val="00640346"/>
    <w:rsid w:val="00660385"/>
    <w:rsid w:val="00662E65"/>
    <w:rsid w:val="0066665A"/>
    <w:rsid w:val="00692DD8"/>
    <w:rsid w:val="006F0CE9"/>
    <w:rsid w:val="00706991"/>
    <w:rsid w:val="007202A8"/>
    <w:rsid w:val="007229A9"/>
    <w:rsid w:val="007608E8"/>
    <w:rsid w:val="00786FCA"/>
    <w:rsid w:val="007B029A"/>
    <w:rsid w:val="007C297C"/>
    <w:rsid w:val="007C400A"/>
    <w:rsid w:val="007D33AA"/>
    <w:rsid w:val="007D3577"/>
    <w:rsid w:val="007F7BCF"/>
    <w:rsid w:val="008030EC"/>
    <w:rsid w:val="00811D6D"/>
    <w:rsid w:val="00817E8E"/>
    <w:rsid w:val="00841C3A"/>
    <w:rsid w:val="00844776"/>
    <w:rsid w:val="008516C0"/>
    <w:rsid w:val="00860375"/>
    <w:rsid w:val="008850D9"/>
    <w:rsid w:val="008A4578"/>
    <w:rsid w:val="008B33B7"/>
    <w:rsid w:val="008B3CD9"/>
    <w:rsid w:val="008C03C3"/>
    <w:rsid w:val="008C045E"/>
    <w:rsid w:val="008C5FD7"/>
    <w:rsid w:val="008D3909"/>
    <w:rsid w:val="008D6ECA"/>
    <w:rsid w:val="008F588A"/>
    <w:rsid w:val="00902D2D"/>
    <w:rsid w:val="00915804"/>
    <w:rsid w:val="00916D5F"/>
    <w:rsid w:val="00957285"/>
    <w:rsid w:val="009573AF"/>
    <w:rsid w:val="00977D7B"/>
    <w:rsid w:val="0098070B"/>
    <w:rsid w:val="00986D99"/>
    <w:rsid w:val="00991786"/>
    <w:rsid w:val="009963ED"/>
    <w:rsid w:val="009D4063"/>
    <w:rsid w:val="009F4756"/>
    <w:rsid w:val="00A41BD3"/>
    <w:rsid w:val="00A449C2"/>
    <w:rsid w:val="00A624BC"/>
    <w:rsid w:val="00A65EA3"/>
    <w:rsid w:val="00A7322F"/>
    <w:rsid w:val="00A9688E"/>
    <w:rsid w:val="00AA3D6F"/>
    <w:rsid w:val="00AB55AE"/>
    <w:rsid w:val="00AB6F7D"/>
    <w:rsid w:val="00AC7878"/>
    <w:rsid w:val="00AD493E"/>
    <w:rsid w:val="00AE0901"/>
    <w:rsid w:val="00AE30B5"/>
    <w:rsid w:val="00AE5755"/>
    <w:rsid w:val="00B06055"/>
    <w:rsid w:val="00B43EFB"/>
    <w:rsid w:val="00B44D8A"/>
    <w:rsid w:val="00B67D31"/>
    <w:rsid w:val="00B73AC8"/>
    <w:rsid w:val="00B747A7"/>
    <w:rsid w:val="00BA2BBF"/>
    <w:rsid w:val="00BC559C"/>
    <w:rsid w:val="00BF41FF"/>
    <w:rsid w:val="00C17112"/>
    <w:rsid w:val="00C24267"/>
    <w:rsid w:val="00C36230"/>
    <w:rsid w:val="00C408EC"/>
    <w:rsid w:val="00C772BA"/>
    <w:rsid w:val="00CA12A0"/>
    <w:rsid w:val="00CA5D42"/>
    <w:rsid w:val="00CB0428"/>
    <w:rsid w:val="00CB40E1"/>
    <w:rsid w:val="00CF6DB6"/>
    <w:rsid w:val="00CF7D9A"/>
    <w:rsid w:val="00D134CA"/>
    <w:rsid w:val="00D33B17"/>
    <w:rsid w:val="00D4177D"/>
    <w:rsid w:val="00D52D5F"/>
    <w:rsid w:val="00D712F5"/>
    <w:rsid w:val="00D949A3"/>
    <w:rsid w:val="00DA1C8A"/>
    <w:rsid w:val="00DA3B55"/>
    <w:rsid w:val="00DB3D91"/>
    <w:rsid w:val="00DB44F0"/>
    <w:rsid w:val="00DD109E"/>
    <w:rsid w:val="00DD3E18"/>
    <w:rsid w:val="00DD5810"/>
    <w:rsid w:val="00E12103"/>
    <w:rsid w:val="00E15AAE"/>
    <w:rsid w:val="00E21184"/>
    <w:rsid w:val="00E40B8B"/>
    <w:rsid w:val="00E5742E"/>
    <w:rsid w:val="00EA265F"/>
    <w:rsid w:val="00EA5685"/>
    <w:rsid w:val="00EB2387"/>
    <w:rsid w:val="00ED43FF"/>
    <w:rsid w:val="00EE6600"/>
    <w:rsid w:val="00EF1D6A"/>
    <w:rsid w:val="00EF2E51"/>
    <w:rsid w:val="00F21865"/>
    <w:rsid w:val="00F31E24"/>
    <w:rsid w:val="00F4535C"/>
    <w:rsid w:val="00F52474"/>
    <w:rsid w:val="00F5529D"/>
    <w:rsid w:val="00F5669E"/>
    <w:rsid w:val="00F65645"/>
    <w:rsid w:val="00F65DEA"/>
    <w:rsid w:val="00F75D33"/>
    <w:rsid w:val="00F9532B"/>
    <w:rsid w:val="00F954CF"/>
    <w:rsid w:val="00F97DFF"/>
    <w:rsid w:val="00FC6579"/>
    <w:rsid w:val="00FD05E6"/>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A57FC"/>
    <w:rPr>
      <w:rFonts w:eastAsia="Times New Roman" w:cs="Times New Roman"/>
      <w:spacing w:val="0"/>
      <w:lang w:eastAsia="en-AU"/>
    </w:rPr>
  </w:style>
  <w:style w:type="paragraph" w:customStyle="1" w:styleId="Bullet2">
    <w:name w:val="Bullet 2"/>
    <w:basedOn w:val="ListBullet2"/>
    <w:link w:val="Bullet2Char"/>
    <w:qFormat/>
    <w:rsid w:val="000A57F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A57F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A57F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7C297C"/>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C400A"/>
    <w:rPr>
      <w:sz w:val="16"/>
      <w:szCs w:val="16"/>
    </w:rPr>
  </w:style>
  <w:style w:type="paragraph" w:styleId="CommentText">
    <w:name w:val="annotation text"/>
    <w:basedOn w:val="Normal"/>
    <w:link w:val="CommentTextChar"/>
    <w:uiPriority w:val="99"/>
    <w:semiHidden/>
    <w:unhideWhenUsed/>
    <w:rsid w:val="007C400A"/>
    <w:pPr>
      <w:spacing w:line="240" w:lineRule="auto"/>
    </w:pPr>
    <w:rPr>
      <w:sz w:val="20"/>
      <w:szCs w:val="20"/>
    </w:rPr>
  </w:style>
  <w:style w:type="character" w:customStyle="1" w:styleId="CommentTextChar">
    <w:name w:val="Comment Text Char"/>
    <w:basedOn w:val="DefaultParagraphFont"/>
    <w:link w:val="CommentText"/>
    <w:uiPriority w:val="99"/>
    <w:semiHidden/>
    <w:rsid w:val="007C400A"/>
    <w:rPr>
      <w:sz w:val="20"/>
      <w:szCs w:val="20"/>
    </w:rPr>
  </w:style>
  <w:style w:type="paragraph" w:styleId="CommentSubject">
    <w:name w:val="annotation subject"/>
    <w:basedOn w:val="CommentText"/>
    <w:next w:val="CommentText"/>
    <w:link w:val="CommentSubjectChar"/>
    <w:uiPriority w:val="99"/>
    <w:semiHidden/>
    <w:unhideWhenUsed/>
    <w:rsid w:val="007C400A"/>
    <w:rPr>
      <w:b/>
      <w:bCs/>
    </w:rPr>
  </w:style>
  <w:style w:type="character" w:customStyle="1" w:styleId="CommentSubjectChar">
    <w:name w:val="Comment Subject Char"/>
    <w:basedOn w:val="CommentTextChar"/>
    <w:link w:val="CommentSubject"/>
    <w:uiPriority w:val="99"/>
    <w:semiHidden/>
    <w:rsid w:val="007C400A"/>
    <w:rPr>
      <w:b/>
      <w:bCs/>
      <w:sz w:val="20"/>
      <w:szCs w:val="20"/>
    </w:rPr>
  </w:style>
  <w:style w:type="character" w:styleId="FollowedHyperlink">
    <w:name w:val="FollowedHyperlink"/>
    <w:basedOn w:val="DefaultParagraphFont"/>
    <w:uiPriority w:val="99"/>
    <w:semiHidden/>
    <w:unhideWhenUsed/>
    <w:rsid w:val="007C40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0A57FC"/>
    <w:rPr>
      <w:rFonts w:eastAsia="Times New Roman" w:cs="Times New Roman"/>
      <w:spacing w:val="0"/>
      <w:lang w:eastAsia="en-AU"/>
    </w:rPr>
  </w:style>
  <w:style w:type="paragraph" w:customStyle="1" w:styleId="Bullet2">
    <w:name w:val="Bullet 2"/>
    <w:basedOn w:val="ListBullet2"/>
    <w:link w:val="Bullet2Char"/>
    <w:qFormat/>
    <w:rsid w:val="000A57F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0A57FC"/>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0A57F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Bullet4">
    <w:name w:val="Bullet 4"/>
    <w:basedOn w:val="Normal"/>
    <w:qFormat/>
    <w:rsid w:val="007C297C"/>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C400A"/>
    <w:rPr>
      <w:sz w:val="16"/>
      <w:szCs w:val="16"/>
    </w:rPr>
  </w:style>
  <w:style w:type="paragraph" w:styleId="CommentText">
    <w:name w:val="annotation text"/>
    <w:basedOn w:val="Normal"/>
    <w:link w:val="CommentTextChar"/>
    <w:uiPriority w:val="99"/>
    <w:semiHidden/>
    <w:unhideWhenUsed/>
    <w:rsid w:val="007C400A"/>
    <w:pPr>
      <w:spacing w:line="240" w:lineRule="auto"/>
    </w:pPr>
    <w:rPr>
      <w:sz w:val="20"/>
      <w:szCs w:val="20"/>
    </w:rPr>
  </w:style>
  <w:style w:type="character" w:customStyle="1" w:styleId="CommentTextChar">
    <w:name w:val="Comment Text Char"/>
    <w:basedOn w:val="DefaultParagraphFont"/>
    <w:link w:val="CommentText"/>
    <w:uiPriority w:val="99"/>
    <w:semiHidden/>
    <w:rsid w:val="007C400A"/>
    <w:rPr>
      <w:sz w:val="20"/>
      <w:szCs w:val="20"/>
    </w:rPr>
  </w:style>
  <w:style w:type="paragraph" w:styleId="CommentSubject">
    <w:name w:val="annotation subject"/>
    <w:basedOn w:val="CommentText"/>
    <w:next w:val="CommentText"/>
    <w:link w:val="CommentSubjectChar"/>
    <w:uiPriority w:val="99"/>
    <w:semiHidden/>
    <w:unhideWhenUsed/>
    <w:rsid w:val="007C400A"/>
    <w:rPr>
      <w:b/>
      <w:bCs/>
    </w:rPr>
  </w:style>
  <w:style w:type="character" w:customStyle="1" w:styleId="CommentSubjectChar">
    <w:name w:val="Comment Subject Char"/>
    <w:basedOn w:val="CommentTextChar"/>
    <w:link w:val="CommentSubject"/>
    <w:uiPriority w:val="99"/>
    <w:semiHidden/>
    <w:rsid w:val="007C400A"/>
    <w:rPr>
      <w:b/>
      <w:bCs/>
      <w:sz w:val="20"/>
      <w:szCs w:val="20"/>
    </w:rPr>
  </w:style>
  <w:style w:type="character" w:styleId="FollowedHyperlink">
    <w:name w:val="FollowedHyperlink"/>
    <w:basedOn w:val="DefaultParagraphFont"/>
    <w:uiPriority w:val="99"/>
    <w:semiHidden/>
    <w:unhideWhenUsed/>
    <w:rsid w:val="007C4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wildlife"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greens.org.au/news/qld/greens-commit-full-funding-eradicate-yellow-crazy-ants-while-other-parties-make-hal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1D1B6EA-6B14-49A5-849A-EDAF3D63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212</TotalTime>
  <Pages>9</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PBO - GRN061 - Protecting Our Precious Places - 30 June 2016</vt:lpstr>
    </vt:vector>
  </TitlesOfParts>
  <Company>Parliament of Australia</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GRN061 - Protecting Our Precious Places - 30 June 2016</dc:title>
  <dc:creator>Parliamentary Budget Office</dc:creator>
  <cp:lastModifiedBy>Milligan, Louise (PBO)</cp:lastModifiedBy>
  <cp:revision>52</cp:revision>
  <cp:lastPrinted>2016-06-30T09:22:00Z</cp:lastPrinted>
  <dcterms:created xsi:type="dcterms:W3CDTF">2016-06-24T00:13:00Z</dcterms:created>
  <dcterms:modified xsi:type="dcterms:W3CDTF">2016-06-30T12:49:00Z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