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DCE" w:rsidRDefault="00134EC7" w:rsidP="00C17112">
      <w:pPr>
        <w:spacing w:before="1560"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Senator </w:t>
      </w:r>
      <w:r w:rsidR="005E4153">
        <w:rPr>
          <w:rFonts w:ascii="Times New Roman" w:hAnsi="Times New Roman" w:cs="Times New Roman"/>
          <w:sz w:val="24"/>
          <w:szCs w:val="24"/>
        </w:rPr>
        <w:t xml:space="preserve">Richard </w:t>
      </w:r>
      <w:r>
        <w:rPr>
          <w:rFonts w:ascii="Times New Roman" w:hAnsi="Times New Roman" w:cs="Times New Roman"/>
          <w:sz w:val="24"/>
          <w:szCs w:val="24"/>
        </w:rPr>
        <w:t>Di Natale</w:t>
      </w:r>
    </w:p>
    <w:p w:rsidR="00040DCE" w:rsidRDefault="00134EC7" w:rsidP="00C17112">
      <w:p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Leader of the Australian Greens</w:t>
      </w:r>
    </w:p>
    <w:p w:rsidR="00040DCE" w:rsidRPr="00002D5D" w:rsidRDefault="005C6967" w:rsidP="00C17112">
      <w:p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Parliament House</w:t>
      </w:r>
    </w:p>
    <w:p w:rsidR="00040DCE" w:rsidRPr="00002D5D" w:rsidRDefault="005C6967" w:rsidP="00C17112">
      <w:p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CANBERRA  ACT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2600</w:t>
      </w:r>
    </w:p>
    <w:p w:rsidR="00040DCE" w:rsidRPr="00002D5D" w:rsidRDefault="00040DCE" w:rsidP="00040DCE">
      <w:pPr>
        <w:spacing w:before="480" w:line="240" w:lineRule="auto"/>
        <w:rPr>
          <w:rFonts w:ascii="Times New Roman" w:hAnsi="Times New Roman" w:cs="Times New Roman"/>
          <w:sz w:val="24"/>
          <w:szCs w:val="24"/>
        </w:rPr>
      </w:pPr>
      <w:r w:rsidRPr="00002D5D">
        <w:rPr>
          <w:rFonts w:ascii="Times New Roman" w:hAnsi="Times New Roman" w:cs="Times New Roman"/>
          <w:sz w:val="24"/>
          <w:szCs w:val="24"/>
        </w:rPr>
        <w:t xml:space="preserve">Dear </w:t>
      </w:r>
      <w:r w:rsidR="00134EC7">
        <w:rPr>
          <w:rFonts w:ascii="Times New Roman" w:hAnsi="Times New Roman" w:cs="Times New Roman"/>
          <w:sz w:val="24"/>
          <w:szCs w:val="24"/>
        </w:rPr>
        <w:t>Senator Di Natale</w:t>
      </w:r>
    </w:p>
    <w:p w:rsidR="00040DCE" w:rsidRPr="00002D5D" w:rsidRDefault="00040DCE" w:rsidP="00C17112">
      <w:pPr>
        <w:pStyle w:val="Lettertext"/>
      </w:pPr>
      <w:r w:rsidRPr="00002D5D">
        <w:t xml:space="preserve">Please find attached a response to your costing request, </w:t>
      </w:r>
      <w:r w:rsidR="00A35B01">
        <w:rPr>
          <w:i/>
        </w:rPr>
        <w:t>Empowering and supporting Aboriginal and Torres Strait Islander peoples</w:t>
      </w:r>
      <w:r w:rsidR="00134EC7">
        <w:t xml:space="preserve"> (letter of </w:t>
      </w:r>
      <w:r w:rsidR="00A73BBB">
        <w:t>29</w:t>
      </w:r>
      <w:r w:rsidR="00134EC7">
        <w:t xml:space="preserve"> June </w:t>
      </w:r>
      <w:r w:rsidRPr="00002D5D">
        <w:t>2016).</w:t>
      </w:r>
    </w:p>
    <w:p w:rsidR="00040DCE" w:rsidRPr="00002D5D" w:rsidRDefault="00040DCE" w:rsidP="00C17112">
      <w:pPr>
        <w:pStyle w:val="Lettertext"/>
      </w:pPr>
      <w:r w:rsidRPr="00002D5D">
        <w:t>The response to this request will be released on the PBO website (</w:t>
      </w:r>
      <w:hyperlink r:id="rId9" w:history="1">
        <w:r w:rsidRPr="00002D5D">
          <w:rPr>
            <w:rStyle w:val="Hyperlink"/>
          </w:rPr>
          <w:t>www.</w:t>
        </w:r>
        <w:r w:rsidR="00B44D8A">
          <w:rPr>
            <w:rStyle w:val="Hyperlink"/>
          </w:rPr>
          <w:t>pbo.gov.au</w:t>
        </w:r>
      </w:hyperlink>
      <w:r w:rsidRPr="00002D5D">
        <w:t>).</w:t>
      </w:r>
    </w:p>
    <w:p w:rsidR="00040DCE" w:rsidRPr="00002D5D" w:rsidRDefault="00040DCE" w:rsidP="00C17112">
      <w:pPr>
        <w:pStyle w:val="Lettertext"/>
      </w:pPr>
      <w:r w:rsidRPr="00002D5D">
        <w:t xml:space="preserve">If you have any queries about this costing, please </w:t>
      </w:r>
      <w:r w:rsidR="00F75D33">
        <w:t>contact Colin </w:t>
      </w:r>
      <w:r w:rsidR="003D7744">
        <w:t>Brown on (02) </w:t>
      </w:r>
      <w:r w:rsidRPr="00002D5D">
        <w:t>6277</w:t>
      </w:r>
      <w:r w:rsidR="003D7744">
        <w:t> </w:t>
      </w:r>
      <w:r w:rsidRPr="00002D5D">
        <w:t>9530.</w:t>
      </w:r>
    </w:p>
    <w:p w:rsidR="00040DCE" w:rsidRPr="00002D5D" w:rsidRDefault="00040DCE" w:rsidP="00C17112">
      <w:pPr>
        <w:pStyle w:val="Lettertext"/>
      </w:pPr>
      <w:r w:rsidRPr="00002D5D">
        <w:t>Yours sincerely</w:t>
      </w:r>
    </w:p>
    <w:p w:rsidR="00040DCE" w:rsidRPr="00002D5D" w:rsidRDefault="00DA1C8A" w:rsidP="00C17112">
      <w:pPr>
        <w:spacing w:before="960" w:after="0" w:line="240" w:lineRule="auto"/>
        <w:rPr>
          <w:rFonts w:ascii="Times New Roman" w:hAnsi="Times New Roman" w:cs="Times New Roman"/>
          <w:sz w:val="24"/>
          <w:szCs w:val="24"/>
        </w:rPr>
      </w:pPr>
      <w:r w:rsidRPr="00002D5D">
        <w:rPr>
          <w:rFonts w:ascii="Times New Roman" w:hAnsi="Times New Roman" w:cs="Times New Roman"/>
          <w:sz w:val="24"/>
          <w:szCs w:val="24"/>
        </w:rPr>
        <w:t>Phil Bowen</w:t>
      </w:r>
    </w:p>
    <w:p w:rsidR="00096F3A" w:rsidRPr="00002D5D" w:rsidRDefault="00A15DCD" w:rsidP="00A15DCD">
      <w:pPr>
        <w:spacing w:before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30 </w:t>
      </w:r>
      <w:r w:rsidR="00134EC7">
        <w:rPr>
          <w:rFonts w:ascii="Times New Roman" w:hAnsi="Times New Roman" w:cs="Times New Roman"/>
          <w:sz w:val="24"/>
          <w:szCs w:val="24"/>
        </w:rPr>
        <w:t>June</w:t>
      </w:r>
      <w:r w:rsidR="00040DCE" w:rsidRPr="00002D5D">
        <w:rPr>
          <w:rFonts w:ascii="Times New Roman" w:hAnsi="Times New Roman" w:cs="Times New Roman"/>
          <w:sz w:val="24"/>
          <w:szCs w:val="24"/>
        </w:rPr>
        <w:t xml:space="preserve"> </w:t>
      </w:r>
      <w:r w:rsidR="00DA1C8A" w:rsidRPr="00002D5D">
        <w:rPr>
          <w:rFonts w:ascii="Times New Roman" w:hAnsi="Times New Roman" w:cs="Times New Roman"/>
          <w:sz w:val="24"/>
          <w:szCs w:val="24"/>
        </w:rPr>
        <w:t>2016</w:t>
      </w:r>
    </w:p>
    <w:p w:rsidR="00040DCE" w:rsidRPr="00002D5D" w:rsidRDefault="00040DCE" w:rsidP="00040DCE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040DCE" w:rsidRPr="00002D5D" w:rsidRDefault="00040DCE" w:rsidP="00040DCE">
      <w:pPr>
        <w:pStyle w:val="BodyText"/>
        <w:rPr>
          <w:rFonts w:ascii="Times New Roman" w:hAnsi="Times New Roman" w:cs="Times New Roman"/>
          <w:sz w:val="24"/>
          <w:szCs w:val="24"/>
        </w:rPr>
        <w:sectPr w:rsidR="00040DCE" w:rsidRPr="00002D5D" w:rsidSect="00002D5D">
          <w:footerReference w:type="default" r:id="rId10"/>
          <w:headerReference w:type="first" r:id="rId11"/>
          <w:footerReference w:type="first" r:id="rId12"/>
          <w:pgSz w:w="11906" w:h="16838"/>
          <w:pgMar w:top="1361" w:right="1797" w:bottom="1474" w:left="1797" w:header="709" w:footer="709" w:gutter="0"/>
          <w:cols w:space="708"/>
          <w:titlePg/>
          <w:docGrid w:linePitch="360"/>
        </w:sectPr>
      </w:pPr>
    </w:p>
    <w:p w:rsidR="008F588A" w:rsidRDefault="008F588A" w:rsidP="00002D5D">
      <w:pPr>
        <w:pStyle w:val="Heading1"/>
      </w:pPr>
      <w:r w:rsidRPr="00002D5D">
        <w:lastRenderedPageBreak/>
        <w:t xml:space="preserve">Policy costing—during the caretaker period for </w:t>
      </w:r>
      <w:r w:rsidR="007D33AA" w:rsidRPr="00002D5D">
        <w:t>the 2016</w:t>
      </w:r>
      <w:r w:rsidR="00002D5D" w:rsidRPr="00002D5D">
        <w:t> </w:t>
      </w:r>
      <w:r w:rsidRPr="00002D5D">
        <w:t>general election</w:t>
      </w:r>
    </w:p>
    <w:tbl>
      <w:tblPr>
        <w:tblStyle w:val="Style1"/>
        <w:tblW w:w="9180" w:type="dxa"/>
        <w:tblLook w:val="04A0" w:firstRow="1" w:lastRow="0" w:firstColumn="1" w:lastColumn="0" w:noHBand="0" w:noVBand="1"/>
      </w:tblPr>
      <w:tblGrid>
        <w:gridCol w:w="3005"/>
        <w:gridCol w:w="6175"/>
      </w:tblGrid>
      <w:tr w:rsidR="004D5525" w:rsidRPr="009E1B99" w:rsidTr="000E66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005" w:type="dxa"/>
          </w:tcPr>
          <w:p w:rsidR="004D5525" w:rsidRPr="009E1B99" w:rsidRDefault="004D5525" w:rsidP="004D5525">
            <w:pPr>
              <w:pStyle w:val="BodyText"/>
              <w:rPr>
                <w:sz w:val="22"/>
              </w:rPr>
            </w:pPr>
            <w:r w:rsidRPr="009E1B99">
              <w:rPr>
                <w:sz w:val="22"/>
              </w:rPr>
              <w:t>Name of proposal:</w:t>
            </w:r>
          </w:p>
        </w:tc>
        <w:tc>
          <w:tcPr>
            <w:tcW w:w="6175" w:type="dxa"/>
          </w:tcPr>
          <w:p w:rsidR="00635769" w:rsidRPr="009E1B99" w:rsidRDefault="00635769" w:rsidP="004D5525">
            <w:pPr>
              <w:pStyle w:val="BodyText"/>
              <w:rPr>
                <w:sz w:val="22"/>
              </w:rPr>
            </w:pPr>
            <w:r w:rsidRPr="009E1B99">
              <w:rPr>
                <w:sz w:val="22"/>
              </w:rPr>
              <w:t xml:space="preserve">Empowering and supporting Aboriginal and </w:t>
            </w:r>
            <w:r w:rsidR="009E1B99">
              <w:rPr>
                <w:sz w:val="22"/>
              </w:rPr>
              <w:br/>
            </w:r>
            <w:r w:rsidRPr="009E1B99">
              <w:rPr>
                <w:sz w:val="22"/>
              </w:rPr>
              <w:t>Torres Strait Islander peoples</w:t>
            </w:r>
          </w:p>
        </w:tc>
      </w:tr>
      <w:tr w:rsidR="004D5525" w:rsidTr="000E6652">
        <w:tc>
          <w:tcPr>
            <w:tcW w:w="3005" w:type="dxa"/>
          </w:tcPr>
          <w:p w:rsidR="004D5525" w:rsidRDefault="004D5525" w:rsidP="004D5525">
            <w:pPr>
              <w:pStyle w:val="BodyText"/>
            </w:pPr>
            <w:r>
              <w:t>Summary of proposal:</w:t>
            </w:r>
          </w:p>
        </w:tc>
        <w:tc>
          <w:tcPr>
            <w:tcW w:w="6175" w:type="dxa"/>
          </w:tcPr>
          <w:p w:rsidR="00BF5262" w:rsidRDefault="00B47F16" w:rsidP="00B47F16">
            <w:r>
              <w:t>The proposal</w:t>
            </w:r>
            <w:r w:rsidR="00D24022">
              <w:t xml:space="preserve"> is comprised of</w:t>
            </w:r>
            <w:r w:rsidR="00DC5CE2">
              <w:t xml:space="preserve"> four</w:t>
            </w:r>
            <w:r w:rsidR="00D24022">
              <w:t xml:space="preserve"> components</w:t>
            </w:r>
            <w:r w:rsidR="00BF5262">
              <w:t>.</w:t>
            </w:r>
          </w:p>
          <w:p w:rsidR="00B47F16" w:rsidRDefault="00BF5262" w:rsidP="00B47F16">
            <w:r>
              <w:rPr>
                <w:u w:val="single"/>
              </w:rPr>
              <w:t>Component 1: Sovereignty and Treaty</w:t>
            </w:r>
          </w:p>
          <w:p w:rsidR="00BF5262" w:rsidRDefault="00BF5262" w:rsidP="00E857F2">
            <w:pPr>
              <w:pStyle w:val="Bullet1"/>
              <w:ind w:left="284" w:hanging="284"/>
            </w:pPr>
            <w:r>
              <w:t>This component would</w:t>
            </w:r>
            <w:r w:rsidR="00DC5CE2">
              <w:t xml:space="preserve"> </w:t>
            </w:r>
            <w:r w:rsidR="00D24022" w:rsidRPr="00DC5CE2">
              <w:t>provid</w:t>
            </w:r>
            <w:r w:rsidR="00DC5CE2">
              <w:t>e</w:t>
            </w:r>
            <w:r w:rsidR="00D24022" w:rsidRPr="00DC5CE2">
              <w:t xml:space="preserve"> </w:t>
            </w:r>
            <w:r>
              <w:t xml:space="preserve">grants of </w:t>
            </w:r>
            <w:r w:rsidR="000E6652" w:rsidRPr="00DC5CE2">
              <w:t>$15</w:t>
            </w:r>
            <w:r w:rsidR="00DC5CE2">
              <w:t xml:space="preserve"> </w:t>
            </w:r>
            <w:r w:rsidR="000E6652" w:rsidRPr="00DC5CE2">
              <w:t>m</w:t>
            </w:r>
            <w:r w:rsidR="00DC5CE2">
              <w:t>illion</w:t>
            </w:r>
            <w:r w:rsidR="000E6652" w:rsidRPr="00DC5CE2">
              <w:t xml:space="preserve"> (not including administration costs) </w:t>
            </w:r>
            <w:r>
              <w:t xml:space="preserve">per year </w:t>
            </w:r>
            <w:r w:rsidR="000E6652" w:rsidRPr="00DC5CE2">
              <w:t xml:space="preserve">over two years to Aboriginal and Torres Strait Islander </w:t>
            </w:r>
            <w:r w:rsidR="002306AD" w:rsidRPr="00DC5CE2">
              <w:t xml:space="preserve">(ATSI) </w:t>
            </w:r>
            <w:r w:rsidR="000E6652" w:rsidRPr="00DC5CE2">
              <w:t>individuals, organisations and communities, for projects to advance the conversation on sovereignty and treaty.</w:t>
            </w:r>
          </w:p>
          <w:p w:rsidR="000E6652" w:rsidRPr="00DC5CE2" w:rsidRDefault="00BF5262" w:rsidP="006A0BE4">
            <w:pPr>
              <w:pStyle w:val="Bullet1"/>
              <w:numPr>
                <w:ilvl w:val="0"/>
                <w:numId w:val="0"/>
              </w:numPr>
            </w:pPr>
            <w:r>
              <w:rPr>
                <w:u w:val="single"/>
              </w:rPr>
              <w:t>Component 2: Implement the</w:t>
            </w:r>
            <w:r w:rsidRPr="00BF5262">
              <w:rPr>
                <w:u w:val="single"/>
              </w:rPr>
              <w:t xml:space="preserve"> </w:t>
            </w:r>
            <w:r w:rsidRPr="006A0BE4">
              <w:rPr>
                <w:u w:val="single"/>
              </w:rPr>
              <w:t>United Nations Declaration on the Rights of Indigenous Peoples (UNDRIP)</w:t>
            </w:r>
          </w:p>
          <w:p w:rsidR="000E6652" w:rsidRPr="00DC5CE2" w:rsidRDefault="00BF5262" w:rsidP="00E857F2">
            <w:pPr>
              <w:pStyle w:val="Bullet1"/>
              <w:ind w:left="284" w:hanging="284"/>
            </w:pPr>
            <w:r>
              <w:t>This component would support the domestic implementation of the UNDRIP</w:t>
            </w:r>
            <w:r w:rsidR="000E6652" w:rsidRPr="00DC5CE2">
              <w:t>, through:</w:t>
            </w:r>
          </w:p>
          <w:p w:rsidR="000E6652" w:rsidRPr="00DC5CE2" w:rsidRDefault="000E6652" w:rsidP="00E857F2">
            <w:pPr>
              <w:pStyle w:val="Bullet2"/>
              <w:numPr>
                <w:ilvl w:val="0"/>
                <w:numId w:val="26"/>
              </w:numPr>
              <w:ind w:left="568" w:hanging="284"/>
            </w:pPr>
            <w:r w:rsidRPr="00DC5CE2">
              <w:t>A comprehensive National Action Plan to provide a roadmap for implementing the UNDRIP into Australian law and policy making</w:t>
            </w:r>
          </w:p>
          <w:p w:rsidR="000E6652" w:rsidRPr="00DC5CE2" w:rsidRDefault="000E6652" w:rsidP="00E857F2">
            <w:pPr>
              <w:pStyle w:val="Bullet2"/>
              <w:numPr>
                <w:ilvl w:val="0"/>
                <w:numId w:val="26"/>
              </w:numPr>
              <w:ind w:left="568" w:hanging="284"/>
            </w:pPr>
            <w:r w:rsidRPr="00DC5CE2">
              <w:t>$20</w:t>
            </w:r>
            <w:r w:rsidR="00802989">
              <w:t xml:space="preserve"> </w:t>
            </w:r>
            <w:r w:rsidRPr="00DC5CE2">
              <w:t>m</w:t>
            </w:r>
            <w:r w:rsidR="00802989">
              <w:t>illion</w:t>
            </w:r>
            <w:r w:rsidRPr="00DC5CE2">
              <w:t xml:space="preserve"> in grants over the forward estimates, for non</w:t>
            </w:r>
            <w:r w:rsidR="00BF5262">
              <w:noBreakHyphen/>
            </w:r>
            <w:r w:rsidRPr="00DC5CE2">
              <w:t>government organisations to facilitate participation in the National Action Plan, and help raise community awareness.</w:t>
            </w:r>
          </w:p>
          <w:p w:rsidR="00BF5262" w:rsidRPr="006A0BE4" w:rsidRDefault="00BF5262" w:rsidP="006A0BE4">
            <w:pPr>
              <w:pStyle w:val="Bullet1"/>
              <w:numPr>
                <w:ilvl w:val="0"/>
                <w:numId w:val="0"/>
              </w:numPr>
              <w:ind w:left="454" w:hanging="454"/>
              <w:rPr>
                <w:u w:val="single"/>
              </w:rPr>
            </w:pPr>
            <w:r>
              <w:rPr>
                <w:u w:val="single"/>
              </w:rPr>
              <w:t>Component 3: Offset Coalition Cuts</w:t>
            </w:r>
          </w:p>
          <w:p w:rsidR="000E6652" w:rsidRPr="00BC44D7" w:rsidRDefault="00BF5262" w:rsidP="00E857F2">
            <w:pPr>
              <w:pStyle w:val="Bullet1"/>
              <w:ind w:left="284" w:hanging="284"/>
            </w:pPr>
            <w:r>
              <w:t xml:space="preserve">This component would </w:t>
            </w:r>
            <w:r w:rsidR="00DC5CE2">
              <w:t>p</w:t>
            </w:r>
            <w:r w:rsidR="000E6652" w:rsidRPr="00BC44D7">
              <w:t>rovid</w:t>
            </w:r>
            <w:r w:rsidR="00DC5CE2">
              <w:t>e</w:t>
            </w:r>
            <w:r w:rsidR="000E6652" w:rsidRPr="00BC44D7">
              <w:t xml:space="preserve"> additional funding to offset Coalition cuts, including:</w:t>
            </w:r>
          </w:p>
          <w:p w:rsidR="000E6652" w:rsidRDefault="000E6652" w:rsidP="00E857F2">
            <w:pPr>
              <w:pStyle w:val="Bullet2"/>
              <w:numPr>
                <w:ilvl w:val="0"/>
                <w:numId w:val="26"/>
              </w:numPr>
              <w:ind w:left="568" w:hanging="284"/>
            </w:pPr>
            <w:r>
              <w:t>$15</w:t>
            </w:r>
            <w:r w:rsidR="00802989">
              <w:t xml:space="preserve"> </w:t>
            </w:r>
            <w:r>
              <w:t>m</w:t>
            </w:r>
            <w:r w:rsidR="00802989">
              <w:t>illion</w:t>
            </w:r>
            <w:r>
              <w:t xml:space="preserve"> over four years for the National Congress of Australia’s First Peoples </w:t>
            </w:r>
            <w:r w:rsidR="00776698">
              <w:t xml:space="preserve">starting in 2017-18 </w:t>
            </w:r>
            <w:r>
              <w:t>(excluding departmental costs)</w:t>
            </w:r>
          </w:p>
          <w:p w:rsidR="000E6652" w:rsidRDefault="000E6652" w:rsidP="00E857F2">
            <w:pPr>
              <w:pStyle w:val="Bullet2"/>
              <w:numPr>
                <w:ilvl w:val="0"/>
                <w:numId w:val="26"/>
              </w:numPr>
              <w:ind w:left="568" w:hanging="284"/>
            </w:pPr>
            <w:r>
              <w:t>$556</w:t>
            </w:r>
            <w:r w:rsidR="00802989">
              <w:t xml:space="preserve"> </w:t>
            </w:r>
            <w:r>
              <w:t>m</w:t>
            </w:r>
            <w:r w:rsidR="00802989">
              <w:t>illion</w:t>
            </w:r>
            <w:r>
              <w:t xml:space="preserve"> over four years (excluding departmental costs) in additional funding for the Indigenous Advancement Strategy.</w:t>
            </w:r>
          </w:p>
          <w:p w:rsidR="00E857F2" w:rsidRDefault="00E857F2" w:rsidP="00E857F2">
            <w:pPr>
              <w:pStyle w:val="Bullet2"/>
              <w:ind w:left="0" w:firstLine="0"/>
            </w:pPr>
          </w:p>
          <w:p w:rsidR="00E857F2" w:rsidRDefault="00E857F2" w:rsidP="00E857F2">
            <w:pPr>
              <w:pStyle w:val="Bullet2"/>
              <w:ind w:left="0" w:firstLine="0"/>
            </w:pPr>
          </w:p>
          <w:p w:rsidR="00E857F2" w:rsidRDefault="00E857F2" w:rsidP="00E857F2">
            <w:pPr>
              <w:pStyle w:val="Bullet2"/>
              <w:ind w:left="0" w:firstLine="0"/>
            </w:pPr>
          </w:p>
          <w:p w:rsidR="00E857F2" w:rsidRDefault="00E857F2" w:rsidP="00E857F2">
            <w:pPr>
              <w:pStyle w:val="Bullet2"/>
              <w:ind w:left="0" w:firstLine="0"/>
            </w:pPr>
          </w:p>
          <w:p w:rsidR="00BF5262" w:rsidRPr="006A0BE4" w:rsidRDefault="00BF5262" w:rsidP="006A0BE4">
            <w:pPr>
              <w:pStyle w:val="Bullet1"/>
              <w:numPr>
                <w:ilvl w:val="0"/>
                <w:numId w:val="0"/>
              </w:numPr>
              <w:ind w:left="454" w:hanging="454"/>
              <w:rPr>
                <w:i/>
                <w:u w:val="single"/>
              </w:rPr>
            </w:pPr>
            <w:r>
              <w:rPr>
                <w:u w:val="single"/>
              </w:rPr>
              <w:lastRenderedPageBreak/>
              <w:t xml:space="preserve">Component 4: Implement </w:t>
            </w:r>
            <w:r>
              <w:rPr>
                <w:i/>
                <w:u w:val="single"/>
              </w:rPr>
              <w:t>Blueprint for Change</w:t>
            </w:r>
          </w:p>
          <w:p w:rsidR="000E6652" w:rsidRPr="00BC44D7" w:rsidRDefault="00BF5262" w:rsidP="00E857F2">
            <w:pPr>
              <w:pStyle w:val="Bullet1"/>
              <w:ind w:left="284" w:hanging="284"/>
            </w:pPr>
            <w:r>
              <w:t xml:space="preserve">This component would </w:t>
            </w:r>
            <w:r w:rsidR="002939C8" w:rsidRPr="00BF5262">
              <w:t>i</w:t>
            </w:r>
            <w:r w:rsidR="000E6652" w:rsidRPr="00BF5262">
              <w:t>mplement</w:t>
            </w:r>
            <w:r w:rsidR="000E6652" w:rsidRPr="00BC44D7">
              <w:t xml:space="preserve"> key recommendations from the Change the Record Campaign’s </w:t>
            </w:r>
            <w:r w:rsidR="000E6652" w:rsidRPr="00BF5262">
              <w:rPr>
                <w:i/>
              </w:rPr>
              <w:t>Blueprint for Change</w:t>
            </w:r>
            <w:r w:rsidR="000E6652" w:rsidRPr="00BC44D7">
              <w:t>, specifically:</w:t>
            </w:r>
          </w:p>
          <w:p w:rsidR="000E6652" w:rsidRDefault="000E6652" w:rsidP="00E857F2">
            <w:pPr>
              <w:pStyle w:val="Bullet2"/>
              <w:numPr>
                <w:ilvl w:val="0"/>
                <w:numId w:val="26"/>
              </w:numPr>
              <w:ind w:left="568" w:hanging="284"/>
            </w:pPr>
            <w:r>
              <w:t>Funding the public service to develop a national, whole of government strategy to address imprisonment and violence rates</w:t>
            </w:r>
          </w:p>
          <w:p w:rsidR="000E6652" w:rsidRDefault="000E6652" w:rsidP="00E857F2">
            <w:pPr>
              <w:pStyle w:val="Bullet2"/>
              <w:numPr>
                <w:ilvl w:val="0"/>
                <w:numId w:val="26"/>
              </w:numPr>
              <w:ind w:left="568" w:hanging="284"/>
            </w:pPr>
            <w:r>
              <w:t>A national target, based on a national agreement and sub</w:t>
            </w:r>
            <w:r w:rsidR="00E857F2">
              <w:noBreakHyphen/>
            </w:r>
            <w:r>
              <w:t>targets (to be agreed with states and territories, with funding as required for negotiations)</w:t>
            </w:r>
          </w:p>
          <w:p w:rsidR="000E6652" w:rsidRDefault="000E6652" w:rsidP="00E857F2">
            <w:pPr>
              <w:pStyle w:val="Bullet2"/>
              <w:numPr>
                <w:ilvl w:val="0"/>
                <w:numId w:val="26"/>
              </w:numPr>
              <w:ind w:left="568" w:hanging="284"/>
            </w:pPr>
            <w:r>
              <w:t xml:space="preserve">Funding for the Department of the Prime Minister and Cabinet (PM&amp;C) to work with Commonwealth and state and territory agencies to improve data collection on </w:t>
            </w:r>
            <w:r w:rsidR="00EC5D86">
              <w:t>ATSI</w:t>
            </w:r>
            <w:r>
              <w:t xml:space="preserve"> incarceration</w:t>
            </w:r>
          </w:p>
          <w:p w:rsidR="000E6652" w:rsidRDefault="000E6652" w:rsidP="00E857F2">
            <w:pPr>
              <w:pStyle w:val="Bullet2"/>
              <w:numPr>
                <w:ilvl w:val="0"/>
                <w:numId w:val="26"/>
              </w:numPr>
              <w:ind w:left="568" w:hanging="284"/>
            </w:pPr>
            <w:r>
              <w:t xml:space="preserve">Funding for an independent review of laws, policies and strategies aimed at and related to </w:t>
            </w:r>
            <w:r w:rsidR="00EC5D86">
              <w:t>ATSI</w:t>
            </w:r>
            <w:r>
              <w:t xml:space="preserve"> improvement and violence rates, underpinned by a human rights approach</w:t>
            </w:r>
          </w:p>
          <w:p w:rsidR="00B47F16" w:rsidRPr="00BC44D7" w:rsidRDefault="000E6652" w:rsidP="00E857F2">
            <w:pPr>
              <w:pStyle w:val="Bullet2"/>
              <w:numPr>
                <w:ilvl w:val="0"/>
                <w:numId w:val="26"/>
              </w:numPr>
              <w:ind w:left="568" w:hanging="284"/>
              <w:rPr>
                <w:rFonts w:eastAsiaTheme="minorHAnsi" w:cstheme="minorBidi"/>
                <w:lang w:eastAsia="en-US"/>
              </w:rPr>
            </w:pPr>
            <w:r w:rsidRPr="00BC44D7">
              <w:rPr>
                <w:rFonts w:eastAsiaTheme="minorHAnsi" w:cstheme="minorBidi"/>
                <w:lang w:eastAsia="en-US"/>
              </w:rPr>
              <w:t>$40</w:t>
            </w:r>
            <w:r w:rsidR="008C1766">
              <w:rPr>
                <w:rFonts w:eastAsiaTheme="minorHAnsi" w:cstheme="minorBidi"/>
                <w:lang w:eastAsia="en-US"/>
              </w:rPr>
              <w:t xml:space="preserve"> </w:t>
            </w:r>
            <w:r w:rsidRPr="00BC44D7">
              <w:rPr>
                <w:rFonts w:eastAsiaTheme="minorHAnsi" w:cstheme="minorBidi"/>
                <w:lang w:eastAsia="en-US"/>
              </w:rPr>
              <w:t>m</w:t>
            </w:r>
            <w:r w:rsidR="008C1766">
              <w:rPr>
                <w:rFonts w:eastAsiaTheme="minorHAnsi" w:cstheme="minorBidi"/>
                <w:lang w:eastAsia="en-US"/>
              </w:rPr>
              <w:t>illion</w:t>
            </w:r>
            <w:r w:rsidRPr="00BC44D7">
              <w:rPr>
                <w:rFonts w:eastAsiaTheme="minorHAnsi" w:cstheme="minorBidi"/>
                <w:lang w:eastAsia="en-US"/>
              </w:rPr>
              <w:t xml:space="preserve"> in grants funding over four years </w:t>
            </w:r>
            <w:r w:rsidR="00605769">
              <w:rPr>
                <w:rFonts w:eastAsiaTheme="minorHAnsi" w:cstheme="minorBidi"/>
                <w:lang w:eastAsia="en-US"/>
              </w:rPr>
              <w:t>(</w:t>
            </w:r>
            <w:r w:rsidR="00605769" w:rsidRPr="00BC44D7">
              <w:rPr>
                <w:rFonts w:eastAsiaTheme="minorHAnsi" w:cstheme="minorBidi"/>
                <w:lang w:eastAsia="en-US"/>
              </w:rPr>
              <w:t>$10 million</w:t>
            </w:r>
            <w:r w:rsidR="006108E2">
              <w:rPr>
                <w:rFonts w:eastAsiaTheme="minorHAnsi" w:cstheme="minorBidi"/>
                <w:lang w:eastAsia="en-US"/>
              </w:rPr>
              <w:t xml:space="preserve"> per</w:t>
            </w:r>
            <w:r w:rsidR="00605769" w:rsidRPr="00BC44D7">
              <w:rPr>
                <w:rFonts w:eastAsiaTheme="minorHAnsi" w:cstheme="minorBidi"/>
                <w:lang w:eastAsia="en-US"/>
              </w:rPr>
              <w:t xml:space="preserve"> year starting in 2017-18</w:t>
            </w:r>
            <w:r w:rsidR="00605769">
              <w:rPr>
                <w:rFonts w:eastAsiaTheme="minorHAnsi" w:cstheme="minorBidi"/>
                <w:lang w:eastAsia="en-US"/>
              </w:rPr>
              <w:t>, capped</w:t>
            </w:r>
            <w:r w:rsidRPr="00BC44D7">
              <w:rPr>
                <w:rFonts w:eastAsiaTheme="minorHAnsi" w:cstheme="minorBidi"/>
                <w:lang w:eastAsia="en-US"/>
              </w:rPr>
              <w:t xml:space="preserve"> </w:t>
            </w:r>
            <w:r w:rsidR="00B01FDD">
              <w:rPr>
                <w:rFonts w:eastAsiaTheme="minorHAnsi" w:cstheme="minorBidi"/>
                <w:lang w:eastAsia="en-US"/>
              </w:rPr>
              <w:t>excluding</w:t>
            </w:r>
            <w:r w:rsidRPr="00BC44D7">
              <w:rPr>
                <w:rFonts w:eastAsiaTheme="minorHAnsi" w:cstheme="minorBidi"/>
                <w:lang w:eastAsia="en-US"/>
              </w:rPr>
              <w:t xml:space="preserve"> departmental costs) for projects to help re</w:t>
            </w:r>
            <w:r w:rsidR="006713EF">
              <w:rPr>
                <w:rFonts w:eastAsiaTheme="minorHAnsi" w:cstheme="minorBidi"/>
                <w:lang w:eastAsia="en-US"/>
              </w:rPr>
              <w:t>duce the rate of incarceration</w:t>
            </w:r>
            <w:r w:rsidRPr="00BC44D7">
              <w:rPr>
                <w:rFonts w:eastAsiaTheme="minorHAnsi" w:cstheme="minorBidi"/>
                <w:lang w:eastAsia="en-US"/>
              </w:rPr>
              <w:t>.</w:t>
            </w:r>
          </w:p>
          <w:p w:rsidR="00C14D13" w:rsidRDefault="00C14D13" w:rsidP="008E1337">
            <w:r>
              <w:t>The intended date of implementation of this proposal is</w:t>
            </w:r>
            <w:r w:rsidR="008E1337">
              <w:t xml:space="preserve"> </w:t>
            </w:r>
            <w:r w:rsidR="00CF4B05">
              <w:t>1</w:t>
            </w:r>
            <w:r w:rsidR="008E1337">
              <w:t> </w:t>
            </w:r>
            <w:r w:rsidR="00CF4B05">
              <w:t>September</w:t>
            </w:r>
            <w:r w:rsidR="008E1337">
              <w:t> </w:t>
            </w:r>
            <w:r w:rsidR="00CF4B05">
              <w:t>2016, unless otherwise specified above.</w:t>
            </w:r>
          </w:p>
        </w:tc>
      </w:tr>
      <w:tr w:rsidR="004D5525" w:rsidTr="000E6652">
        <w:tc>
          <w:tcPr>
            <w:tcW w:w="3005" w:type="dxa"/>
          </w:tcPr>
          <w:p w:rsidR="004D5525" w:rsidRDefault="004D5525" w:rsidP="004D5525">
            <w:pPr>
              <w:pStyle w:val="BodyText"/>
            </w:pPr>
            <w:r>
              <w:lastRenderedPageBreak/>
              <w:t>Person/party requesting costing:</w:t>
            </w:r>
          </w:p>
        </w:tc>
        <w:tc>
          <w:tcPr>
            <w:tcW w:w="6175" w:type="dxa"/>
          </w:tcPr>
          <w:p w:rsidR="004D5525" w:rsidRDefault="007803F7" w:rsidP="004D5525">
            <w:pPr>
              <w:pStyle w:val="BodyText"/>
            </w:pPr>
            <w:r w:rsidRPr="007803F7">
              <w:t>Senator Richard Di Natale, Australian Greens</w:t>
            </w:r>
          </w:p>
        </w:tc>
      </w:tr>
      <w:tr w:rsidR="007D3577" w:rsidTr="000E6652">
        <w:tc>
          <w:tcPr>
            <w:tcW w:w="3005" w:type="dxa"/>
          </w:tcPr>
          <w:p w:rsidR="007D3577" w:rsidRDefault="007D3577" w:rsidP="00060F22">
            <w:pPr>
              <w:pStyle w:val="BodyText"/>
            </w:pPr>
            <w:r>
              <w:t>Date of public release of policy:</w:t>
            </w:r>
          </w:p>
        </w:tc>
        <w:tc>
          <w:tcPr>
            <w:tcW w:w="6175" w:type="dxa"/>
          </w:tcPr>
          <w:p w:rsidR="007D3577" w:rsidRDefault="003711A5" w:rsidP="00060F22">
            <w:pPr>
              <w:pStyle w:val="BodyText"/>
            </w:pPr>
            <w:r>
              <w:t xml:space="preserve">29 May 2016 </w:t>
            </w:r>
          </w:p>
          <w:p w:rsidR="003711A5" w:rsidRPr="00C17112" w:rsidRDefault="000C412A" w:rsidP="00060F22">
            <w:pPr>
              <w:pStyle w:val="BodyText"/>
            </w:pPr>
            <w:hyperlink r:id="rId13" w:history="1">
              <w:r w:rsidR="003711A5" w:rsidRPr="003711A5">
                <w:rPr>
                  <w:rStyle w:val="Hyperlink"/>
                </w:rPr>
                <w:t>http://greens.org.au/atsi</w:t>
              </w:r>
            </w:hyperlink>
          </w:p>
        </w:tc>
      </w:tr>
      <w:tr w:rsidR="004D5525" w:rsidTr="000E6652">
        <w:tc>
          <w:tcPr>
            <w:tcW w:w="3005" w:type="dxa"/>
          </w:tcPr>
          <w:p w:rsidR="004D5525" w:rsidRDefault="004D5525" w:rsidP="004D5525">
            <w:pPr>
              <w:pStyle w:val="BodyText"/>
            </w:pPr>
            <w:r>
              <w:t>Date costing request received:</w:t>
            </w:r>
          </w:p>
        </w:tc>
        <w:tc>
          <w:tcPr>
            <w:tcW w:w="6175" w:type="dxa"/>
          </w:tcPr>
          <w:p w:rsidR="004D5525" w:rsidRDefault="003711A5" w:rsidP="004D5525">
            <w:pPr>
              <w:pStyle w:val="BodyText"/>
            </w:pPr>
            <w:r>
              <w:t xml:space="preserve">30 </w:t>
            </w:r>
            <w:r w:rsidR="007803F7">
              <w:t>June 2016</w:t>
            </w:r>
          </w:p>
        </w:tc>
      </w:tr>
      <w:tr w:rsidR="004D5525" w:rsidTr="000E6652">
        <w:tc>
          <w:tcPr>
            <w:tcW w:w="3005" w:type="dxa"/>
          </w:tcPr>
          <w:p w:rsidR="004D5525" w:rsidRDefault="004D5525" w:rsidP="004D5525">
            <w:pPr>
              <w:pStyle w:val="BodyText"/>
            </w:pPr>
            <w:r>
              <w:t>Date costing completed</w:t>
            </w:r>
            <w:r w:rsidR="00E857F2">
              <w:t>:</w:t>
            </w:r>
          </w:p>
        </w:tc>
        <w:tc>
          <w:tcPr>
            <w:tcW w:w="6175" w:type="dxa"/>
          </w:tcPr>
          <w:p w:rsidR="004D5525" w:rsidRPr="00C17112" w:rsidRDefault="003711A5" w:rsidP="004D5525">
            <w:pPr>
              <w:pStyle w:val="BodyText"/>
            </w:pPr>
            <w:r>
              <w:t xml:space="preserve">30 </w:t>
            </w:r>
            <w:r w:rsidR="007803F7">
              <w:t>June 2016</w:t>
            </w:r>
          </w:p>
        </w:tc>
      </w:tr>
      <w:tr w:rsidR="004D5525" w:rsidTr="000E6652">
        <w:tc>
          <w:tcPr>
            <w:tcW w:w="3005" w:type="dxa"/>
          </w:tcPr>
          <w:p w:rsidR="004D5525" w:rsidRPr="00220BE5" w:rsidRDefault="004D5525" w:rsidP="004D5525">
            <w:pPr>
              <w:pStyle w:val="BodyText"/>
            </w:pPr>
            <w:r w:rsidRPr="00220BE5">
              <w:t>Expiry date for the costing:</w:t>
            </w:r>
          </w:p>
        </w:tc>
        <w:tc>
          <w:tcPr>
            <w:tcW w:w="6175" w:type="dxa"/>
          </w:tcPr>
          <w:p w:rsidR="004D5525" w:rsidRPr="00220BE5" w:rsidRDefault="00F4535C" w:rsidP="00220BE5">
            <w:pPr>
              <w:pStyle w:val="BodyText"/>
            </w:pPr>
            <w:r>
              <w:t>Release of the next economic and fiscal outlook report</w:t>
            </w:r>
          </w:p>
        </w:tc>
      </w:tr>
    </w:tbl>
    <w:p w:rsidR="0055581F" w:rsidRPr="00002D5D" w:rsidRDefault="008030EC" w:rsidP="00E32493">
      <w:pPr>
        <w:pStyle w:val="Heading2"/>
      </w:pPr>
      <w:r w:rsidRPr="00002D5D">
        <w:t>Costing overview</w:t>
      </w:r>
    </w:p>
    <w:p w:rsidR="007803F7" w:rsidRPr="00F52F1D" w:rsidRDefault="007803F7" w:rsidP="00E32493">
      <w:pPr>
        <w:rPr>
          <w:bCs/>
        </w:rPr>
      </w:pPr>
      <w:r w:rsidRPr="00F52F1D">
        <w:t xml:space="preserve">This proposal would be expected to decrease both the fiscal </w:t>
      </w:r>
      <w:r w:rsidR="00EE101C" w:rsidRPr="00F52F1D">
        <w:t xml:space="preserve">and underlying cash </w:t>
      </w:r>
      <w:r w:rsidRPr="00F52F1D">
        <w:t>balance</w:t>
      </w:r>
      <w:r w:rsidR="00113A85" w:rsidRPr="00F52F1D">
        <w:t>s by $</w:t>
      </w:r>
      <w:r w:rsidR="005B78DE" w:rsidRPr="00F52F1D">
        <w:rPr>
          <w:bCs/>
        </w:rPr>
        <w:t>790.6</w:t>
      </w:r>
      <w:r w:rsidR="00113A85" w:rsidRPr="00F52F1D">
        <w:t xml:space="preserve"> million over the 2016-17</w:t>
      </w:r>
      <w:r w:rsidRPr="00F52F1D">
        <w:t xml:space="preserve"> Budget forward estimates period.  This reflects an increase in</w:t>
      </w:r>
      <w:r w:rsidR="005B78DE" w:rsidRPr="00F52F1D">
        <w:rPr>
          <w:bCs/>
        </w:rPr>
        <w:t xml:space="preserve"> administered expen</w:t>
      </w:r>
      <w:r w:rsidR="009341E3">
        <w:rPr>
          <w:bCs/>
        </w:rPr>
        <w:t>ses</w:t>
      </w:r>
      <w:r w:rsidR="005B78DE" w:rsidRPr="00F52F1D">
        <w:rPr>
          <w:bCs/>
        </w:rPr>
        <w:t xml:space="preserve"> of $655.5</w:t>
      </w:r>
      <w:r w:rsidRPr="00F52F1D">
        <w:t xml:space="preserve"> million and an increase in departmental expen</w:t>
      </w:r>
      <w:r w:rsidR="009341E3">
        <w:t>ses</w:t>
      </w:r>
      <w:r w:rsidRPr="00F52F1D">
        <w:t xml:space="preserve"> of $</w:t>
      </w:r>
      <w:r w:rsidR="005B78DE" w:rsidRPr="00F52F1D">
        <w:rPr>
          <w:bCs/>
        </w:rPr>
        <w:t>135.1</w:t>
      </w:r>
      <w:r w:rsidRPr="00F52F1D">
        <w:t xml:space="preserve"> million over this period.</w:t>
      </w:r>
    </w:p>
    <w:p w:rsidR="007803F7" w:rsidRDefault="00E72F73" w:rsidP="00F52F1D">
      <w:pPr>
        <w:rPr>
          <w:bCs/>
        </w:rPr>
      </w:pPr>
      <w:r w:rsidRPr="00F52F1D">
        <w:rPr>
          <w:bCs/>
        </w:rPr>
        <w:lastRenderedPageBreak/>
        <w:t xml:space="preserve">The proposal would </w:t>
      </w:r>
      <w:r w:rsidR="00CF22B6">
        <w:rPr>
          <w:bCs/>
        </w:rPr>
        <w:t xml:space="preserve">not </w:t>
      </w:r>
      <w:r w:rsidR="007803F7" w:rsidRPr="00F52F1D">
        <w:t>have a</w:t>
      </w:r>
      <w:r w:rsidR="00CF22B6">
        <w:t>n ongoing</w:t>
      </w:r>
      <w:r w:rsidRPr="00F52F1D">
        <w:rPr>
          <w:bCs/>
        </w:rPr>
        <w:t xml:space="preserve"> </w:t>
      </w:r>
      <w:r w:rsidR="007803F7" w:rsidRPr="00F52F1D">
        <w:t>financial impact beyond the 201</w:t>
      </w:r>
      <w:r w:rsidR="00113A85" w:rsidRPr="00F52F1D">
        <w:t>6-17</w:t>
      </w:r>
      <w:r w:rsidR="007803F7" w:rsidRPr="00F52F1D">
        <w:t xml:space="preserve"> Budget forward estimates period</w:t>
      </w:r>
      <w:r w:rsidR="009341E3">
        <w:t xml:space="preserve"> except for </w:t>
      </w:r>
      <w:r w:rsidR="00CF22B6">
        <w:t>the proposed</w:t>
      </w:r>
      <w:r w:rsidRPr="00F52F1D">
        <w:rPr>
          <w:bCs/>
        </w:rPr>
        <w:t xml:space="preserve"> $10</w:t>
      </w:r>
      <w:r w:rsidR="00CF22B6">
        <w:rPr>
          <w:bCs/>
        </w:rPr>
        <w:t> </w:t>
      </w:r>
      <w:r w:rsidRPr="00F52F1D">
        <w:rPr>
          <w:bCs/>
        </w:rPr>
        <w:t>million</w:t>
      </w:r>
      <w:r w:rsidR="004C504F">
        <w:rPr>
          <w:bCs/>
        </w:rPr>
        <w:t xml:space="preserve"> </w:t>
      </w:r>
      <w:r w:rsidR="000954D8">
        <w:rPr>
          <w:bCs/>
        </w:rPr>
        <w:t xml:space="preserve">per year </w:t>
      </w:r>
      <w:r w:rsidR="004C504F">
        <w:rPr>
          <w:bCs/>
        </w:rPr>
        <w:t>in</w:t>
      </w:r>
      <w:r w:rsidRPr="00F52F1D">
        <w:rPr>
          <w:bCs/>
        </w:rPr>
        <w:t xml:space="preserve"> </w:t>
      </w:r>
      <w:r w:rsidR="000954D8">
        <w:rPr>
          <w:bCs/>
        </w:rPr>
        <w:t xml:space="preserve">grants funding </w:t>
      </w:r>
      <w:r w:rsidR="004C504F">
        <w:rPr>
          <w:bCs/>
        </w:rPr>
        <w:t xml:space="preserve">under component 4 </w:t>
      </w:r>
      <w:r w:rsidR="004C504F" w:rsidRPr="006A0BE4">
        <w:rPr>
          <w:bCs/>
        </w:rPr>
        <w:t>(</w:t>
      </w:r>
      <w:r w:rsidR="004C504F">
        <w:rPr>
          <w:bCs/>
        </w:rPr>
        <w:t xml:space="preserve">implement </w:t>
      </w:r>
      <w:r w:rsidR="004C504F">
        <w:rPr>
          <w:bCs/>
          <w:i/>
        </w:rPr>
        <w:t>B</w:t>
      </w:r>
      <w:r w:rsidRPr="00F52F1D">
        <w:rPr>
          <w:bCs/>
          <w:i/>
        </w:rPr>
        <w:t>lueprint for Change</w:t>
      </w:r>
      <w:r w:rsidR="004C504F">
        <w:rPr>
          <w:bCs/>
        </w:rPr>
        <w:t>)</w:t>
      </w:r>
      <w:r w:rsidRPr="00F52F1D">
        <w:rPr>
          <w:bCs/>
        </w:rPr>
        <w:t xml:space="preserve"> in 2020-21.</w:t>
      </w:r>
    </w:p>
    <w:p w:rsidR="00F52F1D" w:rsidRPr="00F52F1D" w:rsidRDefault="008E1337" w:rsidP="00F52F1D">
      <w:pPr>
        <w:rPr>
          <w:bCs/>
        </w:rPr>
      </w:pPr>
      <w:r>
        <w:rPr>
          <w:bCs/>
        </w:rPr>
        <w:t>Detailed</w:t>
      </w:r>
      <w:r w:rsidR="00F52F1D">
        <w:rPr>
          <w:bCs/>
        </w:rPr>
        <w:t xml:space="preserve"> financial implications of this proposal</w:t>
      </w:r>
      <w:r>
        <w:rPr>
          <w:bCs/>
        </w:rPr>
        <w:t>, including</w:t>
      </w:r>
      <w:r w:rsidR="00F52F1D">
        <w:rPr>
          <w:bCs/>
        </w:rPr>
        <w:t xml:space="preserve"> details about each component</w:t>
      </w:r>
      <w:r>
        <w:rPr>
          <w:bCs/>
        </w:rPr>
        <w:t>,</w:t>
      </w:r>
      <w:r w:rsidR="00F52F1D">
        <w:rPr>
          <w:bCs/>
        </w:rPr>
        <w:t xml:space="preserve"> are provided at </w:t>
      </w:r>
      <w:r w:rsidR="00F52F1D" w:rsidRPr="00F52F1D">
        <w:rPr>
          <w:bCs/>
          <w:u w:val="single"/>
        </w:rPr>
        <w:t>Attachment A</w:t>
      </w:r>
      <w:r w:rsidR="00F52F1D">
        <w:rPr>
          <w:bCs/>
        </w:rPr>
        <w:t>.</w:t>
      </w:r>
    </w:p>
    <w:p w:rsidR="00CF22B6" w:rsidRDefault="004C504F" w:rsidP="00F52F1D">
      <w:r>
        <w:t xml:space="preserve">The departmental </w:t>
      </w:r>
      <w:r w:rsidR="00FF121C">
        <w:t>expense</w:t>
      </w:r>
      <w:r>
        <w:t xml:space="preserve"> estimates </w:t>
      </w:r>
      <w:r w:rsidR="00A41951">
        <w:t>in this</w:t>
      </w:r>
      <w:r>
        <w:t xml:space="preserve"> costing are considered to be of high reliability as they are based on the costs of similar programs.</w:t>
      </w:r>
    </w:p>
    <w:p w:rsidR="00AF10D3" w:rsidRPr="00F52F1D" w:rsidRDefault="007803F7" w:rsidP="00F52F1D">
      <w:pPr>
        <w:rPr>
          <w:bCs/>
        </w:rPr>
      </w:pPr>
      <w:r w:rsidRPr="00F52F1D">
        <w:t xml:space="preserve">The </w:t>
      </w:r>
      <w:r w:rsidR="004C504F">
        <w:t xml:space="preserve">administered </w:t>
      </w:r>
      <w:r w:rsidR="00FF121C">
        <w:t>expense</w:t>
      </w:r>
      <w:r w:rsidR="004C504F">
        <w:t xml:space="preserve"> estimates </w:t>
      </w:r>
      <w:r w:rsidR="00A41951">
        <w:t>in this</w:t>
      </w:r>
      <w:r w:rsidR="004C504F">
        <w:t xml:space="preserve"> </w:t>
      </w:r>
      <w:r w:rsidRPr="00F52F1D">
        <w:t xml:space="preserve">costing </w:t>
      </w:r>
      <w:r w:rsidR="004C504F">
        <w:t>are</w:t>
      </w:r>
      <w:r w:rsidRPr="00F52F1D">
        <w:t xml:space="preserve"> considered to be of high reliability </w:t>
      </w:r>
      <w:r w:rsidR="009341E3">
        <w:t>as the amounts</w:t>
      </w:r>
      <w:r w:rsidRPr="00F52F1D">
        <w:t xml:space="preserve"> are as specified in the request.</w:t>
      </w:r>
      <w:r w:rsidR="00F87EBC" w:rsidRPr="00F52F1D">
        <w:rPr>
          <w:bCs/>
        </w:rPr>
        <w:t xml:space="preserve">  </w:t>
      </w:r>
      <w:r w:rsidR="00AF10D3" w:rsidRPr="00F52F1D">
        <w:t>However, no analysis has been undertaken to determine the adequacy of the prescribed funding amounts to achieve the objectives of the proposal.</w:t>
      </w:r>
    </w:p>
    <w:p w:rsidR="005E3562" w:rsidRPr="00FC6579" w:rsidRDefault="005E3562" w:rsidP="007803F7">
      <w:pPr>
        <w:pStyle w:val="Captionheading"/>
      </w:pPr>
      <w:r w:rsidRPr="00FC6579">
        <w:t xml:space="preserve">Table </w:t>
      </w:r>
      <w:r w:rsidR="001A02D1" w:rsidRPr="00FC6579">
        <w:t>1</w:t>
      </w:r>
      <w:r w:rsidRPr="00FC6579">
        <w:t>: Financial implications (outturn prices</w:t>
      </w:r>
      <w:proofErr w:type="gramStart"/>
      <w:r w:rsidRPr="00FC6579">
        <w:t>)</w:t>
      </w:r>
      <w:r w:rsidRPr="00844776">
        <w:rPr>
          <w:vertAlign w:val="superscript"/>
        </w:rPr>
        <w:t>(</w:t>
      </w:r>
      <w:proofErr w:type="gramEnd"/>
      <w:r w:rsidRPr="00844776">
        <w:rPr>
          <w:vertAlign w:val="superscript"/>
        </w:rPr>
        <w:t>a)</w:t>
      </w:r>
      <w:r w:rsidR="00C07510">
        <w:rPr>
          <w:vertAlign w:val="superscript"/>
        </w:rPr>
        <w:t>(b)</w:t>
      </w:r>
    </w:p>
    <w:tbl>
      <w:tblPr>
        <w:tblStyle w:val="TableGrid"/>
        <w:tblW w:w="4993" w:type="pct"/>
        <w:tblLook w:val="04A0" w:firstRow="1" w:lastRow="0" w:firstColumn="1" w:lastColumn="0" w:noHBand="0" w:noVBand="1"/>
      </w:tblPr>
      <w:tblGrid>
        <w:gridCol w:w="2645"/>
        <w:gridCol w:w="1134"/>
        <w:gridCol w:w="1133"/>
        <w:gridCol w:w="1133"/>
        <w:gridCol w:w="1133"/>
        <w:gridCol w:w="1132"/>
      </w:tblGrid>
      <w:tr w:rsidR="00692DD8" w:rsidRPr="00B73AC8" w:rsidTr="00E324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91" w:type="pct"/>
            <w:vAlign w:val="center"/>
          </w:tcPr>
          <w:p w:rsidR="00CA5D42" w:rsidRPr="00B73AC8" w:rsidRDefault="00CA5D42" w:rsidP="00E32493">
            <w:pPr>
              <w:pStyle w:val="TableText"/>
              <w:keepNext/>
              <w:keepLines/>
              <w:rPr>
                <w:rFonts w:ascii="Calibri" w:hAnsi="Calibri"/>
                <w:szCs w:val="20"/>
              </w:rPr>
            </w:pPr>
            <w:r w:rsidRPr="00B73AC8">
              <w:rPr>
                <w:rFonts w:ascii="Calibri" w:hAnsi="Calibri"/>
                <w:szCs w:val="20"/>
              </w:rPr>
              <w:t>Impact on</w:t>
            </w:r>
            <w:r w:rsidR="00461597">
              <w:rPr>
                <w:rFonts w:ascii="Calibri" w:hAnsi="Calibri"/>
                <w:szCs w:val="20"/>
              </w:rPr>
              <w:t xml:space="preserve"> ($m)</w:t>
            </w:r>
          </w:p>
        </w:tc>
        <w:tc>
          <w:tcPr>
            <w:tcW w:w="682" w:type="pct"/>
            <w:vAlign w:val="center"/>
          </w:tcPr>
          <w:p w:rsidR="00CA5D42" w:rsidRPr="00B73AC8" w:rsidRDefault="00CA5D42" w:rsidP="00E32493">
            <w:pPr>
              <w:keepNext/>
              <w:keepLines/>
              <w:spacing w:before="70" w:after="70" w:line="240" w:lineRule="auto"/>
              <w:ind w:left="57" w:righ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Cs w:val="20"/>
              </w:rPr>
            </w:pPr>
            <w:r w:rsidRPr="00B73AC8">
              <w:rPr>
                <w:rFonts w:ascii="Calibri" w:hAnsi="Calibri"/>
                <w:szCs w:val="20"/>
              </w:rPr>
              <w:t>2016–17</w:t>
            </w:r>
          </w:p>
        </w:tc>
        <w:tc>
          <w:tcPr>
            <w:tcW w:w="682" w:type="pct"/>
            <w:vAlign w:val="center"/>
          </w:tcPr>
          <w:p w:rsidR="00CA5D42" w:rsidRPr="00B73AC8" w:rsidRDefault="00CA5D42" w:rsidP="00E32493">
            <w:pPr>
              <w:keepNext/>
              <w:keepLines/>
              <w:spacing w:before="70" w:after="70" w:line="240" w:lineRule="auto"/>
              <w:ind w:left="57" w:righ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Cs w:val="20"/>
              </w:rPr>
            </w:pPr>
            <w:r w:rsidRPr="00B73AC8">
              <w:rPr>
                <w:rFonts w:ascii="Calibri" w:hAnsi="Calibri"/>
                <w:szCs w:val="20"/>
              </w:rPr>
              <w:t>2017–18</w:t>
            </w:r>
          </w:p>
        </w:tc>
        <w:tc>
          <w:tcPr>
            <w:tcW w:w="682" w:type="pct"/>
            <w:vAlign w:val="center"/>
          </w:tcPr>
          <w:p w:rsidR="00CA5D42" w:rsidRPr="00B73AC8" w:rsidRDefault="00CA5D42" w:rsidP="00E32493">
            <w:pPr>
              <w:keepNext/>
              <w:keepLines/>
              <w:spacing w:before="70" w:after="70" w:line="240" w:lineRule="auto"/>
              <w:ind w:left="57" w:righ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Cs w:val="20"/>
              </w:rPr>
            </w:pPr>
            <w:r w:rsidRPr="00B73AC8">
              <w:rPr>
                <w:rFonts w:ascii="Calibri" w:hAnsi="Calibri"/>
                <w:szCs w:val="20"/>
              </w:rPr>
              <w:t>2018–19</w:t>
            </w:r>
          </w:p>
        </w:tc>
        <w:tc>
          <w:tcPr>
            <w:tcW w:w="682" w:type="pct"/>
            <w:vAlign w:val="center"/>
          </w:tcPr>
          <w:p w:rsidR="00CA5D42" w:rsidRPr="00B73AC8" w:rsidRDefault="00CA5D42" w:rsidP="00E32493">
            <w:pPr>
              <w:keepNext/>
              <w:keepLines/>
              <w:spacing w:before="70" w:after="70" w:line="240" w:lineRule="auto"/>
              <w:ind w:left="57" w:righ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szCs w:val="20"/>
              </w:rPr>
            </w:pPr>
            <w:r w:rsidRPr="00B73AC8">
              <w:rPr>
                <w:rFonts w:ascii="Calibri" w:hAnsi="Calibri"/>
                <w:szCs w:val="20"/>
              </w:rPr>
              <w:t>2019–20</w:t>
            </w:r>
          </w:p>
        </w:tc>
        <w:tc>
          <w:tcPr>
            <w:tcW w:w="681" w:type="pct"/>
            <w:vAlign w:val="center"/>
          </w:tcPr>
          <w:p w:rsidR="00CA5D42" w:rsidRPr="00F97DFF" w:rsidRDefault="00CA5D42" w:rsidP="00E32493">
            <w:pPr>
              <w:keepNext/>
              <w:keepLines/>
              <w:spacing w:before="70" w:after="70" w:line="240" w:lineRule="auto"/>
              <w:ind w:left="57" w:righ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szCs w:val="20"/>
              </w:rPr>
            </w:pPr>
            <w:r w:rsidRPr="00F97DFF">
              <w:rPr>
                <w:rFonts w:ascii="Calibri" w:hAnsi="Calibri"/>
                <w:b/>
                <w:szCs w:val="20"/>
              </w:rPr>
              <w:t>Total</w:t>
            </w:r>
          </w:p>
        </w:tc>
      </w:tr>
      <w:tr w:rsidR="00EC320B" w:rsidRPr="00B73AC8" w:rsidTr="00E32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pct"/>
          </w:tcPr>
          <w:p w:rsidR="00EC320B" w:rsidRPr="00B73AC8" w:rsidRDefault="00EC320B" w:rsidP="00E32493">
            <w:pPr>
              <w:pStyle w:val="TableTextCentred"/>
              <w:keepNext/>
              <w:keepLines/>
              <w:jc w:val="left"/>
              <w:rPr>
                <w:szCs w:val="20"/>
              </w:rPr>
            </w:pPr>
            <w:r w:rsidRPr="00B73AC8">
              <w:rPr>
                <w:szCs w:val="20"/>
              </w:rPr>
              <w:t>Fiscal balance</w:t>
            </w:r>
          </w:p>
        </w:tc>
        <w:tc>
          <w:tcPr>
            <w:tcW w:w="682" w:type="pct"/>
          </w:tcPr>
          <w:p w:rsidR="00EC320B" w:rsidRPr="00EC320B" w:rsidRDefault="00EC320B" w:rsidP="00E32493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</w:rPr>
            </w:pPr>
            <w:r w:rsidRPr="00EC320B">
              <w:rPr>
                <w:i w:val="0"/>
              </w:rPr>
              <w:t xml:space="preserve">-194.5 </w:t>
            </w:r>
          </w:p>
        </w:tc>
        <w:tc>
          <w:tcPr>
            <w:tcW w:w="682" w:type="pct"/>
          </w:tcPr>
          <w:p w:rsidR="00EC320B" w:rsidRPr="00EC320B" w:rsidRDefault="00EC320B" w:rsidP="00E32493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</w:rPr>
            </w:pPr>
            <w:r w:rsidRPr="00EC320B">
              <w:rPr>
                <w:i w:val="0"/>
              </w:rPr>
              <w:t xml:space="preserve">-210.0 </w:t>
            </w:r>
          </w:p>
        </w:tc>
        <w:tc>
          <w:tcPr>
            <w:tcW w:w="682" w:type="pct"/>
          </w:tcPr>
          <w:p w:rsidR="00EC320B" w:rsidRPr="00EC320B" w:rsidRDefault="00EC320B" w:rsidP="00E32493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</w:rPr>
            </w:pPr>
            <w:r w:rsidRPr="00EC320B">
              <w:rPr>
                <w:i w:val="0"/>
              </w:rPr>
              <w:t xml:space="preserve">-194.5 </w:t>
            </w:r>
          </w:p>
        </w:tc>
        <w:tc>
          <w:tcPr>
            <w:tcW w:w="682" w:type="pct"/>
          </w:tcPr>
          <w:p w:rsidR="00EC320B" w:rsidRPr="00EC320B" w:rsidRDefault="00EC320B" w:rsidP="00E32493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</w:rPr>
            </w:pPr>
            <w:r w:rsidRPr="00EC320B">
              <w:rPr>
                <w:i w:val="0"/>
              </w:rPr>
              <w:t xml:space="preserve">-191.4 </w:t>
            </w:r>
          </w:p>
        </w:tc>
        <w:tc>
          <w:tcPr>
            <w:tcW w:w="681" w:type="pct"/>
          </w:tcPr>
          <w:p w:rsidR="00EC320B" w:rsidRPr="00EC320B" w:rsidRDefault="00EC320B" w:rsidP="00E32493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 w:val="0"/>
              </w:rPr>
            </w:pPr>
            <w:r w:rsidRPr="00EC320B">
              <w:rPr>
                <w:b/>
                <w:i w:val="0"/>
              </w:rPr>
              <w:t xml:space="preserve">-790.6 </w:t>
            </w:r>
          </w:p>
        </w:tc>
      </w:tr>
      <w:tr w:rsidR="00EC320B" w:rsidRPr="00B73AC8" w:rsidTr="00E324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pct"/>
          </w:tcPr>
          <w:p w:rsidR="00EC320B" w:rsidRPr="00B73AC8" w:rsidRDefault="00EC320B" w:rsidP="00E32493">
            <w:pPr>
              <w:pStyle w:val="TableTextCentred"/>
              <w:keepNext/>
              <w:keepLines/>
              <w:jc w:val="left"/>
              <w:rPr>
                <w:szCs w:val="20"/>
              </w:rPr>
            </w:pPr>
            <w:r w:rsidRPr="00B73AC8">
              <w:rPr>
                <w:szCs w:val="20"/>
              </w:rPr>
              <w:t>Underlying cash balance</w:t>
            </w:r>
          </w:p>
        </w:tc>
        <w:tc>
          <w:tcPr>
            <w:tcW w:w="682" w:type="pct"/>
          </w:tcPr>
          <w:p w:rsidR="00EC320B" w:rsidRPr="00EC320B" w:rsidRDefault="00EC320B" w:rsidP="00E32493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</w:rPr>
            </w:pPr>
            <w:r w:rsidRPr="00EC320B">
              <w:rPr>
                <w:i w:val="0"/>
              </w:rPr>
              <w:t xml:space="preserve">-194.5 </w:t>
            </w:r>
          </w:p>
        </w:tc>
        <w:tc>
          <w:tcPr>
            <w:tcW w:w="682" w:type="pct"/>
          </w:tcPr>
          <w:p w:rsidR="00EC320B" w:rsidRPr="00EC320B" w:rsidRDefault="00EC320B" w:rsidP="00E32493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</w:rPr>
            </w:pPr>
            <w:r w:rsidRPr="00EC320B">
              <w:rPr>
                <w:i w:val="0"/>
              </w:rPr>
              <w:t xml:space="preserve">-210.0 </w:t>
            </w:r>
          </w:p>
        </w:tc>
        <w:tc>
          <w:tcPr>
            <w:tcW w:w="682" w:type="pct"/>
          </w:tcPr>
          <w:p w:rsidR="00EC320B" w:rsidRPr="00EC320B" w:rsidRDefault="00EC320B" w:rsidP="00E32493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</w:rPr>
            </w:pPr>
            <w:r w:rsidRPr="00EC320B">
              <w:rPr>
                <w:i w:val="0"/>
              </w:rPr>
              <w:t xml:space="preserve">-194.5 </w:t>
            </w:r>
          </w:p>
        </w:tc>
        <w:tc>
          <w:tcPr>
            <w:tcW w:w="682" w:type="pct"/>
          </w:tcPr>
          <w:p w:rsidR="00EC320B" w:rsidRPr="00EC320B" w:rsidRDefault="00EC320B" w:rsidP="00E32493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</w:rPr>
            </w:pPr>
            <w:r w:rsidRPr="00EC320B">
              <w:rPr>
                <w:i w:val="0"/>
              </w:rPr>
              <w:t xml:space="preserve">-191.4 </w:t>
            </w:r>
          </w:p>
        </w:tc>
        <w:tc>
          <w:tcPr>
            <w:tcW w:w="681" w:type="pct"/>
          </w:tcPr>
          <w:p w:rsidR="00EC320B" w:rsidRPr="00EC320B" w:rsidRDefault="00EC320B" w:rsidP="00E32493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</w:rPr>
            </w:pPr>
            <w:r w:rsidRPr="00EC320B">
              <w:rPr>
                <w:b/>
                <w:i w:val="0"/>
              </w:rPr>
              <w:t xml:space="preserve">-790.6 </w:t>
            </w:r>
          </w:p>
        </w:tc>
      </w:tr>
    </w:tbl>
    <w:p w:rsidR="00BA70CD" w:rsidRDefault="00C009CB" w:rsidP="00BA70CD">
      <w:pPr>
        <w:pStyle w:val="Footnotes"/>
        <w:keepNext/>
        <w:keepLines/>
        <w:numPr>
          <w:ilvl w:val="0"/>
          <w:numId w:val="7"/>
        </w:numPr>
        <w:ind w:left="284" w:hanging="284"/>
      </w:pPr>
      <w:r w:rsidRPr="00BE0499">
        <w:rPr>
          <w:lang w:eastAsia="en-AU"/>
        </w:rPr>
        <w:t xml:space="preserve">A positive number </w:t>
      </w:r>
      <w:r w:rsidR="0091132D">
        <w:rPr>
          <w:lang w:eastAsia="en-AU"/>
        </w:rPr>
        <w:t>indicates</w:t>
      </w:r>
      <w:r w:rsidRPr="00BE0499">
        <w:rPr>
          <w:lang w:eastAsia="en-AU"/>
        </w:rPr>
        <w:t xml:space="preserve"> an increase in the relevant budget balanc</w:t>
      </w:r>
      <w:r w:rsidRPr="00C009CB">
        <w:rPr>
          <w:lang w:eastAsia="en-AU"/>
        </w:rPr>
        <w:t xml:space="preserve">e, a negative number </w:t>
      </w:r>
      <w:r w:rsidRPr="00BE0499">
        <w:rPr>
          <w:lang w:eastAsia="en-AU"/>
        </w:rPr>
        <w:t>a decrease</w:t>
      </w:r>
      <w:r>
        <w:rPr>
          <w:sz w:val="24"/>
          <w:szCs w:val="24"/>
          <w:lang w:eastAsia="en-AU"/>
        </w:rPr>
        <w:t>.</w:t>
      </w:r>
    </w:p>
    <w:p w:rsidR="000F31C9" w:rsidRDefault="000F31C9" w:rsidP="000F31C9">
      <w:pPr>
        <w:pStyle w:val="Footnotes"/>
        <w:numPr>
          <w:ilvl w:val="0"/>
          <w:numId w:val="7"/>
        </w:numPr>
        <w:ind w:left="284" w:hanging="284"/>
      </w:pPr>
      <w:r>
        <w:t>Figures may not sum to totals due to rounding.</w:t>
      </w:r>
    </w:p>
    <w:p w:rsidR="00F52F1D" w:rsidRPr="00FC6579" w:rsidRDefault="00F52F1D" w:rsidP="00F52F1D">
      <w:pPr>
        <w:pStyle w:val="Heading2"/>
      </w:pPr>
      <w:r w:rsidRPr="00FC6579">
        <w:t>Key assumptions</w:t>
      </w:r>
    </w:p>
    <w:p w:rsidR="00F52F1D" w:rsidRDefault="00F52F1D" w:rsidP="00F52F1D">
      <w:r>
        <w:t>It has been assumed that the</w:t>
      </w:r>
      <w:r w:rsidR="008E1337">
        <w:t xml:space="preserve"> implementation of the</w:t>
      </w:r>
      <w:r>
        <w:t xml:space="preserve"> </w:t>
      </w:r>
      <w:r w:rsidRPr="006A0BE4">
        <w:rPr>
          <w:i/>
        </w:rPr>
        <w:t>Blueprint for Change</w:t>
      </w:r>
      <w:r>
        <w:t xml:space="preserve"> strategy would be undertaken over a three year period.</w:t>
      </w:r>
    </w:p>
    <w:p w:rsidR="005E3562" w:rsidRPr="00FC6579" w:rsidRDefault="005E3562" w:rsidP="00BA70CD">
      <w:pPr>
        <w:pStyle w:val="Heading2"/>
        <w:numPr>
          <w:ilvl w:val="0"/>
          <w:numId w:val="0"/>
        </w:numPr>
      </w:pPr>
      <w:r w:rsidRPr="00FC6579">
        <w:t>Methodology</w:t>
      </w:r>
    </w:p>
    <w:p w:rsidR="00BA70CD" w:rsidRPr="00BA70CD" w:rsidRDefault="00BA70CD" w:rsidP="00F52F1D">
      <w:r w:rsidRPr="00BA70CD">
        <w:t>Administered expen</w:t>
      </w:r>
      <w:r w:rsidR="000F150D">
        <w:t>se</w:t>
      </w:r>
      <w:r w:rsidRPr="00BA70CD">
        <w:t xml:space="preserve"> estimates for program</w:t>
      </w:r>
      <w:r w:rsidR="00EC73F2">
        <w:rPr>
          <w:bCs/>
          <w:iCs/>
        </w:rPr>
        <w:t>s</w:t>
      </w:r>
      <w:r w:rsidRPr="00BA70CD">
        <w:t xml:space="preserve"> are as specified in the request.  Dep</w:t>
      </w:r>
      <w:r w:rsidR="0094182D">
        <w:rPr>
          <w:bCs/>
          <w:iCs/>
        </w:rPr>
        <w:t>artmental expen</w:t>
      </w:r>
      <w:r w:rsidR="000F150D">
        <w:rPr>
          <w:bCs/>
          <w:iCs/>
        </w:rPr>
        <w:t>se</w:t>
      </w:r>
      <w:r w:rsidR="0094182D">
        <w:rPr>
          <w:bCs/>
          <w:iCs/>
        </w:rPr>
        <w:t xml:space="preserve"> estimate</w:t>
      </w:r>
      <w:r w:rsidR="005410D2">
        <w:rPr>
          <w:bCs/>
          <w:iCs/>
        </w:rPr>
        <w:t>s</w:t>
      </w:r>
      <w:r w:rsidRPr="00BA70CD">
        <w:t xml:space="preserve"> are based on other like programs and account for the net effect of indexation parameters and the efficiency dividend, in accordance with the Department of Finance’s costing practices.</w:t>
      </w:r>
    </w:p>
    <w:p w:rsidR="005E3562" w:rsidRPr="00FC6579" w:rsidRDefault="005E3562" w:rsidP="00BA70CD">
      <w:pPr>
        <w:pStyle w:val="Heading2"/>
      </w:pPr>
      <w:r w:rsidRPr="00FC6579">
        <w:t>Data sources</w:t>
      </w:r>
    </w:p>
    <w:p w:rsidR="000E5145" w:rsidRPr="00E32493" w:rsidRDefault="00BA70CD" w:rsidP="00E32493">
      <w:pPr>
        <w:pStyle w:val="Bullet1"/>
      </w:pPr>
      <w:r w:rsidRPr="00E32493">
        <w:t>The Department of Finance provided indexation</w:t>
      </w:r>
      <w:r w:rsidR="00847164" w:rsidRPr="00E32493">
        <w:t xml:space="preserve"> and efficiency</w:t>
      </w:r>
      <w:r w:rsidR="00516B89" w:rsidRPr="00E32493">
        <w:t xml:space="preserve"> dividend</w:t>
      </w:r>
      <w:r w:rsidR="006F7992" w:rsidRPr="00E32493">
        <w:t xml:space="preserve"> parameters in</w:t>
      </w:r>
      <w:r w:rsidRPr="00E32493">
        <w:t xml:space="preserve"> the </w:t>
      </w:r>
      <w:r w:rsidR="008E1337" w:rsidRPr="00E32493">
        <w:t>201</w:t>
      </w:r>
      <w:r w:rsidR="00C27405" w:rsidRPr="00E32493">
        <w:t>6</w:t>
      </w:r>
      <w:r w:rsidR="008E1337" w:rsidRPr="00E32493">
        <w:t> </w:t>
      </w:r>
      <w:r w:rsidR="00CF31CE" w:rsidRPr="00E32493">
        <w:t>Pre-Election</w:t>
      </w:r>
      <w:r w:rsidRPr="00E32493">
        <w:t xml:space="preserve"> Economic and Fiscal Outlook.</w:t>
      </w:r>
    </w:p>
    <w:p w:rsidR="00C009CB" w:rsidRDefault="00C009CB" w:rsidP="00E32493">
      <w:pPr>
        <w:pStyle w:val="Bullet1"/>
      </w:pPr>
      <w:r w:rsidRPr="00E32493">
        <w:t xml:space="preserve">Budget 2014-15, </w:t>
      </w:r>
      <w:r w:rsidR="00C46667" w:rsidRPr="00E32493">
        <w:t>Budget Paper No.2</w:t>
      </w:r>
      <w:r w:rsidR="00BE0499" w:rsidRPr="00E32493">
        <w:t>.</w:t>
      </w:r>
    </w:p>
    <w:p w:rsidR="00E32493" w:rsidRDefault="00E32493" w:rsidP="00E32493">
      <w:pPr>
        <w:sectPr w:rsidR="00E32493" w:rsidSect="00BA70CD">
          <w:headerReference w:type="first" r:id="rId14"/>
          <w:footerReference w:type="first" r:id="rId15"/>
          <w:pgSz w:w="11906" w:h="16838"/>
          <w:pgMar w:top="1361" w:right="1797" w:bottom="1474" w:left="1797" w:header="709" w:footer="709" w:gutter="0"/>
          <w:cols w:space="708"/>
          <w:titlePg/>
          <w:docGrid w:linePitch="360"/>
        </w:sectPr>
      </w:pPr>
    </w:p>
    <w:p w:rsidR="000E5145" w:rsidRPr="00BD55B1" w:rsidRDefault="000E5145" w:rsidP="000E5145">
      <w:pPr>
        <w:pStyle w:val="Heading1"/>
      </w:pPr>
      <w:r w:rsidRPr="00FC6579">
        <w:lastRenderedPageBreak/>
        <w:t>Attachment A:</w:t>
      </w:r>
      <w:r>
        <w:t xml:space="preserve"> Empowering and supporting Aboriginal and Torres Strait Islander peoples – financial implications</w:t>
      </w:r>
    </w:p>
    <w:p w:rsidR="002306AD" w:rsidRPr="00E40B8B" w:rsidRDefault="002306AD" w:rsidP="002306AD">
      <w:pPr>
        <w:pStyle w:val="Captionheading"/>
        <w:rPr>
          <w:vertAlign w:val="superscript"/>
        </w:rPr>
      </w:pPr>
      <w:r w:rsidRPr="00FC6579">
        <w:t xml:space="preserve">Table </w:t>
      </w:r>
      <w:r>
        <w:t>A1</w:t>
      </w:r>
      <w:r w:rsidRPr="00FC6579">
        <w:t>:</w:t>
      </w:r>
      <w:r w:rsidR="003A1E39">
        <w:t xml:space="preserve"> Empowering and supporting ATSI peoples</w:t>
      </w:r>
      <w:r>
        <w:t>—Financial implications (outturn prices</w:t>
      </w:r>
      <w:proofErr w:type="gramStart"/>
      <w:r>
        <w:t>)</w:t>
      </w:r>
      <w:r>
        <w:rPr>
          <w:vertAlign w:val="superscript"/>
        </w:rPr>
        <w:t>(</w:t>
      </w:r>
      <w:proofErr w:type="gramEnd"/>
      <w:r>
        <w:rPr>
          <w:vertAlign w:val="superscript"/>
        </w:rPr>
        <w:t>a)(b)</w:t>
      </w:r>
    </w:p>
    <w:tbl>
      <w:tblPr>
        <w:tblStyle w:val="TableGrid"/>
        <w:tblW w:w="4995" w:type="pct"/>
        <w:tblBorders>
          <w:top w:val="single" w:sz="4" w:space="0" w:color="D7DDE9"/>
          <w:left w:val="single" w:sz="4" w:space="0" w:color="D7DDE9"/>
          <w:bottom w:val="single" w:sz="4" w:space="0" w:color="D7DDE9"/>
          <w:right w:val="single" w:sz="4" w:space="0" w:color="D7DDE9"/>
          <w:insideH w:val="single" w:sz="4" w:space="0" w:color="D7DDE9"/>
          <w:insideV w:val="single" w:sz="4" w:space="0" w:color="D7DDE9"/>
        </w:tblBorders>
        <w:tblLook w:val="04A0" w:firstRow="1" w:lastRow="0" w:firstColumn="1" w:lastColumn="0" w:noHBand="0" w:noVBand="1"/>
      </w:tblPr>
      <w:tblGrid>
        <w:gridCol w:w="2644"/>
        <w:gridCol w:w="1134"/>
        <w:gridCol w:w="1134"/>
        <w:gridCol w:w="1134"/>
        <w:gridCol w:w="1134"/>
        <w:gridCol w:w="1134"/>
      </w:tblGrid>
      <w:tr w:rsidR="002306AD" w:rsidRPr="00EF1D6A" w:rsidTr="00CF22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90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center"/>
          </w:tcPr>
          <w:p w:rsidR="002306AD" w:rsidRPr="00EF1D6A" w:rsidRDefault="002306AD" w:rsidP="00E32493">
            <w:pPr>
              <w:pStyle w:val="TableText"/>
              <w:keepNext/>
              <w:keepLines/>
              <w:rPr>
                <w:rFonts w:ascii="Calibri" w:hAnsi="Calibri"/>
                <w:b/>
                <w:szCs w:val="20"/>
              </w:rPr>
            </w:pPr>
            <w:r w:rsidRPr="00EF1D6A">
              <w:rPr>
                <w:rFonts w:ascii="Calibri" w:hAnsi="Calibri"/>
                <w:szCs w:val="20"/>
              </w:rPr>
              <w:t>($m)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center"/>
          </w:tcPr>
          <w:p w:rsidR="002306AD" w:rsidRPr="00C24267" w:rsidRDefault="002306AD" w:rsidP="00E32493">
            <w:pPr>
              <w:pStyle w:val="TableHeadingCentre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0"/>
              </w:rPr>
            </w:pPr>
            <w:r w:rsidRPr="00C24267">
              <w:t>2016–17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center"/>
          </w:tcPr>
          <w:p w:rsidR="002306AD" w:rsidRPr="00C24267" w:rsidRDefault="002306AD" w:rsidP="00E32493">
            <w:pPr>
              <w:pStyle w:val="TableHeadingCentre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0"/>
              </w:rPr>
            </w:pPr>
            <w:r w:rsidRPr="00C24267">
              <w:t>2017–18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center"/>
          </w:tcPr>
          <w:p w:rsidR="002306AD" w:rsidRPr="00C24267" w:rsidRDefault="002306AD" w:rsidP="00E32493">
            <w:pPr>
              <w:pStyle w:val="TableHeadingCentre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0"/>
              </w:rPr>
            </w:pPr>
            <w:r w:rsidRPr="00C24267">
              <w:t>2018–19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center"/>
          </w:tcPr>
          <w:p w:rsidR="002306AD" w:rsidRPr="00C24267" w:rsidRDefault="002306AD" w:rsidP="00E32493">
            <w:pPr>
              <w:pStyle w:val="TableHeadingCentre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0"/>
              </w:rPr>
            </w:pPr>
            <w:r w:rsidRPr="00C24267">
              <w:t>2019–20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center"/>
          </w:tcPr>
          <w:p w:rsidR="002306AD" w:rsidRPr="00AE30B5" w:rsidRDefault="002306AD" w:rsidP="00E32493">
            <w:pPr>
              <w:pStyle w:val="TableHeadingCentre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0"/>
                <w:vertAlign w:val="superscript"/>
              </w:rPr>
            </w:pPr>
            <w:r w:rsidRPr="00AE30B5">
              <w:rPr>
                <w:b/>
              </w:rPr>
              <w:t>Total</w:t>
            </w:r>
            <w:r w:rsidRPr="00AE30B5">
              <w:rPr>
                <w:b/>
                <w:szCs w:val="20"/>
              </w:rPr>
              <w:t xml:space="preserve"> to 2019–20</w:t>
            </w:r>
          </w:p>
        </w:tc>
      </w:tr>
      <w:tr w:rsidR="002306AD" w:rsidRPr="00EF1D6A" w:rsidTr="00CF22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E9ECF3"/>
          </w:tcPr>
          <w:p w:rsidR="002306AD" w:rsidRPr="00AE30B5" w:rsidRDefault="009627FF" w:rsidP="00E32493">
            <w:pPr>
              <w:pStyle w:val="TableHeadingCentred"/>
              <w:jc w:val="left"/>
              <w:rPr>
                <w:b/>
              </w:rPr>
            </w:pPr>
            <w:r>
              <w:rPr>
                <w:b/>
              </w:rPr>
              <w:t>Impact on f</w:t>
            </w:r>
            <w:r w:rsidR="002306AD" w:rsidRPr="00AE30B5">
              <w:rPr>
                <w:b/>
              </w:rPr>
              <w:t xml:space="preserve">iscal and underlying cash balances </w:t>
            </w:r>
          </w:p>
        </w:tc>
      </w:tr>
      <w:tr w:rsidR="00DB3627" w:rsidRPr="0066665A" w:rsidTr="00CF22B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DB3627" w:rsidRPr="003A1E39" w:rsidRDefault="00DB3627" w:rsidP="00E32493">
            <w:pPr>
              <w:pStyle w:val="TableTextCentred"/>
              <w:keepNext/>
              <w:keepLines/>
              <w:jc w:val="left"/>
              <w:rPr>
                <w:szCs w:val="20"/>
              </w:rPr>
            </w:pPr>
            <w:r>
              <w:rPr>
                <w:szCs w:val="20"/>
              </w:rPr>
              <w:t>Expense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DB3627" w:rsidRPr="003F5A7A" w:rsidRDefault="00DB3627" w:rsidP="00E32493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DB3627" w:rsidRPr="003F5A7A" w:rsidRDefault="00DB3627" w:rsidP="00E32493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DB3627" w:rsidRPr="003F5A7A" w:rsidRDefault="00DB3627" w:rsidP="00E32493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DB3627" w:rsidRPr="003F5A7A" w:rsidRDefault="00DB3627" w:rsidP="00E32493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DB3627" w:rsidRPr="003F5A7A" w:rsidRDefault="00DB3627" w:rsidP="00E32493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DB3627" w:rsidRPr="0066665A" w:rsidTr="00CF22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DB3627" w:rsidRPr="00C27868" w:rsidRDefault="00DB3627" w:rsidP="00E32493">
            <w:pPr>
              <w:pStyle w:val="TableText"/>
            </w:pPr>
            <w:r w:rsidRPr="00C27868">
              <w:t>Administered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DB3627" w:rsidRPr="003F5A7A" w:rsidRDefault="00DB3627" w:rsidP="00E32493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F5A7A">
              <w:t xml:space="preserve">-160.5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DB3627" w:rsidRPr="003F5A7A" w:rsidRDefault="00DB3627" w:rsidP="00E32493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F5A7A">
              <w:t xml:space="preserve">-175.5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DB3627" w:rsidRPr="003F5A7A" w:rsidRDefault="00DB3627" w:rsidP="00E32493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F5A7A">
              <w:t xml:space="preserve">-160.5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DB3627" w:rsidRPr="003F5A7A" w:rsidRDefault="00DB3627" w:rsidP="00E32493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F5A7A">
              <w:t xml:space="preserve">-159.0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DB3627" w:rsidRPr="003F5A7A" w:rsidRDefault="00DB3627" w:rsidP="00E32493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3F5A7A">
              <w:rPr>
                <w:b/>
              </w:rPr>
              <w:t xml:space="preserve">-655.5 </w:t>
            </w:r>
          </w:p>
        </w:tc>
      </w:tr>
      <w:tr w:rsidR="00DB3627" w:rsidRPr="0066665A" w:rsidTr="00CF22B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DB3627" w:rsidRPr="00C27868" w:rsidRDefault="00DB3627" w:rsidP="00E32493">
            <w:pPr>
              <w:pStyle w:val="TableText"/>
            </w:pPr>
            <w:r w:rsidRPr="00C27868">
              <w:t>Departmental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DB3627" w:rsidRPr="003F5A7A" w:rsidRDefault="00DB3627" w:rsidP="00E32493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F5A7A">
              <w:t xml:space="preserve">-34.0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DB3627" w:rsidRPr="003F5A7A" w:rsidRDefault="00DB3627" w:rsidP="00E32493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F5A7A">
              <w:t xml:space="preserve">-34.5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DB3627" w:rsidRPr="003F5A7A" w:rsidRDefault="00DB3627" w:rsidP="00E32493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F5A7A">
              <w:t xml:space="preserve">-34.0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DB3627" w:rsidRPr="003F5A7A" w:rsidRDefault="00DB3627" w:rsidP="00E32493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F5A7A">
              <w:t xml:space="preserve">-32.4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DB3627" w:rsidRPr="003F5A7A" w:rsidRDefault="00DB3627" w:rsidP="00E32493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3F5A7A">
              <w:rPr>
                <w:b/>
              </w:rPr>
              <w:t xml:space="preserve">-135.1 </w:t>
            </w:r>
          </w:p>
        </w:tc>
      </w:tr>
      <w:tr w:rsidR="009D4B34" w:rsidRPr="0055406D" w:rsidTr="00CF22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</w:tcPr>
          <w:p w:rsidR="009D4B34" w:rsidRPr="0055406D" w:rsidRDefault="009D4B34" w:rsidP="00E32493">
            <w:pPr>
              <w:pStyle w:val="TableTextCentred"/>
              <w:keepNext/>
              <w:keepLines/>
              <w:jc w:val="left"/>
              <w:rPr>
                <w:b/>
                <w:szCs w:val="20"/>
              </w:rPr>
            </w:pPr>
            <w:r w:rsidRPr="0055406D">
              <w:rPr>
                <w:b/>
                <w:szCs w:val="20"/>
              </w:rPr>
              <w:t>Total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</w:tcPr>
          <w:p w:rsidR="009D4B34" w:rsidRPr="009D4B34" w:rsidRDefault="009D4B34" w:rsidP="00E32493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 w:val="0"/>
              </w:rPr>
            </w:pPr>
            <w:r w:rsidRPr="009D4B34">
              <w:rPr>
                <w:b/>
                <w:i w:val="0"/>
              </w:rPr>
              <w:t xml:space="preserve">-194.5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</w:tcPr>
          <w:p w:rsidR="009D4B34" w:rsidRPr="009D4B34" w:rsidRDefault="009D4B34" w:rsidP="00E32493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 w:val="0"/>
              </w:rPr>
            </w:pPr>
            <w:r w:rsidRPr="009D4B34">
              <w:rPr>
                <w:b/>
                <w:i w:val="0"/>
              </w:rPr>
              <w:t xml:space="preserve">-210.0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</w:tcPr>
          <w:p w:rsidR="009D4B34" w:rsidRPr="009D4B34" w:rsidRDefault="009D4B34" w:rsidP="00E32493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 w:val="0"/>
              </w:rPr>
            </w:pPr>
            <w:r w:rsidRPr="009D4B34">
              <w:rPr>
                <w:b/>
                <w:i w:val="0"/>
              </w:rPr>
              <w:t xml:space="preserve">-194.5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</w:tcPr>
          <w:p w:rsidR="009D4B34" w:rsidRPr="009D4B34" w:rsidRDefault="009D4B34" w:rsidP="00E32493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 w:val="0"/>
              </w:rPr>
            </w:pPr>
            <w:r w:rsidRPr="009D4B34">
              <w:rPr>
                <w:b/>
                <w:i w:val="0"/>
              </w:rPr>
              <w:t xml:space="preserve">-191.4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</w:tcPr>
          <w:p w:rsidR="009D4B34" w:rsidRPr="009D4B34" w:rsidRDefault="009D4B34" w:rsidP="00E32493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 w:val="0"/>
              </w:rPr>
            </w:pPr>
            <w:r w:rsidRPr="009D4B34">
              <w:rPr>
                <w:b/>
                <w:i w:val="0"/>
              </w:rPr>
              <w:t xml:space="preserve">-790.6 </w:t>
            </w:r>
          </w:p>
        </w:tc>
      </w:tr>
    </w:tbl>
    <w:p w:rsidR="002306AD" w:rsidRDefault="005A3AC3" w:rsidP="003A1E39">
      <w:pPr>
        <w:pStyle w:val="Footnotes"/>
        <w:numPr>
          <w:ilvl w:val="0"/>
          <w:numId w:val="19"/>
        </w:numPr>
        <w:ind w:left="284" w:hanging="284"/>
      </w:pPr>
      <w:r w:rsidRPr="00DB3B7E">
        <w:t xml:space="preserve">A positive number indicates an increase in revenue or decrease in expenses or net capital investment in accrual and cash terms. </w:t>
      </w:r>
      <w:r>
        <w:t xml:space="preserve"> </w:t>
      </w:r>
      <w:r w:rsidRPr="00DB3B7E">
        <w:t>A negative number indicates a decrease in revenue or an increase in expenses or net capital investment in accrual and cash terms</w:t>
      </w:r>
      <w:r w:rsidR="003A1E39">
        <w:t>.</w:t>
      </w:r>
    </w:p>
    <w:p w:rsidR="002306AD" w:rsidRDefault="002306AD" w:rsidP="002306AD">
      <w:pPr>
        <w:pStyle w:val="Footnotes"/>
      </w:pPr>
      <w:r>
        <w:t>Figures may not sum to totals due to rounding.</w:t>
      </w:r>
    </w:p>
    <w:p w:rsidR="00DB3627" w:rsidRPr="00E40B8B" w:rsidRDefault="00DB3627" w:rsidP="00DB3627">
      <w:pPr>
        <w:pStyle w:val="Captionheading"/>
        <w:rPr>
          <w:vertAlign w:val="superscript"/>
        </w:rPr>
      </w:pPr>
      <w:r w:rsidRPr="00FC6579">
        <w:t xml:space="preserve">Table </w:t>
      </w:r>
      <w:r>
        <w:t>A2</w:t>
      </w:r>
      <w:r w:rsidRPr="00FC6579">
        <w:t>:</w:t>
      </w:r>
      <w:r>
        <w:t xml:space="preserve"> </w:t>
      </w:r>
      <w:r w:rsidR="00CB20CA">
        <w:t>Component 1</w:t>
      </w:r>
      <w:r w:rsidR="00EC5D86">
        <w:t>:</w:t>
      </w:r>
      <w:r w:rsidR="00CB20CA">
        <w:t xml:space="preserve"> </w:t>
      </w:r>
      <w:r w:rsidR="00EC5D86">
        <w:t>S</w:t>
      </w:r>
      <w:r>
        <w:t>overeignty and treaty—Financial implications (outturn prices</w:t>
      </w:r>
      <w:proofErr w:type="gramStart"/>
      <w:r>
        <w:t>)</w:t>
      </w:r>
      <w:r>
        <w:rPr>
          <w:vertAlign w:val="superscript"/>
        </w:rPr>
        <w:t>(</w:t>
      </w:r>
      <w:proofErr w:type="gramEnd"/>
      <w:r>
        <w:rPr>
          <w:vertAlign w:val="superscript"/>
        </w:rPr>
        <w:t>a)(b)</w:t>
      </w:r>
    </w:p>
    <w:tbl>
      <w:tblPr>
        <w:tblStyle w:val="TableGrid"/>
        <w:tblW w:w="4995" w:type="pct"/>
        <w:tblBorders>
          <w:top w:val="single" w:sz="4" w:space="0" w:color="D7DDE9"/>
          <w:left w:val="single" w:sz="4" w:space="0" w:color="D7DDE9"/>
          <w:bottom w:val="single" w:sz="4" w:space="0" w:color="D7DDE9"/>
          <w:right w:val="single" w:sz="4" w:space="0" w:color="D7DDE9"/>
          <w:insideH w:val="single" w:sz="4" w:space="0" w:color="D7DDE9"/>
          <w:insideV w:val="single" w:sz="4" w:space="0" w:color="D7DDE9"/>
        </w:tblBorders>
        <w:tblLook w:val="04A0" w:firstRow="1" w:lastRow="0" w:firstColumn="1" w:lastColumn="0" w:noHBand="0" w:noVBand="1"/>
      </w:tblPr>
      <w:tblGrid>
        <w:gridCol w:w="2644"/>
        <w:gridCol w:w="1134"/>
        <w:gridCol w:w="1134"/>
        <w:gridCol w:w="1134"/>
        <w:gridCol w:w="1134"/>
        <w:gridCol w:w="1134"/>
      </w:tblGrid>
      <w:tr w:rsidR="00DB3627" w:rsidRPr="00EF1D6A" w:rsidTr="00CF22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90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center"/>
          </w:tcPr>
          <w:p w:rsidR="00DB3627" w:rsidRPr="00EF1D6A" w:rsidRDefault="00DB3627" w:rsidP="00CF22B6">
            <w:pPr>
              <w:pStyle w:val="TableText"/>
              <w:keepNext/>
              <w:keepLines/>
              <w:rPr>
                <w:rFonts w:ascii="Calibri" w:hAnsi="Calibri"/>
                <w:b/>
                <w:szCs w:val="20"/>
              </w:rPr>
            </w:pPr>
            <w:r w:rsidRPr="00EF1D6A">
              <w:rPr>
                <w:rFonts w:ascii="Calibri" w:hAnsi="Calibri"/>
                <w:szCs w:val="20"/>
              </w:rPr>
              <w:t>($m)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center"/>
          </w:tcPr>
          <w:p w:rsidR="00DB3627" w:rsidRPr="00C24267" w:rsidRDefault="00DB3627" w:rsidP="00CF22B6">
            <w:pPr>
              <w:pStyle w:val="TableHeadingCentre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0"/>
              </w:rPr>
            </w:pPr>
            <w:r w:rsidRPr="00C24267">
              <w:t>2016–17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center"/>
          </w:tcPr>
          <w:p w:rsidR="00DB3627" w:rsidRPr="00C24267" w:rsidRDefault="00DB3627" w:rsidP="00CF22B6">
            <w:pPr>
              <w:pStyle w:val="TableHeadingCentre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0"/>
              </w:rPr>
            </w:pPr>
            <w:r w:rsidRPr="00C24267">
              <w:t>2017–18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center"/>
          </w:tcPr>
          <w:p w:rsidR="00DB3627" w:rsidRPr="00C24267" w:rsidRDefault="00DB3627" w:rsidP="00CF22B6">
            <w:pPr>
              <w:pStyle w:val="TableHeadingCentre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0"/>
              </w:rPr>
            </w:pPr>
            <w:r w:rsidRPr="00C24267">
              <w:t>2018–19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center"/>
          </w:tcPr>
          <w:p w:rsidR="00DB3627" w:rsidRPr="00C24267" w:rsidRDefault="00DB3627" w:rsidP="00CF22B6">
            <w:pPr>
              <w:pStyle w:val="TableHeadingCentre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0"/>
              </w:rPr>
            </w:pPr>
            <w:r w:rsidRPr="00C24267">
              <w:t>2019–20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center"/>
          </w:tcPr>
          <w:p w:rsidR="00DB3627" w:rsidRPr="00AE30B5" w:rsidRDefault="00DB3627" w:rsidP="00CF22B6">
            <w:pPr>
              <w:pStyle w:val="TableHeadingCentre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0"/>
                <w:vertAlign w:val="superscript"/>
              </w:rPr>
            </w:pPr>
            <w:r w:rsidRPr="00AE30B5">
              <w:rPr>
                <w:b/>
              </w:rPr>
              <w:t>Total</w:t>
            </w:r>
            <w:r w:rsidRPr="00AE30B5">
              <w:rPr>
                <w:b/>
                <w:szCs w:val="20"/>
              </w:rPr>
              <w:t xml:space="preserve"> to 2019–20</w:t>
            </w:r>
          </w:p>
        </w:tc>
      </w:tr>
      <w:tr w:rsidR="00DB3627" w:rsidRPr="00EF1D6A" w:rsidTr="00CF22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E9ECF3"/>
          </w:tcPr>
          <w:p w:rsidR="00DB3627" w:rsidRPr="00AE30B5" w:rsidRDefault="009627FF" w:rsidP="009627FF">
            <w:pPr>
              <w:pStyle w:val="TableHeadingCentred"/>
              <w:jc w:val="left"/>
              <w:rPr>
                <w:b/>
              </w:rPr>
            </w:pPr>
            <w:r>
              <w:rPr>
                <w:b/>
              </w:rPr>
              <w:t>Impact on f</w:t>
            </w:r>
            <w:r w:rsidR="00DB3627" w:rsidRPr="00AE30B5">
              <w:rPr>
                <w:b/>
              </w:rPr>
              <w:t xml:space="preserve">iscal and underlying cash balances </w:t>
            </w:r>
          </w:p>
        </w:tc>
      </w:tr>
      <w:tr w:rsidR="00DB3627" w:rsidRPr="0066665A" w:rsidTr="00CF22B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DB3627" w:rsidRPr="00DB3627" w:rsidRDefault="00DB3627" w:rsidP="00DB3627">
            <w:pPr>
              <w:pStyle w:val="TableText"/>
            </w:pPr>
            <w:r w:rsidRPr="00DB3627">
              <w:t>Expense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DB3627" w:rsidRPr="003F5A7A" w:rsidRDefault="00DB3627" w:rsidP="00CF22B6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DB3627" w:rsidRPr="003F5A7A" w:rsidRDefault="00DB3627" w:rsidP="00CF22B6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DB3627" w:rsidRPr="003F5A7A" w:rsidRDefault="00DB3627" w:rsidP="00CF22B6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DB3627" w:rsidRPr="003F5A7A" w:rsidRDefault="00DB3627" w:rsidP="00CF22B6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DB3627" w:rsidRPr="003F5A7A" w:rsidRDefault="00DB3627" w:rsidP="00CF22B6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C400E8" w:rsidRPr="0066665A" w:rsidTr="00CF22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C400E8" w:rsidRPr="00C27868" w:rsidRDefault="00C400E8" w:rsidP="00DB3627">
            <w:pPr>
              <w:pStyle w:val="TableText"/>
            </w:pPr>
            <w:r w:rsidRPr="00C27868">
              <w:t>Administered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C400E8" w:rsidRPr="003F5A7A" w:rsidRDefault="00C400E8" w:rsidP="00DB3627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F5A7A">
              <w:t xml:space="preserve">-15.0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C400E8" w:rsidRPr="003F5A7A" w:rsidRDefault="00C400E8" w:rsidP="00DB3627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F5A7A">
              <w:t xml:space="preserve">-15.0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C400E8" w:rsidRPr="003F5A7A" w:rsidRDefault="00C400E8" w:rsidP="00DB3627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F5A7A">
              <w:t xml:space="preserve"> -  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C400E8" w:rsidRPr="003F5A7A" w:rsidRDefault="00C400E8" w:rsidP="00DB3627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F5A7A">
              <w:t>-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C400E8" w:rsidRPr="003F5A7A" w:rsidRDefault="00C400E8" w:rsidP="00DB3627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3F5A7A">
              <w:rPr>
                <w:b/>
              </w:rPr>
              <w:t xml:space="preserve">-30.0 </w:t>
            </w:r>
          </w:p>
        </w:tc>
      </w:tr>
      <w:tr w:rsidR="00C400E8" w:rsidRPr="0066665A" w:rsidTr="00CF22B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C400E8" w:rsidRPr="00C27868" w:rsidRDefault="00C400E8" w:rsidP="00DB3627">
            <w:pPr>
              <w:pStyle w:val="TableText"/>
            </w:pPr>
            <w:r w:rsidRPr="00C27868">
              <w:t>Departmental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C400E8" w:rsidRPr="003F5A7A" w:rsidRDefault="00C400E8" w:rsidP="00DB3627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F5A7A">
              <w:t xml:space="preserve">-0.5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C400E8" w:rsidRPr="003F5A7A" w:rsidRDefault="00C400E8" w:rsidP="00DB3627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F5A7A">
              <w:t xml:space="preserve">-0.5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C400E8" w:rsidRPr="003F5A7A" w:rsidRDefault="00C400E8" w:rsidP="00DB3627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F5A7A">
              <w:t xml:space="preserve"> -  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C400E8" w:rsidRPr="003F5A7A" w:rsidRDefault="00C400E8" w:rsidP="00DB3627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F5A7A">
              <w:t>-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C400E8" w:rsidRPr="003F5A7A" w:rsidRDefault="00C400E8" w:rsidP="00DB3627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3F5A7A">
              <w:rPr>
                <w:b/>
              </w:rPr>
              <w:t xml:space="preserve">-1.0 </w:t>
            </w:r>
          </w:p>
        </w:tc>
      </w:tr>
      <w:tr w:rsidR="00DB3627" w:rsidRPr="0055406D" w:rsidTr="00CF22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</w:tcPr>
          <w:p w:rsidR="00DB3627" w:rsidRPr="0055406D" w:rsidRDefault="00DB3627" w:rsidP="00CF22B6">
            <w:pPr>
              <w:pStyle w:val="TableTextCentred"/>
              <w:keepNext/>
              <w:keepLines/>
              <w:jc w:val="left"/>
              <w:rPr>
                <w:b/>
                <w:szCs w:val="20"/>
              </w:rPr>
            </w:pPr>
            <w:r w:rsidRPr="0055406D">
              <w:rPr>
                <w:b/>
                <w:szCs w:val="20"/>
              </w:rPr>
              <w:t>Total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</w:tcPr>
          <w:p w:rsidR="00DB3627" w:rsidRPr="00DB3627" w:rsidRDefault="00DB3627" w:rsidP="00DB3627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 w:val="0"/>
              </w:rPr>
            </w:pPr>
            <w:r w:rsidRPr="00DB3627">
              <w:rPr>
                <w:b/>
                <w:i w:val="0"/>
              </w:rPr>
              <w:t xml:space="preserve">-15.5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</w:tcPr>
          <w:p w:rsidR="00DB3627" w:rsidRPr="00DB3627" w:rsidRDefault="00DB3627" w:rsidP="00DB3627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 w:val="0"/>
              </w:rPr>
            </w:pPr>
            <w:r w:rsidRPr="00DB3627">
              <w:rPr>
                <w:b/>
                <w:i w:val="0"/>
              </w:rPr>
              <w:t xml:space="preserve">-15.5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</w:tcPr>
          <w:p w:rsidR="00DB3627" w:rsidRPr="00DB3627" w:rsidRDefault="00DB3627" w:rsidP="00DB3627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 w:val="0"/>
              </w:rPr>
            </w:pPr>
            <w:r w:rsidRPr="00DB3627">
              <w:rPr>
                <w:b/>
                <w:i w:val="0"/>
              </w:rPr>
              <w:t xml:space="preserve"> -  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</w:tcPr>
          <w:p w:rsidR="00DB3627" w:rsidRPr="00DB3627" w:rsidRDefault="009627FF" w:rsidP="00DB3627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 w:val="0"/>
              </w:rPr>
            </w:pPr>
            <w:r>
              <w:rPr>
                <w:b/>
                <w:i w:val="0"/>
              </w:rPr>
              <w:t>-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</w:tcPr>
          <w:p w:rsidR="00DB3627" w:rsidRPr="00DB3627" w:rsidRDefault="00DB3627" w:rsidP="00DB3627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 w:val="0"/>
              </w:rPr>
            </w:pPr>
            <w:r w:rsidRPr="00DB3627">
              <w:rPr>
                <w:b/>
                <w:i w:val="0"/>
              </w:rPr>
              <w:t xml:space="preserve">-31.0 </w:t>
            </w:r>
          </w:p>
        </w:tc>
      </w:tr>
    </w:tbl>
    <w:p w:rsidR="00DB3627" w:rsidRDefault="005A3AC3" w:rsidP="00DB3627">
      <w:pPr>
        <w:pStyle w:val="Footnotes"/>
        <w:numPr>
          <w:ilvl w:val="0"/>
          <w:numId w:val="20"/>
        </w:numPr>
        <w:ind w:left="284" w:hanging="284"/>
      </w:pPr>
      <w:r w:rsidRPr="00DB3B7E">
        <w:t xml:space="preserve">A positive number indicates an increase in revenue or decrease in expenses or net capital investment in accrual and cash terms. </w:t>
      </w:r>
      <w:r>
        <w:t xml:space="preserve"> </w:t>
      </w:r>
      <w:r w:rsidRPr="00DB3B7E">
        <w:t>A negative number indicates a decrease in revenue or an increase in expenses or net capital investment in accrual and cash terms</w:t>
      </w:r>
      <w:r w:rsidR="00DB3627">
        <w:t>.</w:t>
      </w:r>
    </w:p>
    <w:p w:rsidR="00DB3627" w:rsidRDefault="00DB3627" w:rsidP="00DB3627">
      <w:pPr>
        <w:pStyle w:val="Footnotes"/>
      </w:pPr>
      <w:r>
        <w:t>Figures may not sum to totals due to rounding.</w:t>
      </w:r>
    </w:p>
    <w:p w:rsidR="00E95B8E" w:rsidRDefault="00DB3627" w:rsidP="003F5A7A">
      <w:pPr>
        <w:pStyle w:val="Footnotes"/>
        <w:numPr>
          <w:ilvl w:val="0"/>
          <w:numId w:val="0"/>
        </w:numPr>
        <w:ind w:left="284" w:hanging="284"/>
      </w:pPr>
      <w:r>
        <w:t>-</w:t>
      </w:r>
      <w:r>
        <w:tab/>
        <w:t>Indicates nil.</w:t>
      </w:r>
    </w:p>
    <w:p w:rsidR="00E95B8E" w:rsidRPr="00E40B8B" w:rsidRDefault="00E95B8E" w:rsidP="003F5A7A">
      <w:pPr>
        <w:pStyle w:val="Captionheading"/>
        <w:keepLines/>
        <w:rPr>
          <w:vertAlign w:val="superscript"/>
        </w:rPr>
      </w:pPr>
      <w:r w:rsidRPr="00FC6579">
        <w:lastRenderedPageBreak/>
        <w:t xml:space="preserve">Table </w:t>
      </w:r>
      <w:r>
        <w:t>A3</w:t>
      </w:r>
      <w:r w:rsidRPr="00FC6579">
        <w:t xml:space="preserve">: </w:t>
      </w:r>
      <w:r w:rsidR="00CB20CA">
        <w:t>Component 2</w:t>
      </w:r>
      <w:r w:rsidR="00EC5D86">
        <w:t>:</w:t>
      </w:r>
      <w:r w:rsidR="00CB20CA">
        <w:t xml:space="preserve"> </w:t>
      </w:r>
      <w:r>
        <w:t xml:space="preserve">Implement </w:t>
      </w:r>
      <w:r w:rsidR="00EC5D86">
        <w:t>the UNDRIP</w:t>
      </w:r>
      <w:r>
        <w:t>—Financial implications (outturn prices</w:t>
      </w:r>
      <w:proofErr w:type="gramStart"/>
      <w:r>
        <w:t>)</w:t>
      </w:r>
      <w:r>
        <w:rPr>
          <w:vertAlign w:val="superscript"/>
        </w:rPr>
        <w:t>(</w:t>
      </w:r>
      <w:proofErr w:type="gramEnd"/>
      <w:r>
        <w:rPr>
          <w:vertAlign w:val="superscript"/>
        </w:rPr>
        <w:t>a)(b)</w:t>
      </w:r>
    </w:p>
    <w:tbl>
      <w:tblPr>
        <w:tblStyle w:val="TableGrid"/>
        <w:tblW w:w="4995" w:type="pct"/>
        <w:tblBorders>
          <w:top w:val="single" w:sz="4" w:space="0" w:color="D7DDE9"/>
          <w:left w:val="single" w:sz="4" w:space="0" w:color="D7DDE9"/>
          <w:bottom w:val="single" w:sz="4" w:space="0" w:color="D7DDE9"/>
          <w:right w:val="single" w:sz="4" w:space="0" w:color="D7DDE9"/>
          <w:insideH w:val="single" w:sz="4" w:space="0" w:color="D7DDE9"/>
          <w:insideV w:val="single" w:sz="4" w:space="0" w:color="D7DDE9"/>
        </w:tblBorders>
        <w:tblLook w:val="04A0" w:firstRow="1" w:lastRow="0" w:firstColumn="1" w:lastColumn="0" w:noHBand="0" w:noVBand="1"/>
      </w:tblPr>
      <w:tblGrid>
        <w:gridCol w:w="2644"/>
        <w:gridCol w:w="1134"/>
        <w:gridCol w:w="1134"/>
        <w:gridCol w:w="1134"/>
        <w:gridCol w:w="1134"/>
        <w:gridCol w:w="1134"/>
      </w:tblGrid>
      <w:tr w:rsidR="00E95B8E" w:rsidRPr="00EF1D6A" w:rsidTr="00CF22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90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center"/>
          </w:tcPr>
          <w:p w:rsidR="00E95B8E" w:rsidRPr="00EF1D6A" w:rsidRDefault="00E95B8E" w:rsidP="003F5A7A">
            <w:pPr>
              <w:pStyle w:val="TableText"/>
              <w:keepNext/>
              <w:keepLines/>
              <w:rPr>
                <w:rFonts w:ascii="Calibri" w:hAnsi="Calibri"/>
                <w:b/>
                <w:szCs w:val="20"/>
              </w:rPr>
            </w:pPr>
            <w:r w:rsidRPr="00EF1D6A">
              <w:rPr>
                <w:rFonts w:ascii="Calibri" w:hAnsi="Calibri"/>
                <w:szCs w:val="20"/>
              </w:rPr>
              <w:t>($m)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center"/>
          </w:tcPr>
          <w:p w:rsidR="00E95B8E" w:rsidRPr="00C24267" w:rsidRDefault="00E95B8E" w:rsidP="003F5A7A">
            <w:pPr>
              <w:pStyle w:val="TableHeadingCentre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0"/>
              </w:rPr>
            </w:pPr>
            <w:r w:rsidRPr="00C24267">
              <w:t>2016–17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center"/>
          </w:tcPr>
          <w:p w:rsidR="00E95B8E" w:rsidRPr="00C24267" w:rsidRDefault="00E95B8E" w:rsidP="003F5A7A">
            <w:pPr>
              <w:pStyle w:val="TableHeadingCentre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0"/>
              </w:rPr>
            </w:pPr>
            <w:r w:rsidRPr="00C24267">
              <w:t>2017–18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center"/>
          </w:tcPr>
          <w:p w:rsidR="00E95B8E" w:rsidRPr="00C24267" w:rsidRDefault="00E95B8E" w:rsidP="003F5A7A">
            <w:pPr>
              <w:pStyle w:val="TableHeadingCentre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0"/>
              </w:rPr>
            </w:pPr>
            <w:r w:rsidRPr="00C24267">
              <w:t>2018–19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center"/>
          </w:tcPr>
          <w:p w:rsidR="00E95B8E" w:rsidRPr="00C24267" w:rsidRDefault="00E95B8E" w:rsidP="003F5A7A">
            <w:pPr>
              <w:pStyle w:val="TableHeadingCentre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0"/>
              </w:rPr>
            </w:pPr>
            <w:r w:rsidRPr="00C24267">
              <w:t>2019–20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center"/>
          </w:tcPr>
          <w:p w:rsidR="00E95B8E" w:rsidRPr="00AE30B5" w:rsidRDefault="00E95B8E" w:rsidP="003F5A7A">
            <w:pPr>
              <w:pStyle w:val="TableHeadingCentre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0"/>
                <w:vertAlign w:val="superscript"/>
              </w:rPr>
            </w:pPr>
            <w:r w:rsidRPr="00AE30B5">
              <w:rPr>
                <w:b/>
              </w:rPr>
              <w:t>Total</w:t>
            </w:r>
            <w:r w:rsidRPr="00AE30B5">
              <w:rPr>
                <w:b/>
                <w:szCs w:val="20"/>
              </w:rPr>
              <w:t xml:space="preserve"> to 2019–20</w:t>
            </w:r>
          </w:p>
        </w:tc>
      </w:tr>
      <w:tr w:rsidR="00E95B8E" w:rsidRPr="00EF1D6A" w:rsidTr="00CF22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E9ECF3"/>
          </w:tcPr>
          <w:p w:rsidR="00E95B8E" w:rsidRPr="00AE30B5" w:rsidRDefault="009627FF" w:rsidP="003F5A7A">
            <w:pPr>
              <w:pStyle w:val="TableHeadingCentred"/>
              <w:jc w:val="left"/>
              <w:rPr>
                <w:b/>
              </w:rPr>
            </w:pPr>
            <w:r>
              <w:rPr>
                <w:b/>
              </w:rPr>
              <w:t xml:space="preserve">Impact on </w:t>
            </w:r>
            <w:r w:rsidR="00BE0499">
              <w:rPr>
                <w:b/>
              </w:rPr>
              <w:t>f</w:t>
            </w:r>
            <w:r w:rsidR="00E95B8E" w:rsidRPr="00AE30B5">
              <w:rPr>
                <w:b/>
              </w:rPr>
              <w:t xml:space="preserve">iscal and underlying cash balances </w:t>
            </w:r>
          </w:p>
        </w:tc>
      </w:tr>
      <w:tr w:rsidR="00E95B8E" w:rsidRPr="0066665A" w:rsidTr="00CF22B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E95B8E" w:rsidRPr="00E95B8E" w:rsidRDefault="00E95B8E" w:rsidP="003F5A7A">
            <w:pPr>
              <w:pStyle w:val="TableTextCentred"/>
              <w:keepNext/>
              <w:keepLines/>
              <w:jc w:val="left"/>
              <w:rPr>
                <w:szCs w:val="20"/>
              </w:rPr>
            </w:pPr>
            <w:r>
              <w:rPr>
                <w:szCs w:val="20"/>
              </w:rPr>
              <w:t>Expense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E95B8E" w:rsidRPr="003F5A7A" w:rsidRDefault="00E95B8E" w:rsidP="003F5A7A">
            <w:pPr>
              <w:pStyle w:val="TableTextRight"/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E95B8E" w:rsidRPr="003F5A7A" w:rsidRDefault="00E95B8E" w:rsidP="003F5A7A">
            <w:pPr>
              <w:pStyle w:val="TableTextRight"/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E95B8E" w:rsidRPr="003F5A7A" w:rsidRDefault="00E95B8E" w:rsidP="003F5A7A">
            <w:pPr>
              <w:pStyle w:val="TableTextRight"/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E95B8E" w:rsidRPr="003F5A7A" w:rsidRDefault="00E95B8E" w:rsidP="003F5A7A">
            <w:pPr>
              <w:pStyle w:val="TableTextRight"/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E95B8E" w:rsidRPr="003F5A7A" w:rsidRDefault="00E95B8E" w:rsidP="003F5A7A">
            <w:pPr>
              <w:pStyle w:val="TableTextRight"/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C400E8" w:rsidRPr="0066665A" w:rsidTr="00CF22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C400E8" w:rsidRPr="00DB3627" w:rsidRDefault="00C400E8" w:rsidP="003F5A7A">
            <w:pPr>
              <w:pStyle w:val="TableText"/>
              <w:keepNext/>
              <w:keepLines/>
              <w:rPr>
                <w:i/>
              </w:rPr>
            </w:pPr>
            <w:r w:rsidRPr="002E50DA">
              <w:t>Administered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C400E8" w:rsidRPr="003F5A7A" w:rsidRDefault="00C400E8" w:rsidP="003F5A7A">
            <w:pPr>
              <w:pStyle w:val="TableTextRight"/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F5A7A">
              <w:t xml:space="preserve">-5.0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C400E8" w:rsidRPr="003F5A7A" w:rsidRDefault="00C400E8" w:rsidP="003F5A7A">
            <w:pPr>
              <w:pStyle w:val="TableTextRight"/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F5A7A">
              <w:t xml:space="preserve">-5.0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C400E8" w:rsidRPr="003F5A7A" w:rsidRDefault="00C400E8" w:rsidP="003F5A7A">
            <w:pPr>
              <w:pStyle w:val="TableTextRight"/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F5A7A">
              <w:t xml:space="preserve">-5.0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C400E8" w:rsidRPr="003F5A7A" w:rsidRDefault="00C400E8" w:rsidP="003F5A7A">
            <w:pPr>
              <w:pStyle w:val="TableTextRight"/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F5A7A">
              <w:t xml:space="preserve">-5.0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C400E8" w:rsidRPr="003F5A7A" w:rsidRDefault="00C400E8" w:rsidP="003F5A7A">
            <w:pPr>
              <w:pStyle w:val="TableTextRight"/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3F5A7A">
              <w:rPr>
                <w:b/>
              </w:rPr>
              <w:t xml:space="preserve">-20.0 </w:t>
            </w:r>
          </w:p>
        </w:tc>
      </w:tr>
      <w:tr w:rsidR="00C400E8" w:rsidRPr="0066665A" w:rsidTr="00CF22B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C400E8" w:rsidRPr="00DB3627" w:rsidRDefault="00C400E8" w:rsidP="003F5A7A">
            <w:pPr>
              <w:pStyle w:val="TableText"/>
              <w:keepNext/>
              <w:keepLines/>
              <w:rPr>
                <w:i/>
              </w:rPr>
            </w:pPr>
            <w:r w:rsidRPr="002E50DA">
              <w:t>Departmental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C400E8" w:rsidRPr="003F5A7A" w:rsidRDefault="00C400E8" w:rsidP="003F5A7A">
            <w:pPr>
              <w:pStyle w:val="TableTextRight"/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F5A7A">
              <w:t xml:space="preserve">-0.3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C400E8" w:rsidRPr="003F5A7A" w:rsidRDefault="00C400E8" w:rsidP="003F5A7A">
            <w:pPr>
              <w:pStyle w:val="TableTextRight"/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F5A7A">
              <w:t xml:space="preserve">-0.3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C400E8" w:rsidRPr="003F5A7A" w:rsidRDefault="00C400E8" w:rsidP="003F5A7A">
            <w:pPr>
              <w:pStyle w:val="TableTextRight"/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F5A7A">
              <w:t xml:space="preserve">-0.3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C400E8" w:rsidRPr="003F5A7A" w:rsidRDefault="00C400E8" w:rsidP="003F5A7A">
            <w:pPr>
              <w:pStyle w:val="TableTextRight"/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F5A7A">
              <w:t xml:space="preserve">-0.3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C400E8" w:rsidRPr="003F5A7A" w:rsidRDefault="00C400E8" w:rsidP="003F5A7A">
            <w:pPr>
              <w:pStyle w:val="TableTextRight"/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3F5A7A">
              <w:rPr>
                <w:b/>
              </w:rPr>
              <w:t xml:space="preserve">-1.3 </w:t>
            </w:r>
          </w:p>
        </w:tc>
      </w:tr>
      <w:tr w:rsidR="00E95B8E" w:rsidRPr="0055406D" w:rsidTr="00CF22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</w:tcPr>
          <w:p w:rsidR="00E95B8E" w:rsidRPr="0055406D" w:rsidRDefault="00E95B8E" w:rsidP="00CF22B6">
            <w:pPr>
              <w:pStyle w:val="TableTextCentred"/>
              <w:keepNext/>
              <w:keepLines/>
              <w:jc w:val="left"/>
              <w:rPr>
                <w:b/>
                <w:szCs w:val="20"/>
              </w:rPr>
            </w:pPr>
            <w:r w:rsidRPr="0055406D">
              <w:rPr>
                <w:b/>
                <w:szCs w:val="20"/>
              </w:rPr>
              <w:t>Total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</w:tcPr>
          <w:p w:rsidR="00E95B8E" w:rsidRPr="00E95B8E" w:rsidRDefault="00E95B8E" w:rsidP="00E95B8E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 w:val="0"/>
              </w:rPr>
            </w:pPr>
            <w:r w:rsidRPr="00E95B8E">
              <w:rPr>
                <w:b/>
                <w:i w:val="0"/>
              </w:rPr>
              <w:t xml:space="preserve">-5.3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</w:tcPr>
          <w:p w:rsidR="00E95B8E" w:rsidRPr="00E95B8E" w:rsidRDefault="00E95B8E" w:rsidP="00E95B8E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 w:val="0"/>
              </w:rPr>
            </w:pPr>
            <w:r w:rsidRPr="00E95B8E">
              <w:rPr>
                <w:b/>
                <w:i w:val="0"/>
              </w:rPr>
              <w:t xml:space="preserve">-5.3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</w:tcPr>
          <w:p w:rsidR="00E95B8E" w:rsidRPr="00E95B8E" w:rsidRDefault="00E95B8E" w:rsidP="00E95B8E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 w:val="0"/>
              </w:rPr>
            </w:pPr>
            <w:r w:rsidRPr="00E95B8E">
              <w:rPr>
                <w:b/>
                <w:i w:val="0"/>
              </w:rPr>
              <w:t xml:space="preserve">-5.3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</w:tcPr>
          <w:p w:rsidR="00E95B8E" w:rsidRPr="00E95B8E" w:rsidRDefault="00E95B8E" w:rsidP="00E95B8E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 w:val="0"/>
              </w:rPr>
            </w:pPr>
            <w:r w:rsidRPr="00E95B8E">
              <w:rPr>
                <w:b/>
                <w:i w:val="0"/>
              </w:rPr>
              <w:t xml:space="preserve">-5.3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</w:tcPr>
          <w:p w:rsidR="00E95B8E" w:rsidRPr="00E95B8E" w:rsidRDefault="00E95B8E" w:rsidP="00E95B8E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 w:val="0"/>
              </w:rPr>
            </w:pPr>
            <w:r w:rsidRPr="00E95B8E">
              <w:rPr>
                <w:b/>
                <w:i w:val="0"/>
              </w:rPr>
              <w:t xml:space="preserve">-21.3 </w:t>
            </w:r>
          </w:p>
        </w:tc>
      </w:tr>
    </w:tbl>
    <w:p w:rsidR="00E95B8E" w:rsidRDefault="005A3AC3" w:rsidP="00E95B8E">
      <w:pPr>
        <w:pStyle w:val="Footnotes"/>
        <w:numPr>
          <w:ilvl w:val="0"/>
          <w:numId w:val="21"/>
        </w:numPr>
        <w:ind w:left="284" w:hanging="284"/>
      </w:pPr>
      <w:r w:rsidRPr="00DB3B7E">
        <w:t xml:space="preserve">A positive number indicates an increase in revenue or decrease in expenses or net capital investment in accrual and cash terms. </w:t>
      </w:r>
      <w:r>
        <w:t xml:space="preserve"> </w:t>
      </w:r>
      <w:r w:rsidRPr="00DB3B7E">
        <w:t>A negative number indicates a decrease in revenue or an increase in expenses or net capital investment in accrual and cash terms</w:t>
      </w:r>
      <w:r w:rsidR="00E95B8E">
        <w:t>.</w:t>
      </w:r>
    </w:p>
    <w:p w:rsidR="00BA70CD" w:rsidRDefault="00E95B8E" w:rsidP="00F52F1D">
      <w:pPr>
        <w:pStyle w:val="Footnotes"/>
      </w:pPr>
      <w:r>
        <w:t>Figures may not sum to totals due to rounding.</w:t>
      </w:r>
    </w:p>
    <w:p w:rsidR="002E4718" w:rsidRPr="00E40B8B" w:rsidRDefault="002E4718" w:rsidP="002E4718">
      <w:pPr>
        <w:pStyle w:val="Captionheading"/>
        <w:rPr>
          <w:vertAlign w:val="superscript"/>
        </w:rPr>
      </w:pPr>
      <w:r w:rsidRPr="00FC6579">
        <w:t xml:space="preserve">Table </w:t>
      </w:r>
      <w:r>
        <w:t>A4</w:t>
      </w:r>
      <w:r w:rsidRPr="00FC6579">
        <w:t>:</w:t>
      </w:r>
      <w:r>
        <w:t xml:space="preserve"> </w:t>
      </w:r>
      <w:r w:rsidR="00CB20CA">
        <w:t>Component 3</w:t>
      </w:r>
      <w:r w:rsidR="00EC5D86">
        <w:t>:</w:t>
      </w:r>
      <w:r w:rsidR="00CB20CA">
        <w:t xml:space="preserve"> </w:t>
      </w:r>
      <w:r w:rsidR="00EC5D86">
        <w:t>O</w:t>
      </w:r>
      <w:r>
        <w:t xml:space="preserve">ffset </w:t>
      </w:r>
      <w:r w:rsidR="00EC5D86">
        <w:t xml:space="preserve">Coalition </w:t>
      </w:r>
      <w:r>
        <w:t>cuts—Financial implications (outturn prices</w:t>
      </w:r>
      <w:proofErr w:type="gramStart"/>
      <w:r>
        <w:t>)</w:t>
      </w:r>
      <w:r>
        <w:rPr>
          <w:vertAlign w:val="superscript"/>
        </w:rPr>
        <w:t>(</w:t>
      </w:r>
      <w:proofErr w:type="gramEnd"/>
      <w:r>
        <w:rPr>
          <w:vertAlign w:val="superscript"/>
        </w:rPr>
        <w:t>a)(b)</w:t>
      </w:r>
    </w:p>
    <w:tbl>
      <w:tblPr>
        <w:tblStyle w:val="TableGrid"/>
        <w:tblW w:w="4995" w:type="pct"/>
        <w:tblBorders>
          <w:top w:val="single" w:sz="4" w:space="0" w:color="D7DDE9"/>
          <w:left w:val="single" w:sz="4" w:space="0" w:color="D7DDE9"/>
          <w:bottom w:val="single" w:sz="4" w:space="0" w:color="D7DDE9"/>
          <w:right w:val="single" w:sz="4" w:space="0" w:color="D7DDE9"/>
          <w:insideH w:val="single" w:sz="4" w:space="0" w:color="D7DDE9"/>
          <w:insideV w:val="single" w:sz="4" w:space="0" w:color="D7DDE9"/>
        </w:tblBorders>
        <w:tblLook w:val="04A0" w:firstRow="1" w:lastRow="0" w:firstColumn="1" w:lastColumn="0" w:noHBand="0" w:noVBand="1"/>
      </w:tblPr>
      <w:tblGrid>
        <w:gridCol w:w="2644"/>
        <w:gridCol w:w="1134"/>
        <w:gridCol w:w="1134"/>
        <w:gridCol w:w="1134"/>
        <w:gridCol w:w="1134"/>
        <w:gridCol w:w="1134"/>
      </w:tblGrid>
      <w:tr w:rsidR="002E4718" w:rsidRPr="00EF1D6A" w:rsidTr="00CF22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90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center"/>
          </w:tcPr>
          <w:p w:rsidR="002E4718" w:rsidRPr="00EF1D6A" w:rsidRDefault="002E4718" w:rsidP="003F5A7A">
            <w:pPr>
              <w:pStyle w:val="TableText"/>
              <w:keepNext/>
              <w:keepLines/>
              <w:rPr>
                <w:rFonts w:ascii="Calibri" w:hAnsi="Calibri"/>
                <w:b/>
                <w:szCs w:val="20"/>
              </w:rPr>
            </w:pPr>
            <w:r w:rsidRPr="00EF1D6A">
              <w:rPr>
                <w:rFonts w:ascii="Calibri" w:hAnsi="Calibri"/>
                <w:szCs w:val="20"/>
              </w:rPr>
              <w:t>($m)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center"/>
          </w:tcPr>
          <w:p w:rsidR="002E4718" w:rsidRPr="00C24267" w:rsidRDefault="002E4718" w:rsidP="003F5A7A">
            <w:pPr>
              <w:pStyle w:val="TableHeadingCentre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0"/>
              </w:rPr>
            </w:pPr>
            <w:r w:rsidRPr="00C24267">
              <w:t>2016–17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center"/>
          </w:tcPr>
          <w:p w:rsidR="002E4718" w:rsidRPr="00C24267" w:rsidRDefault="002E4718" w:rsidP="003F5A7A">
            <w:pPr>
              <w:pStyle w:val="TableHeadingCentre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0"/>
              </w:rPr>
            </w:pPr>
            <w:r w:rsidRPr="00C24267">
              <w:t>2017–18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center"/>
          </w:tcPr>
          <w:p w:rsidR="002E4718" w:rsidRPr="00C24267" w:rsidRDefault="002E4718" w:rsidP="003F5A7A">
            <w:pPr>
              <w:pStyle w:val="TableHeadingCentre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0"/>
              </w:rPr>
            </w:pPr>
            <w:r w:rsidRPr="00C24267">
              <w:t>2018–19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center"/>
          </w:tcPr>
          <w:p w:rsidR="002E4718" w:rsidRPr="00C24267" w:rsidRDefault="002E4718" w:rsidP="003F5A7A">
            <w:pPr>
              <w:pStyle w:val="TableHeadingCentre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0"/>
              </w:rPr>
            </w:pPr>
            <w:r w:rsidRPr="00C24267">
              <w:t>2019–20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center"/>
          </w:tcPr>
          <w:p w:rsidR="002E4718" w:rsidRPr="00AE30B5" w:rsidRDefault="002E4718" w:rsidP="003F5A7A">
            <w:pPr>
              <w:pStyle w:val="TableHeadingCentre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0"/>
                <w:vertAlign w:val="superscript"/>
              </w:rPr>
            </w:pPr>
            <w:r w:rsidRPr="00AE30B5">
              <w:rPr>
                <w:b/>
              </w:rPr>
              <w:t>Total</w:t>
            </w:r>
            <w:r w:rsidRPr="00AE30B5">
              <w:rPr>
                <w:b/>
                <w:szCs w:val="20"/>
              </w:rPr>
              <w:t xml:space="preserve"> to 2019–20</w:t>
            </w:r>
          </w:p>
        </w:tc>
      </w:tr>
      <w:tr w:rsidR="002E4718" w:rsidRPr="00EF1D6A" w:rsidTr="00CF22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E9ECF3"/>
          </w:tcPr>
          <w:p w:rsidR="002E4718" w:rsidRPr="00AE30B5" w:rsidRDefault="009627FF" w:rsidP="003F5A7A">
            <w:pPr>
              <w:pStyle w:val="TableHeadingCentred"/>
              <w:jc w:val="left"/>
              <w:rPr>
                <w:b/>
              </w:rPr>
            </w:pPr>
            <w:r>
              <w:rPr>
                <w:b/>
              </w:rPr>
              <w:t>Impact on f</w:t>
            </w:r>
            <w:r w:rsidR="002E4718" w:rsidRPr="00AE30B5">
              <w:rPr>
                <w:b/>
              </w:rPr>
              <w:t xml:space="preserve">iscal and underlying cash balances </w:t>
            </w:r>
          </w:p>
        </w:tc>
      </w:tr>
      <w:tr w:rsidR="002E4718" w:rsidRPr="0066665A" w:rsidTr="002E4718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E9ECF3"/>
          </w:tcPr>
          <w:p w:rsidR="002E4718" w:rsidRPr="002E4718" w:rsidRDefault="00EC5D86" w:rsidP="003F5A7A">
            <w:pPr>
              <w:pStyle w:val="TableTextCentred"/>
              <w:keepNext/>
              <w:keepLines/>
              <w:jc w:val="left"/>
              <w:rPr>
                <w:szCs w:val="20"/>
              </w:rPr>
            </w:pPr>
            <w:r>
              <w:rPr>
                <w:szCs w:val="20"/>
              </w:rPr>
              <w:t>Administered</w:t>
            </w:r>
            <w:r w:rsidR="001232D0">
              <w:rPr>
                <w:szCs w:val="20"/>
              </w:rPr>
              <w:t xml:space="preserve"> expense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E9ECF3"/>
          </w:tcPr>
          <w:p w:rsidR="002E4718" w:rsidRPr="003F5A7A" w:rsidRDefault="00EC5D86" w:rsidP="003F5A7A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F5A7A">
              <w:t xml:space="preserve">-139.0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E9ECF3"/>
          </w:tcPr>
          <w:p w:rsidR="002E4718" w:rsidRPr="003F5A7A" w:rsidRDefault="002E4718" w:rsidP="003F5A7A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F5A7A">
              <w:t>-</w:t>
            </w:r>
            <w:r w:rsidR="00EC5D86" w:rsidRPr="003F5A7A">
              <w:t>144</w:t>
            </w:r>
            <w:r w:rsidRPr="003F5A7A">
              <w:t xml:space="preserve">.0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E9ECF3"/>
          </w:tcPr>
          <w:p w:rsidR="002E4718" w:rsidRPr="003F5A7A" w:rsidRDefault="002E4718" w:rsidP="003F5A7A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F5A7A">
              <w:t>-</w:t>
            </w:r>
            <w:r w:rsidR="00EC5D86" w:rsidRPr="003F5A7A">
              <w:t>144</w:t>
            </w:r>
            <w:r w:rsidRPr="003F5A7A">
              <w:t xml:space="preserve">.0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E9ECF3"/>
          </w:tcPr>
          <w:p w:rsidR="002E4718" w:rsidRPr="003F5A7A" w:rsidRDefault="002E4718" w:rsidP="003F5A7A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F5A7A">
              <w:t>-</w:t>
            </w:r>
            <w:r w:rsidR="00EC5D86" w:rsidRPr="003F5A7A">
              <w:t>144</w:t>
            </w:r>
            <w:r w:rsidRPr="003F5A7A">
              <w:t xml:space="preserve">.0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E9ECF3"/>
          </w:tcPr>
          <w:p w:rsidR="002E4718" w:rsidRPr="003F5A7A" w:rsidRDefault="002E4718" w:rsidP="003F5A7A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3F5A7A">
              <w:rPr>
                <w:b/>
              </w:rPr>
              <w:t>-</w:t>
            </w:r>
            <w:r w:rsidR="00EC5D86" w:rsidRPr="003F5A7A">
              <w:rPr>
                <w:b/>
              </w:rPr>
              <w:t>571</w:t>
            </w:r>
            <w:r w:rsidRPr="003F5A7A">
              <w:rPr>
                <w:b/>
              </w:rPr>
              <w:t xml:space="preserve">.0 </w:t>
            </w:r>
          </w:p>
        </w:tc>
      </w:tr>
      <w:tr w:rsidR="00C400E8" w:rsidRPr="0066665A" w:rsidTr="00CF22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C400E8" w:rsidRPr="00EC5D86" w:rsidRDefault="00EC5D86" w:rsidP="003F5A7A">
            <w:pPr>
              <w:spacing w:before="70" w:after="70" w:line="240" w:lineRule="auto"/>
              <w:ind w:left="57" w:right="57"/>
              <w:rPr>
                <w:i/>
              </w:rPr>
            </w:pPr>
            <w:r w:rsidRPr="001232D0">
              <w:rPr>
                <w:i/>
                <w:szCs w:val="20"/>
              </w:rPr>
              <w:t>National Congress of Australia’s First Peoples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C400E8" w:rsidRPr="003F5A7A" w:rsidRDefault="00C400E8" w:rsidP="003F5A7A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F5A7A">
              <w:t xml:space="preserve"> -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C400E8" w:rsidRPr="003F5A7A" w:rsidRDefault="00C400E8" w:rsidP="003F5A7A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F5A7A">
              <w:t xml:space="preserve">-5.0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C400E8" w:rsidRPr="003F5A7A" w:rsidRDefault="00C400E8" w:rsidP="003F5A7A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F5A7A">
              <w:t xml:space="preserve">-5.0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C400E8" w:rsidRPr="003F5A7A" w:rsidRDefault="00C400E8" w:rsidP="003F5A7A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F5A7A">
              <w:t xml:space="preserve">-5.0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C400E8" w:rsidRPr="003F5A7A" w:rsidRDefault="00C400E8" w:rsidP="003F5A7A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3F5A7A">
              <w:rPr>
                <w:b/>
              </w:rPr>
              <w:t xml:space="preserve">-15.0 </w:t>
            </w:r>
          </w:p>
        </w:tc>
      </w:tr>
      <w:tr w:rsidR="00EC5D86" w:rsidRPr="0066665A" w:rsidTr="00CF22B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EC5D86" w:rsidRPr="00EC5D86" w:rsidRDefault="00EC5D86" w:rsidP="003F5A7A">
            <w:pPr>
              <w:spacing w:before="70" w:after="70" w:line="240" w:lineRule="auto"/>
              <w:ind w:left="57" w:right="57"/>
              <w:rPr>
                <w:i/>
              </w:rPr>
            </w:pPr>
            <w:r w:rsidRPr="006A0BE4">
              <w:rPr>
                <w:i/>
                <w:szCs w:val="20"/>
              </w:rPr>
              <w:t>Indigenous Advancement Strategy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EC5D86" w:rsidRPr="003F5A7A" w:rsidRDefault="00EC5D86" w:rsidP="003F5A7A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F5A7A">
              <w:t xml:space="preserve">-139.0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EC5D86" w:rsidRPr="003F5A7A" w:rsidRDefault="00EC5D86" w:rsidP="003F5A7A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F5A7A">
              <w:t xml:space="preserve">-139.0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EC5D86" w:rsidRPr="003F5A7A" w:rsidRDefault="00EC5D86" w:rsidP="003F5A7A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F5A7A">
              <w:t xml:space="preserve">-139.0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EC5D86" w:rsidRPr="003F5A7A" w:rsidRDefault="00EC5D86" w:rsidP="003F5A7A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F5A7A">
              <w:t xml:space="preserve">-139.0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EC5D86" w:rsidRPr="003F5A7A" w:rsidRDefault="00EC5D86" w:rsidP="003F5A7A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3F5A7A">
              <w:rPr>
                <w:b/>
              </w:rPr>
              <w:t xml:space="preserve">-556.0 </w:t>
            </w:r>
          </w:p>
        </w:tc>
      </w:tr>
      <w:tr w:rsidR="00EC5D86" w:rsidRPr="0066665A" w:rsidTr="002E47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E9ECF3"/>
          </w:tcPr>
          <w:p w:rsidR="00EC5D86" w:rsidRPr="002E4718" w:rsidRDefault="00EC5D86" w:rsidP="003F5A7A">
            <w:pPr>
              <w:pStyle w:val="TableTextCentred"/>
              <w:keepNext/>
              <w:keepLines/>
              <w:jc w:val="left"/>
              <w:rPr>
                <w:szCs w:val="20"/>
              </w:rPr>
            </w:pPr>
            <w:r>
              <w:rPr>
                <w:szCs w:val="20"/>
              </w:rPr>
              <w:t>Departmental</w:t>
            </w:r>
            <w:r w:rsidR="001232D0">
              <w:rPr>
                <w:szCs w:val="20"/>
              </w:rPr>
              <w:t xml:space="preserve"> expense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E9ECF3"/>
          </w:tcPr>
          <w:p w:rsidR="00EC5D86" w:rsidRPr="003F5A7A" w:rsidRDefault="00EC5D86" w:rsidP="003F5A7A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F5A7A">
              <w:t xml:space="preserve">-32.0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E9ECF3"/>
          </w:tcPr>
          <w:p w:rsidR="00EC5D86" w:rsidRPr="003F5A7A" w:rsidRDefault="00EC5D86" w:rsidP="003F5A7A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F5A7A">
              <w:t xml:space="preserve">-32.0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E9ECF3"/>
          </w:tcPr>
          <w:p w:rsidR="00EC5D86" w:rsidRPr="003F5A7A" w:rsidRDefault="00EC5D86" w:rsidP="003F5A7A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F5A7A">
              <w:t xml:space="preserve">-32.0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E9ECF3"/>
          </w:tcPr>
          <w:p w:rsidR="00EC5D86" w:rsidRPr="003F5A7A" w:rsidRDefault="00EC5D86" w:rsidP="003F5A7A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F5A7A">
              <w:t xml:space="preserve">-32.0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E9ECF3"/>
          </w:tcPr>
          <w:p w:rsidR="00EC5D86" w:rsidRPr="003F5A7A" w:rsidRDefault="00EC5D86" w:rsidP="003F5A7A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3F5A7A">
              <w:rPr>
                <w:b/>
              </w:rPr>
              <w:t xml:space="preserve">-128.0 </w:t>
            </w:r>
          </w:p>
        </w:tc>
      </w:tr>
      <w:tr w:rsidR="00EC5D86" w:rsidRPr="0066665A" w:rsidTr="00CF22B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EC5D86" w:rsidRPr="00EC5D86" w:rsidRDefault="00EC5D86" w:rsidP="003F5A7A">
            <w:pPr>
              <w:spacing w:before="70" w:after="70" w:line="240" w:lineRule="auto"/>
              <w:ind w:left="57" w:right="57"/>
              <w:rPr>
                <w:i/>
              </w:rPr>
            </w:pPr>
            <w:r w:rsidRPr="006A0BE4">
              <w:rPr>
                <w:i/>
                <w:szCs w:val="20"/>
              </w:rPr>
              <w:t>Indigenous Advancement Strategy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EC5D86" w:rsidRPr="003F5A7A" w:rsidRDefault="00EC5D86" w:rsidP="003F5A7A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F5A7A">
              <w:t xml:space="preserve">-32.0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EC5D86" w:rsidRPr="003F5A7A" w:rsidRDefault="00EC5D86" w:rsidP="003F5A7A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F5A7A">
              <w:t xml:space="preserve">-32.0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EC5D86" w:rsidRPr="003F5A7A" w:rsidRDefault="00EC5D86" w:rsidP="003F5A7A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F5A7A">
              <w:t xml:space="preserve">-32.0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EC5D86" w:rsidRPr="003F5A7A" w:rsidRDefault="00EC5D86" w:rsidP="003F5A7A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F5A7A">
              <w:t xml:space="preserve">-32.0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EC5D86" w:rsidRPr="003F5A7A" w:rsidRDefault="00EC5D86" w:rsidP="003F5A7A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3F5A7A">
              <w:rPr>
                <w:b/>
              </w:rPr>
              <w:t xml:space="preserve">-128.0 </w:t>
            </w:r>
          </w:p>
        </w:tc>
      </w:tr>
      <w:tr w:rsidR="00EC5D86" w:rsidRPr="0055406D" w:rsidTr="00CF22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</w:tcPr>
          <w:p w:rsidR="00EC5D86" w:rsidRPr="0055406D" w:rsidRDefault="00EC5D86" w:rsidP="003F5A7A">
            <w:pPr>
              <w:pStyle w:val="TableTextCentred"/>
              <w:keepNext/>
              <w:keepLines/>
              <w:jc w:val="left"/>
              <w:rPr>
                <w:b/>
                <w:szCs w:val="20"/>
              </w:rPr>
            </w:pPr>
            <w:r w:rsidRPr="0055406D">
              <w:rPr>
                <w:b/>
                <w:szCs w:val="20"/>
              </w:rPr>
              <w:t>Total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</w:tcPr>
          <w:p w:rsidR="00EC5D86" w:rsidRPr="002E4718" w:rsidRDefault="00EC5D86" w:rsidP="003F5A7A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 w:val="0"/>
              </w:rPr>
            </w:pPr>
            <w:r w:rsidRPr="002E4718">
              <w:rPr>
                <w:b/>
                <w:i w:val="0"/>
              </w:rPr>
              <w:t>-171</w:t>
            </w:r>
            <w:r>
              <w:rPr>
                <w:b/>
                <w:i w:val="0"/>
              </w:rPr>
              <w:t>.0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</w:tcPr>
          <w:p w:rsidR="00EC5D86" w:rsidRPr="002E4718" w:rsidRDefault="00EC5D86" w:rsidP="003F5A7A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 w:val="0"/>
              </w:rPr>
            </w:pPr>
            <w:r w:rsidRPr="002E4718">
              <w:rPr>
                <w:b/>
                <w:i w:val="0"/>
              </w:rPr>
              <w:t>-176</w:t>
            </w:r>
            <w:r>
              <w:rPr>
                <w:b/>
                <w:i w:val="0"/>
              </w:rPr>
              <w:t>.0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</w:tcPr>
          <w:p w:rsidR="00EC5D86" w:rsidRPr="002E4718" w:rsidRDefault="00EC5D86" w:rsidP="003F5A7A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 w:val="0"/>
              </w:rPr>
            </w:pPr>
            <w:r w:rsidRPr="002E4718">
              <w:rPr>
                <w:b/>
                <w:i w:val="0"/>
              </w:rPr>
              <w:t>-176</w:t>
            </w:r>
            <w:r>
              <w:rPr>
                <w:b/>
                <w:i w:val="0"/>
              </w:rPr>
              <w:t>.0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</w:tcPr>
          <w:p w:rsidR="00EC5D86" w:rsidRPr="002E4718" w:rsidRDefault="00EC5D86" w:rsidP="003F5A7A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 w:val="0"/>
              </w:rPr>
            </w:pPr>
            <w:r w:rsidRPr="002E4718">
              <w:rPr>
                <w:b/>
                <w:i w:val="0"/>
              </w:rPr>
              <w:t>-176</w:t>
            </w:r>
            <w:r>
              <w:rPr>
                <w:b/>
                <w:i w:val="0"/>
              </w:rPr>
              <w:t>.0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</w:tcPr>
          <w:p w:rsidR="00EC5D86" w:rsidRPr="002E4718" w:rsidRDefault="00EC5D86" w:rsidP="003F5A7A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 w:val="0"/>
              </w:rPr>
            </w:pPr>
            <w:r w:rsidRPr="002E4718">
              <w:rPr>
                <w:b/>
                <w:i w:val="0"/>
              </w:rPr>
              <w:t>-699</w:t>
            </w:r>
            <w:r>
              <w:rPr>
                <w:b/>
                <w:i w:val="0"/>
              </w:rPr>
              <w:t>.0</w:t>
            </w:r>
          </w:p>
        </w:tc>
      </w:tr>
    </w:tbl>
    <w:p w:rsidR="002E4718" w:rsidRDefault="005A3AC3" w:rsidP="003F5A7A">
      <w:pPr>
        <w:pStyle w:val="Footnotes"/>
        <w:numPr>
          <w:ilvl w:val="0"/>
          <w:numId w:val="22"/>
        </w:numPr>
        <w:ind w:left="284" w:hanging="284"/>
      </w:pPr>
      <w:r w:rsidRPr="00DB3B7E">
        <w:t xml:space="preserve">A positive number indicates an increase in revenue or decrease in expenses or net capital investment in accrual and cash terms. </w:t>
      </w:r>
      <w:r>
        <w:t xml:space="preserve"> </w:t>
      </w:r>
      <w:r w:rsidRPr="00DB3B7E">
        <w:t>A negative number indicates a decrease in revenue or an increase in expenses or net capital investment in accrual and cash terms</w:t>
      </w:r>
      <w:r w:rsidR="00023A5F">
        <w:t>.</w:t>
      </w:r>
    </w:p>
    <w:p w:rsidR="00BE0499" w:rsidRDefault="002E4718" w:rsidP="003F5A7A">
      <w:pPr>
        <w:pStyle w:val="Footnotes"/>
      </w:pPr>
      <w:r>
        <w:t>Figures may not sum to totals due to rounding.</w:t>
      </w:r>
    </w:p>
    <w:p w:rsidR="009627FF" w:rsidRDefault="009627FF" w:rsidP="003F5A7A">
      <w:pPr>
        <w:pStyle w:val="Footnotes"/>
        <w:numPr>
          <w:ilvl w:val="0"/>
          <w:numId w:val="24"/>
        </w:numPr>
        <w:ind w:left="284" w:hanging="284"/>
      </w:pPr>
      <w:r>
        <w:t>Indicates nil.</w:t>
      </w:r>
    </w:p>
    <w:p w:rsidR="001511D6" w:rsidRPr="00E40B8B" w:rsidRDefault="001511D6" w:rsidP="001511D6">
      <w:pPr>
        <w:pStyle w:val="Captionheading"/>
        <w:rPr>
          <w:vertAlign w:val="superscript"/>
        </w:rPr>
      </w:pPr>
      <w:r w:rsidRPr="00FC6579">
        <w:lastRenderedPageBreak/>
        <w:t xml:space="preserve">Table </w:t>
      </w:r>
      <w:r>
        <w:t xml:space="preserve">A5: </w:t>
      </w:r>
      <w:r w:rsidR="000A1CFB">
        <w:t>Component 4</w:t>
      </w:r>
      <w:r w:rsidR="00CF22B6">
        <w:t>:</w:t>
      </w:r>
      <w:r w:rsidR="000A1CFB">
        <w:t xml:space="preserve"> </w:t>
      </w:r>
      <w:r>
        <w:t xml:space="preserve">Implement </w:t>
      </w:r>
      <w:r w:rsidRPr="006A0BE4">
        <w:rPr>
          <w:i/>
        </w:rPr>
        <w:t>Blueprint for Change</w:t>
      </w:r>
      <w:r>
        <w:t>—Financial implicati</w:t>
      </w:r>
      <w:r w:rsidR="003F5A7A">
        <w:t>ons (outturn </w:t>
      </w:r>
      <w:r>
        <w:t>prices</w:t>
      </w:r>
      <w:proofErr w:type="gramStart"/>
      <w:r>
        <w:t>)</w:t>
      </w:r>
      <w:r>
        <w:rPr>
          <w:vertAlign w:val="superscript"/>
        </w:rPr>
        <w:t>(</w:t>
      </w:r>
      <w:proofErr w:type="gramEnd"/>
      <w:r>
        <w:rPr>
          <w:vertAlign w:val="superscript"/>
        </w:rPr>
        <w:t>a)(b)</w:t>
      </w:r>
    </w:p>
    <w:tbl>
      <w:tblPr>
        <w:tblStyle w:val="TableGrid"/>
        <w:tblW w:w="4995" w:type="pct"/>
        <w:tblBorders>
          <w:top w:val="single" w:sz="4" w:space="0" w:color="D7DDE9"/>
          <w:left w:val="single" w:sz="4" w:space="0" w:color="D7DDE9"/>
          <w:bottom w:val="single" w:sz="4" w:space="0" w:color="D7DDE9"/>
          <w:right w:val="single" w:sz="4" w:space="0" w:color="D7DDE9"/>
          <w:insideH w:val="single" w:sz="4" w:space="0" w:color="D7DDE9"/>
          <w:insideV w:val="single" w:sz="4" w:space="0" w:color="D7DDE9"/>
        </w:tblBorders>
        <w:tblLook w:val="04A0" w:firstRow="1" w:lastRow="0" w:firstColumn="1" w:lastColumn="0" w:noHBand="0" w:noVBand="1"/>
      </w:tblPr>
      <w:tblGrid>
        <w:gridCol w:w="2644"/>
        <w:gridCol w:w="1134"/>
        <w:gridCol w:w="1134"/>
        <w:gridCol w:w="1134"/>
        <w:gridCol w:w="1134"/>
        <w:gridCol w:w="1134"/>
      </w:tblGrid>
      <w:tr w:rsidR="001511D6" w:rsidRPr="00EF1D6A" w:rsidTr="00CF22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90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center"/>
          </w:tcPr>
          <w:p w:rsidR="001511D6" w:rsidRPr="00EF1D6A" w:rsidRDefault="001511D6" w:rsidP="003F5A7A">
            <w:pPr>
              <w:pStyle w:val="TableText"/>
              <w:keepNext/>
              <w:keepLines/>
              <w:rPr>
                <w:rFonts w:ascii="Calibri" w:hAnsi="Calibri"/>
                <w:b/>
                <w:szCs w:val="20"/>
              </w:rPr>
            </w:pPr>
            <w:r w:rsidRPr="00EF1D6A">
              <w:rPr>
                <w:rFonts w:ascii="Calibri" w:hAnsi="Calibri"/>
                <w:szCs w:val="20"/>
              </w:rPr>
              <w:t>($m)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center"/>
          </w:tcPr>
          <w:p w:rsidR="001511D6" w:rsidRPr="00C24267" w:rsidRDefault="001511D6" w:rsidP="003F5A7A">
            <w:pPr>
              <w:pStyle w:val="TableHeadingCentre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0"/>
              </w:rPr>
            </w:pPr>
            <w:r w:rsidRPr="00C24267">
              <w:t>2016–17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center"/>
          </w:tcPr>
          <w:p w:rsidR="001511D6" w:rsidRPr="00C24267" w:rsidRDefault="001511D6" w:rsidP="003F5A7A">
            <w:pPr>
              <w:pStyle w:val="TableHeadingCentre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0"/>
              </w:rPr>
            </w:pPr>
            <w:r w:rsidRPr="00C24267">
              <w:t>2017–18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center"/>
          </w:tcPr>
          <w:p w:rsidR="001511D6" w:rsidRPr="00C24267" w:rsidRDefault="001511D6" w:rsidP="003F5A7A">
            <w:pPr>
              <w:pStyle w:val="TableHeadingCentre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0"/>
              </w:rPr>
            </w:pPr>
            <w:r w:rsidRPr="00C24267">
              <w:t>2018–19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center"/>
          </w:tcPr>
          <w:p w:rsidR="001511D6" w:rsidRPr="00C24267" w:rsidRDefault="001511D6" w:rsidP="003F5A7A">
            <w:pPr>
              <w:pStyle w:val="TableHeadingCentre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0"/>
              </w:rPr>
            </w:pPr>
            <w:r w:rsidRPr="00C24267">
              <w:t>2019–20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center"/>
          </w:tcPr>
          <w:p w:rsidR="001511D6" w:rsidRPr="00AE30B5" w:rsidRDefault="001511D6" w:rsidP="003F5A7A">
            <w:pPr>
              <w:pStyle w:val="TableHeadingCentre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0"/>
                <w:vertAlign w:val="superscript"/>
              </w:rPr>
            </w:pPr>
            <w:r w:rsidRPr="00AE30B5">
              <w:rPr>
                <w:b/>
              </w:rPr>
              <w:t>Total</w:t>
            </w:r>
            <w:r w:rsidRPr="00AE30B5">
              <w:rPr>
                <w:b/>
                <w:szCs w:val="20"/>
              </w:rPr>
              <w:t xml:space="preserve"> to 2019–20</w:t>
            </w:r>
          </w:p>
        </w:tc>
      </w:tr>
      <w:tr w:rsidR="001511D6" w:rsidRPr="00EF1D6A" w:rsidTr="00CF22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E9ECF3"/>
          </w:tcPr>
          <w:p w:rsidR="001511D6" w:rsidRPr="00AE30B5" w:rsidRDefault="005A3AC3" w:rsidP="003F5A7A">
            <w:pPr>
              <w:pStyle w:val="TableHeadingCentred"/>
              <w:jc w:val="left"/>
              <w:rPr>
                <w:b/>
              </w:rPr>
            </w:pPr>
            <w:r>
              <w:rPr>
                <w:b/>
              </w:rPr>
              <w:t>Impact on f</w:t>
            </w:r>
            <w:r w:rsidR="001511D6" w:rsidRPr="00AE30B5">
              <w:rPr>
                <w:b/>
              </w:rPr>
              <w:t xml:space="preserve">iscal and underlying cash balances </w:t>
            </w:r>
          </w:p>
        </w:tc>
      </w:tr>
      <w:tr w:rsidR="00CF22B6" w:rsidRPr="002E4718" w:rsidTr="006A0BE4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E9ECF3"/>
          </w:tcPr>
          <w:p w:rsidR="00CF22B6" w:rsidRPr="002E4718" w:rsidRDefault="00CF22B6" w:rsidP="003F5A7A">
            <w:pPr>
              <w:pStyle w:val="TableTextCentred"/>
              <w:keepNext/>
              <w:keepLines/>
              <w:jc w:val="left"/>
              <w:rPr>
                <w:szCs w:val="20"/>
              </w:rPr>
            </w:pPr>
            <w:r>
              <w:rPr>
                <w:szCs w:val="20"/>
              </w:rPr>
              <w:t>Administered</w:t>
            </w:r>
            <w:r w:rsidR="00EB5554">
              <w:rPr>
                <w:szCs w:val="20"/>
              </w:rPr>
              <w:t xml:space="preserve"> expense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E9ECF3"/>
          </w:tcPr>
          <w:p w:rsidR="00CF22B6" w:rsidRPr="00EC5D86" w:rsidRDefault="00CF22B6" w:rsidP="003F5A7A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</w:rPr>
            </w:pPr>
            <w:r>
              <w:rPr>
                <w:i w:val="0"/>
              </w:rPr>
              <w:t>-1.5</w:t>
            </w:r>
            <w:r w:rsidRPr="00AB0C97">
              <w:rPr>
                <w:i w:val="0"/>
              </w:rPr>
              <w:t xml:space="preserve">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E9ECF3"/>
          </w:tcPr>
          <w:p w:rsidR="00CF22B6" w:rsidRPr="002E4718" w:rsidRDefault="00CF22B6" w:rsidP="003F5A7A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</w:rPr>
            </w:pPr>
            <w:r w:rsidRPr="002E4718">
              <w:rPr>
                <w:i w:val="0"/>
              </w:rPr>
              <w:t>-</w:t>
            </w:r>
            <w:r>
              <w:rPr>
                <w:i w:val="0"/>
              </w:rPr>
              <w:t>11.5</w:t>
            </w:r>
            <w:r w:rsidRPr="002E4718">
              <w:rPr>
                <w:i w:val="0"/>
              </w:rPr>
              <w:t xml:space="preserve">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E9ECF3"/>
          </w:tcPr>
          <w:p w:rsidR="00CF22B6" w:rsidRPr="002E4718" w:rsidRDefault="00CF22B6" w:rsidP="003F5A7A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</w:rPr>
            </w:pPr>
            <w:r w:rsidRPr="002E4718">
              <w:rPr>
                <w:i w:val="0"/>
              </w:rPr>
              <w:t>-</w:t>
            </w:r>
            <w:r>
              <w:rPr>
                <w:i w:val="0"/>
              </w:rPr>
              <w:t>11.5</w:t>
            </w:r>
            <w:r w:rsidRPr="002E4718">
              <w:rPr>
                <w:i w:val="0"/>
              </w:rPr>
              <w:t xml:space="preserve">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E9ECF3"/>
          </w:tcPr>
          <w:p w:rsidR="00CF22B6" w:rsidRPr="002E4718" w:rsidRDefault="00CF22B6" w:rsidP="003F5A7A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</w:rPr>
            </w:pPr>
            <w:r w:rsidRPr="002E4718">
              <w:rPr>
                <w:i w:val="0"/>
              </w:rPr>
              <w:t>-</w:t>
            </w:r>
            <w:r>
              <w:rPr>
                <w:i w:val="0"/>
              </w:rPr>
              <w:t>10</w:t>
            </w:r>
            <w:r w:rsidRPr="002E4718">
              <w:rPr>
                <w:i w:val="0"/>
              </w:rPr>
              <w:t xml:space="preserve">.0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E9ECF3"/>
          </w:tcPr>
          <w:p w:rsidR="00CF22B6" w:rsidRPr="002E4718" w:rsidRDefault="00CF22B6" w:rsidP="003F5A7A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</w:rPr>
            </w:pPr>
            <w:r w:rsidRPr="002E4718">
              <w:rPr>
                <w:b/>
                <w:i w:val="0"/>
              </w:rPr>
              <w:t>-</w:t>
            </w:r>
            <w:r>
              <w:rPr>
                <w:b/>
                <w:i w:val="0"/>
              </w:rPr>
              <w:t>34.5</w:t>
            </w:r>
            <w:r w:rsidRPr="002E4718">
              <w:rPr>
                <w:b/>
                <w:i w:val="0"/>
              </w:rPr>
              <w:t xml:space="preserve"> </w:t>
            </w:r>
          </w:p>
        </w:tc>
      </w:tr>
      <w:tr w:rsidR="00CF22B6" w:rsidRPr="002E4718" w:rsidTr="006A0B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CF22B6" w:rsidRPr="006A0BE4" w:rsidRDefault="00CF22B6" w:rsidP="003F5A7A">
            <w:pPr>
              <w:pStyle w:val="TableTextCentred"/>
              <w:keepNext/>
              <w:keepLines/>
              <w:jc w:val="left"/>
              <w:rPr>
                <w:i/>
                <w:szCs w:val="20"/>
              </w:rPr>
            </w:pPr>
            <w:r>
              <w:rPr>
                <w:i/>
                <w:szCs w:val="20"/>
              </w:rPr>
              <w:t>Independent review of laws, policies and strategies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CF22B6" w:rsidRPr="00AB0C97" w:rsidRDefault="00CF22B6" w:rsidP="003F5A7A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</w:rPr>
            </w:pPr>
            <w:r w:rsidRPr="00E83275">
              <w:t xml:space="preserve">-1.5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CF22B6" w:rsidRPr="002E4718" w:rsidRDefault="00CF22B6" w:rsidP="003F5A7A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</w:rPr>
            </w:pPr>
            <w:r w:rsidRPr="00E83275">
              <w:t xml:space="preserve">-1.5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CF22B6" w:rsidRPr="002E4718" w:rsidRDefault="00CF22B6" w:rsidP="003F5A7A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</w:rPr>
            </w:pPr>
            <w:r w:rsidRPr="00E83275">
              <w:t xml:space="preserve">-1.5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CF22B6" w:rsidRPr="002E4718" w:rsidRDefault="00CF22B6" w:rsidP="003F5A7A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</w:rPr>
            </w:pPr>
            <w:r w:rsidRPr="00E83275">
              <w:t xml:space="preserve"> -  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CF22B6" w:rsidRPr="002E4718" w:rsidRDefault="00CF22B6" w:rsidP="003F5A7A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 w:val="0"/>
              </w:rPr>
            </w:pPr>
            <w:r w:rsidRPr="001511D6">
              <w:rPr>
                <w:b/>
              </w:rPr>
              <w:t xml:space="preserve">-4.5 </w:t>
            </w:r>
          </w:p>
        </w:tc>
      </w:tr>
      <w:tr w:rsidR="00CF22B6" w:rsidRPr="002E4718" w:rsidTr="006A0BE4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CF22B6" w:rsidRPr="006A0BE4" w:rsidRDefault="00CF22B6" w:rsidP="003F5A7A">
            <w:pPr>
              <w:pStyle w:val="TableTextCentred"/>
              <w:keepNext/>
              <w:keepLines/>
              <w:jc w:val="left"/>
              <w:rPr>
                <w:i/>
                <w:szCs w:val="20"/>
              </w:rPr>
            </w:pPr>
            <w:r w:rsidRPr="006A0BE4">
              <w:rPr>
                <w:i/>
                <w:szCs w:val="20"/>
              </w:rPr>
              <w:t>Grants</w:t>
            </w:r>
            <w:r>
              <w:rPr>
                <w:i/>
                <w:szCs w:val="20"/>
              </w:rPr>
              <w:t xml:space="preserve"> for projects to </w:t>
            </w:r>
            <w:r w:rsidR="007E6814">
              <w:rPr>
                <w:i/>
                <w:szCs w:val="20"/>
              </w:rPr>
              <w:t xml:space="preserve">help </w:t>
            </w:r>
            <w:r>
              <w:rPr>
                <w:i/>
                <w:szCs w:val="20"/>
              </w:rPr>
              <w:t>reduce incarceration</w:t>
            </w:r>
            <w:r w:rsidR="001D0754">
              <w:rPr>
                <w:i/>
                <w:szCs w:val="20"/>
              </w:rPr>
              <w:t xml:space="preserve"> rate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CF22B6" w:rsidRPr="00AB0C97" w:rsidRDefault="00CF22B6" w:rsidP="003F5A7A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</w:rPr>
            </w:pPr>
            <w:r w:rsidRPr="002E59E5">
              <w:t xml:space="preserve"> -  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CF22B6" w:rsidRPr="002E4718" w:rsidRDefault="00CF22B6" w:rsidP="003F5A7A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</w:rPr>
            </w:pPr>
            <w:r w:rsidRPr="002E59E5">
              <w:t xml:space="preserve">-10.0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CF22B6" w:rsidRPr="002E4718" w:rsidRDefault="00CF22B6" w:rsidP="003F5A7A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</w:rPr>
            </w:pPr>
            <w:r w:rsidRPr="002E59E5">
              <w:t xml:space="preserve">-10.0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CF22B6" w:rsidRPr="002E4718" w:rsidRDefault="00CF22B6" w:rsidP="003F5A7A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</w:rPr>
            </w:pPr>
            <w:r w:rsidRPr="002E59E5">
              <w:t xml:space="preserve">-10.0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CF22B6" w:rsidRPr="002E4718" w:rsidRDefault="00CF22B6" w:rsidP="003F5A7A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</w:rPr>
            </w:pPr>
            <w:r w:rsidRPr="001511D6">
              <w:rPr>
                <w:b/>
              </w:rPr>
              <w:t xml:space="preserve">-30.0 </w:t>
            </w:r>
          </w:p>
        </w:tc>
      </w:tr>
      <w:tr w:rsidR="00CF22B6" w:rsidRPr="002E4718" w:rsidTr="00CF22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E9ECF3"/>
          </w:tcPr>
          <w:p w:rsidR="00CF22B6" w:rsidRPr="002E4718" w:rsidRDefault="00CF22B6" w:rsidP="003F5A7A">
            <w:pPr>
              <w:pStyle w:val="TableTextCentred"/>
              <w:keepNext/>
              <w:keepLines/>
              <w:jc w:val="left"/>
              <w:rPr>
                <w:szCs w:val="20"/>
              </w:rPr>
            </w:pPr>
            <w:r>
              <w:rPr>
                <w:szCs w:val="20"/>
              </w:rPr>
              <w:t>Departmental</w:t>
            </w:r>
            <w:r w:rsidR="00EB5554">
              <w:rPr>
                <w:szCs w:val="20"/>
              </w:rPr>
              <w:t xml:space="preserve"> expense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E9ECF3"/>
          </w:tcPr>
          <w:p w:rsidR="00CF22B6" w:rsidRPr="00EC5D86" w:rsidRDefault="00CF22B6" w:rsidP="003F5A7A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</w:rPr>
            </w:pPr>
            <w:r w:rsidRPr="00AB0C97">
              <w:rPr>
                <w:i w:val="0"/>
              </w:rPr>
              <w:t>-1</w:t>
            </w:r>
            <w:r>
              <w:rPr>
                <w:i w:val="0"/>
              </w:rPr>
              <w:t>.2</w:t>
            </w:r>
            <w:r w:rsidRPr="00AB0C97">
              <w:rPr>
                <w:i w:val="0"/>
              </w:rPr>
              <w:t xml:space="preserve">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E9ECF3"/>
          </w:tcPr>
          <w:p w:rsidR="00CF22B6" w:rsidRPr="002E4718" w:rsidRDefault="00CF22B6" w:rsidP="003F5A7A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</w:rPr>
            </w:pPr>
            <w:r w:rsidRPr="002E4718">
              <w:rPr>
                <w:i w:val="0"/>
              </w:rPr>
              <w:t>-</w:t>
            </w:r>
            <w:r>
              <w:rPr>
                <w:i w:val="0"/>
              </w:rPr>
              <w:t>1.7</w:t>
            </w:r>
            <w:r w:rsidRPr="002E4718">
              <w:rPr>
                <w:i w:val="0"/>
              </w:rPr>
              <w:t xml:space="preserve">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E9ECF3"/>
          </w:tcPr>
          <w:p w:rsidR="00CF22B6" w:rsidRPr="002E4718" w:rsidRDefault="00CF22B6" w:rsidP="003F5A7A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</w:rPr>
            </w:pPr>
            <w:r w:rsidRPr="002E4718">
              <w:rPr>
                <w:i w:val="0"/>
              </w:rPr>
              <w:t>-</w:t>
            </w:r>
            <w:r>
              <w:rPr>
                <w:i w:val="0"/>
              </w:rPr>
              <w:t>1.7</w:t>
            </w:r>
            <w:r w:rsidRPr="002E4718">
              <w:rPr>
                <w:i w:val="0"/>
              </w:rPr>
              <w:t xml:space="preserve">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E9ECF3"/>
          </w:tcPr>
          <w:p w:rsidR="00CF22B6" w:rsidRPr="002E4718" w:rsidRDefault="00CF22B6" w:rsidP="003F5A7A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</w:rPr>
            </w:pPr>
            <w:r w:rsidRPr="002E4718">
              <w:rPr>
                <w:i w:val="0"/>
              </w:rPr>
              <w:t>-</w:t>
            </w:r>
            <w:r>
              <w:rPr>
                <w:i w:val="0"/>
              </w:rPr>
              <w:t>0.1</w:t>
            </w:r>
            <w:r w:rsidRPr="002E4718">
              <w:rPr>
                <w:i w:val="0"/>
              </w:rPr>
              <w:t xml:space="preserve">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E9ECF3"/>
          </w:tcPr>
          <w:p w:rsidR="00CF22B6" w:rsidRPr="002E4718" w:rsidRDefault="00CF22B6" w:rsidP="003F5A7A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 w:val="0"/>
              </w:rPr>
            </w:pPr>
            <w:r w:rsidRPr="002E4718">
              <w:rPr>
                <w:b/>
                <w:i w:val="0"/>
              </w:rPr>
              <w:t>-</w:t>
            </w:r>
            <w:r>
              <w:rPr>
                <w:b/>
                <w:i w:val="0"/>
              </w:rPr>
              <w:t>4.9</w:t>
            </w:r>
            <w:r w:rsidRPr="002E4718">
              <w:rPr>
                <w:b/>
                <w:i w:val="0"/>
              </w:rPr>
              <w:t xml:space="preserve"> </w:t>
            </w:r>
          </w:p>
        </w:tc>
      </w:tr>
      <w:tr w:rsidR="00CF22B6" w:rsidRPr="0066665A" w:rsidTr="00CF22B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CF22B6" w:rsidRPr="00CF22B6" w:rsidRDefault="00CF22B6" w:rsidP="003F5A7A">
            <w:pPr>
              <w:pStyle w:val="TableText"/>
              <w:rPr>
                <w:i/>
              </w:rPr>
            </w:pPr>
            <w:r w:rsidRPr="006A0BE4">
              <w:rPr>
                <w:i/>
              </w:rPr>
              <w:t>Whole of Government strategy</w:t>
            </w:r>
            <w:r w:rsidR="00C27405">
              <w:rPr>
                <w:i/>
              </w:rPr>
              <w:t>, n</w:t>
            </w:r>
            <w:r w:rsidR="00C27405" w:rsidRPr="00AB0C97">
              <w:rPr>
                <w:i/>
              </w:rPr>
              <w:t>egotiations for a national target</w:t>
            </w:r>
            <w:r w:rsidR="00C27405">
              <w:rPr>
                <w:i/>
              </w:rPr>
              <w:t>, i</w:t>
            </w:r>
            <w:r w:rsidR="00C27405" w:rsidRPr="00AB0C97">
              <w:rPr>
                <w:i/>
              </w:rPr>
              <w:t>mproved data collection</w:t>
            </w:r>
            <w:r w:rsidRPr="006A0BE4">
              <w:rPr>
                <w:i/>
              </w:rPr>
              <w:t xml:space="preserve"> – PM&amp;C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CF22B6" w:rsidRPr="00BF2BF7" w:rsidRDefault="00CF22B6" w:rsidP="003F5A7A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F2BF7">
              <w:t xml:space="preserve">-1.2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CF22B6" w:rsidRPr="00BF2BF7" w:rsidRDefault="00CF22B6" w:rsidP="003F5A7A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F2BF7">
              <w:t xml:space="preserve">-1.6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CF22B6" w:rsidRPr="00BF2BF7" w:rsidRDefault="00CF22B6" w:rsidP="003F5A7A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F2BF7">
              <w:t xml:space="preserve">-1.6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CF22B6" w:rsidRPr="00BF2BF7" w:rsidRDefault="00CF22B6" w:rsidP="003F5A7A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F2BF7">
              <w:t xml:space="preserve"> -  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CF22B6" w:rsidRPr="001511D6" w:rsidRDefault="00CF22B6" w:rsidP="003F5A7A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1511D6">
              <w:rPr>
                <w:b/>
              </w:rPr>
              <w:t xml:space="preserve">-4.5 </w:t>
            </w:r>
          </w:p>
        </w:tc>
      </w:tr>
      <w:tr w:rsidR="00CF22B6" w:rsidRPr="0066665A" w:rsidTr="00CF22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CF22B6" w:rsidRPr="001511D6" w:rsidRDefault="00CF22B6" w:rsidP="003F5A7A">
            <w:pPr>
              <w:pStyle w:val="TableText"/>
              <w:rPr>
                <w:i/>
              </w:rPr>
            </w:pPr>
            <w:r w:rsidRPr="00AB0C97">
              <w:rPr>
                <w:i/>
                <w:szCs w:val="20"/>
              </w:rPr>
              <w:t>Grants</w:t>
            </w:r>
            <w:r>
              <w:rPr>
                <w:i/>
                <w:szCs w:val="20"/>
              </w:rPr>
              <w:t xml:space="preserve"> for projects to </w:t>
            </w:r>
            <w:r w:rsidR="009E14F6">
              <w:rPr>
                <w:i/>
                <w:szCs w:val="20"/>
              </w:rPr>
              <w:t xml:space="preserve">help </w:t>
            </w:r>
            <w:r>
              <w:rPr>
                <w:i/>
                <w:szCs w:val="20"/>
              </w:rPr>
              <w:t>reduce incarceration</w:t>
            </w:r>
            <w:r w:rsidR="009E14F6">
              <w:rPr>
                <w:i/>
                <w:szCs w:val="20"/>
              </w:rPr>
              <w:t xml:space="preserve"> rate</w:t>
            </w:r>
            <w:r w:rsidRPr="002E50DA" w:rsidDel="00CF22B6">
              <w:t xml:space="preserve"> </w:t>
            </w:r>
            <w:r w:rsidRPr="00AB0C97">
              <w:rPr>
                <w:i/>
              </w:rPr>
              <w:t>– PM&amp;C</w:t>
            </w:r>
            <w:r w:rsidRPr="002E50DA" w:rsidDel="00CF22B6">
              <w:t xml:space="preserve">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CF22B6" w:rsidRPr="002E59E5" w:rsidRDefault="00CF22B6" w:rsidP="003F5A7A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E59E5">
              <w:t xml:space="preserve"> -  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CF22B6" w:rsidRPr="002E59E5" w:rsidRDefault="00CF22B6" w:rsidP="003F5A7A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E59E5">
              <w:t xml:space="preserve">-0.1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CF22B6" w:rsidRPr="002E59E5" w:rsidRDefault="00CF22B6" w:rsidP="003F5A7A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E59E5">
              <w:t xml:space="preserve">-0.1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CF22B6" w:rsidRPr="002E59E5" w:rsidRDefault="00CF22B6" w:rsidP="003F5A7A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E59E5">
              <w:t xml:space="preserve">-0.1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CF22B6" w:rsidRPr="001511D6" w:rsidRDefault="00CF22B6" w:rsidP="003F5A7A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1511D6">
              <w:rPr>
                <w:b/>
              </w:rPr>
              <w:t xml:space="preserve">-0.4 </w:t>
            </w:r>
          </w:p>
        </w:tc>
      </w:tr>
      <w:tr w:rsidR="00CF22B6" w:rsidRPr="0055406D" w:rsidTr="00CF22B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</w:tcPr>
          <w:p w:rsidR="00CF22B6" w:rsidRPr="0055406D" w:rsidRDefault="00CF22B6" w:rsidP="003F5A7A">
            <w:pPr>
              <w:pStyle w:val="TableTextCentred"/>
              <w:keepNext/>
              <w:keepLines/>
              <w:jc w:val="left"/>
              <w:rPr>
                <w:b/>
                <w:szCs w:val="20"/>
              </w:rPr>
            </w:pPr>
            <w:r w:rsidRPr="0055406D">
              <w:rPr>
                <w:b/>
                <w:szCs w:val="20"/>
              </w:rPr>
              <w:t>Total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</w:tcPr>
          <w:p w:rsidR="00CF22B6" w:rsidRPr="001511D6" w:rsidRDefault="00CF22B6" w:rsidP="003F5A7A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</w:rPr>
            </w:pPr>
            <w:r w:rsidRPr="001511D6">
              <w:rPr>
                <w:b/>
                <w:i w:val="0"/>
              </w:rPr>
              <w:t xml:space="preserve">-2.7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</w:tcPr>
          <w:p w:rsidR="00CF22B6" w:rsidRPr="001511D6" w:rsidRDefault="00CF22B6" w:rsidP="003F5A7A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</w:rPr>
            </w:pPr>
            <w:r w:rsidRPr="001511D6">
              <w:rPr>
                <w:b/>
                <w:i w:val="0"/>
              </w:rPr>
              <w:t xml:space="preserve">-13.3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</w:tcPr>
          <w:p w:rsidR="00CF22B6" w:rsidRPr="001511D6" w:rsidRDefault="00CF22B6" w:rsidP="003F5A7A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</w:rPr>
            </w:pPr>
            <w:r w:rsidRPr="001511D6">
              <w:rPr>
                <w:b/>
                <w:i w:val="0"/>
              </w:rPr>
              <w:t xml:space="preserve">-13.3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</w:tcPr>
          <w:p w:rsidR="00CF22B6" w:rsidRPr="001511D6" w:rsidRDefault="00CF22B6" w:rsidP="003F5A7A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</w:rPr>
            </w:pPr>
            <w:r w:rsidRPr="001511D6">
              <w:rPr>
                <w:b/>
                <w:i w:val="0"/>
              </w:rPr>
              <w:t xml:space="preserve">-10.1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</w:tcPr>
          <w:p w:rsidR="00CF22B6" w:rsidRPr="001511D6" w:rsidRDefault="00CF22B6" w:rsidP="003F5A7A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</w:rPr>
            </w:pPr>
            <w:r w:rsidRPr="001511D6">
              <w:rPr>
                <w:b/>
                <w:i w:val="0"/>
              </w:rPr>
              <w:t xml:space="preserve">-39.4 </w:t>
            </w:r>
          </w:p>
        </w:tc>
      </w:tr>
    </w:tbl>
    <w:p w:rsidR="001511D6" w:rsidRDefault="005A3AC3" w:rsidP="001511D6">
      <w:pPr>
        <w:pStyle w:val="Footnotes"/>
        <w:numPr>
          <w:ilvl w:val="0"/>
          <w:numId w:val="23"/>
        </w:numPr>
        <w:ind w:left="284" w:hanging="284"/>
      </w:pPr>
      <w:r w:rsidRPr="00DB3B7E">
        <w:t xml:space="preserve">A positive number indicates an increase in revenue or decrease in expenses or net capital investment in accrual and cash terms. </w:t>
      </w:r>
      <w:r>
        <w:t xml:space="preserve"> </w:t>
      </w:r>
      <w:r w:rsidRPr="00DB3B7E">
        <w:t>A negative number indicates a decrease in revenue or an increase in expenses or net capital investment in accrual and cash terms</w:t>
      </w:r>
      <w:r w:rsidR="001511D6">
        <w:t>.</w:t>
      </w:r>
    </w:p>
    <w:p w:rsidR="001511D6" w:rsidRDefault="001511D6" w:rsidP="001511D6">
      <w:pPr>
        <w:pStyle w:val="Footnotes"/>
      </w:pPr>
      <w:r>
        <w:t>Figures may not sum to totals due to rounding.</w:t>
      </w:r>
    </w:p>
    <w:p w:rsidR="00E95B8E" w:rsidRPr="00BA70CD" w:rsidRDefault="001511D6" w:rsidP="003F5A7A">
      <w:pPr>
        <w:pStyle w:val="Footnotes"/>
        <w:numPr>
          <w:ilvl w:val="0"/>
          <w:numId w:val="0"/>
        </w:numPr>
        <w:ind w:left="284" w:hanging="284"/>
      </w:pPr>
      <w:r>
        <w:t>-</w:t>
      </w:r>
      <w:r>
        <w:tab/>
        <w:t>Indicates nil.</w:t>
      </w:r>
    </w:p>
    <w:sectPr w:rsidR="00E95B8E" w:rsidRPr="00BA70CD" w:rsidSect="00BA70CD">
      <w:headerReference w:type="first" r:id="rId16"/>
      <w:pgSz w:w="11906" w:h="16838"/>
      <w:pgMar w:top="1361" w:right="1797" w:bottom="1474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2B6" w:rsidRDefault="00CF22B6" w:rsidP="008F588A">
      <w:pPr>
        <w:spacing w:line="240" w:lineRule="auto"/>
      </w:pPr>
      <w:r>
        <w:separator/>
      </w:r>
    </w:p>
    <w:p w:rsidR="00CF22B6" w:rsidRDefault="00CF22B6"/>
  </w:endnote>
  <w:endnote w:type="continuationSeparator" w:id="0">
    <w:p w:rsidR="00CF22B6" w:rsidRDefault="00CF22B6" w:rsidP="008F588A">
      <w:pPr>
        <w:spacing w:line="240" w:lineRule="auto"/>
      </w:pPr>
      <w:r>
        <w:continuationSeparator/>
      </w:r>
    </w:p>
    <w:p w:rsidR="00CF22B6" w:rsidRDefault="00CF22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22B6" w:rsidRPr="00C24267" w:rsidRDefault="00CF22B6" w:rsidP="00C24267">
    <w:pPr>
      <w:pStyle w:val="Footer"/>
    </w:pPr>
    <w:r w:rsidRPr="00C24267">
      <w:t xml:space="preserve">Page </w:t>
    </w:r>
    <w:r w:rsidRPr="00C24267">
      <w:fldChar w:fldCharType="begin"/>
    </w:r>
    <w:r w:rsidRPr="00C24267">
      <w:instrText xml:space="preserve"> PAGE  \* Arabic  \* MERGEFORMAT </w:instrText>
    </w:r>
    <w:r w:rsidRPr="00C24267">
      <w:fldChar w:fldCharType="separate"/>
    </w:r>
    <w:r w:rsidR="000C412A">
      <w:rPr>
        <w:noProof/>
      </w:rPr>
      <w:t>4</w:t>
    </w:r>
    <w:r w:rsidRPr="00C24267">
      <w:fldChar w:fldCharType="end"/>
    </w:r>
    <w:r w:rsidRPr="00C24267">
      <w:t xml:space="preserve"> of </w:t>
    </w:r>
    <w:r w:rsidR="000C412A">
      <w:fldChar w:fldCharType="begin"/>
    </w:r>
    <w:r w:rsidR="000C412A">
      <w:instrText xml:space="preserve"> NUMPAGES  \* Arabic  \* MERGEFORMAT </w:instrText>
    </w:r>
    <w:r w:rsidR="000C412A">
      <w:fldChar w:fldCharType="separate"/>
    </w:r>
    <w:r w:rsidR="000C412A">
      <w:rPr>
        <w:noProof/>
      </w:rPr>
      <w:t>7</w:t>
    </w:r>
    <w:r w:rsidR="000C412A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22B6" w:rsidRPr="00C24267" w:rsidRDefault="00CF22B6" w:rsidP="00C24267">
    <w:pPr>
      <w:pStyle w:val="Letterfooter"/>
    </w:pPr>
    <w:r w:rsidRPr="00C24267">
      <w:t>Parliamentary Budget Office   PO Box 6010   Parliament House   Canberra ACT 2600</w:t>
    </w:r>
  </w:p>
  <w:p w:rsidR="00CF22B6" w:rsidRPr="00C24267" w:rsidRDefault="00CF22B6" w:rsidP="00C24267">
    <w:pPr>
      <w:pStyle w:val="Letterfooter"/>
    </w:pPr>
    <w:r w:rsidRPr="00C24267">
      <w:t>Tel: 02 6277 9500   Web: www.pbo.gov.au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22B6" w:rsidRPr="00C24267" w:rsidRDefault="00CF22B6" w:rsidP="00C24267">
    <w:pPr>
      <w:pStyle w:val="Footer"/>
    </w:pPr>
    <w:r w:rsidRPr="00C24267">
      <w:t xml:space="preserve">Page </w:t>
    </w:r>
    <w:r w:rsidRPr="00C24267">
      <w:fldChar w:fldCharType="begin"/>
    </w:r>
    <w:r w:rsidRPr="00C24267">
      <w:instrText xml:space="preserve"> PAGE  \* Arabic  \* MERGEFORMAT </w:instrText>
    </w:r>
    <w:r w:rsidRPr="00C24267">
      <w:fldChar w:fldCharType="separate"/>
    </w:r>
    <w:r w:rsidR="000C412A">
      <w:rPr>
        <w:noProof/>
      </w:rPr>
      <w:t>2</w:t>
    </w:r>
    <w:r w:rsidRPr="00C24267">
      <w:fldChar w:fldCharType="end"/>
    </w:r>
    <w:r w:rsidRPr="00C24267">
      <w:t xml:space="preserve"> of </w:t>
    </w:r>
    <w:r w:rsidR="000C412A">
      <w:fldChar w:fldCharType="begin"/>
    </w:r>
    <w:r w:rsidR="000C412A">
      <w:instrText xml:space="preserve"> NUMPAGES  \* Arabic  \* MERGEFORMAT </w:instrText>
    </w:r>
    <w:r w:rsidR="000C412A">
      <w:fldChar w:fldCharType="separate"/>
    </w:r>
    <w:r w:rsidR="000C412A">
      <w:rPr>
        <w:noProof/>
      </w:rPr>
      <w:t>7</w:t>
    </w:r>
    <w:r w:rsidR="000C412A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2B6" w:rsidRDefault="00CF22B6" w:rsidP="008F588A">
      <w:pPr>
        <w:spacing w:line="240" w:lineRule="auto"/>
      </w:pPr>
      <w:r>
        <w:separator/>
      </w:r>
    </w:p>
    <w:p w:rsidR="00CF22B6" w:rsidRDefault="00CF22B6"/>
  </w:footnote>
  <w:footnote w:type="continuationSeparator" w:id="0">
    <w:p w:rsidR="00CF22B6" w:rsidRDefault="00CF22B6" w:rsidP="008F588A">
      <w:pPr>
        <w:spacing w:line="240" w:lineRule="auto"/>
      </w:pPr>
      <w:r>
        <w:continuationSeparator/>
      </w:r>
    </w:p>
    <w:p w:rsidR="00CF22B6" w:rsidRDefault="00CF22B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22B6" w:rsidRDefault="00CF22B6" w:rsidP="00CB40E1">
    <w:pPr>
      <w:pStyle w:val="Header"/>
    </w:pPr>
    <w:r>
      <w:rPr>
        <w:noProof/>
        <w:lang w:eastAsia="en-AU"/>
      </w:rPr>
      <w:drawing>
        <wp:inline distT="0" distB="0" distL="0" distR="0" wp14:anchorId="166CC723" wp14:editId="662056F7">
          <wp:extent cx="2696845" cy="572135"/>
          <wp:effectExtent l="0" t="0" r="825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BO Logo inline_BL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6845" cy="572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F22B6" w:rsidRPr="00DA1C8A" w:rsidRDefault="00CF22B6" w:rsidP="00002D5D">
    <w:pPr>
      <w:pStyle w:val="PBOheader"/>
      <w:spacing w:before="720"/>
      <w:ind w:left="5783"/>
      <w:rPr>
        <w:b w:val="0"/>
      </w:rPr>
    </w:pPr>
    <w:r>
      <w:t>P</w:t>
    </w:r>
    <w:r w:rsidRPr="009030A0">
      <w:t>hil Bowen PSM FCPA</w:t>
    </w:r>
    <w:r>
      <w:br/>
    </w:r>
    <w:r w:rsidRPr="009030A0">
      <w:t>Parliamentary Budget Officer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22B6" w:rsidRPr="009E1B99" w:rsidRDefault="009E1B99" w:rsidP="009E1B99">
    <w:pPr>
      <w:pStyle w:val="Header"/>
    </w:pPr>
    <w:r>
      <w:rPr>
        <w:noProof/>
        <w:lang w:eastAsia="en-AU"/>
      </w:rPr>
      <w:drawing>
        <wp:inline distT="0" distB="0" distL="0" distR="0" wp14:anchorId="36B0213E" wp14:editId="1DF82290">
          <wp:extent cx="2696845" cy="572135"/>
          <wp:effectExtent l="0" t="0" r="825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BO Logo inline_BL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6845" cy="572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493" w:rsidRPr="009E1B99" w:rsidRDefault="00E32493" w:rsidP="009E1B9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1905B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68B37FE"/>
    <w:multiLevelType w:val="multilevel"/>
    <w:tmpl w:val="113C77A6"/>
    <w:lvl w:ilvl="0">
      <w:start w:val="1"/>
      <w:numFmt w:val="bullet"/>
      <w:pStyle w:val="ListBullet"/>
      <w:lvlText w:val="•"/>
      <w:lvlJc w:val="left"/>
      <w:pPr>
        <w:tabs>
          <w:tab w:val="num" w:pos="454"/>
        </w:tabs>
        <w:ind w:left="454" w:hanging="454"/>
      </w:pPr>
      <w:rPr>
        <w:rFonts w:ascii="Calibri" w:hAnsi="Calibri" w:hint="default"/>
        <w:b w:val="0"/>
        <w:i w:val="0"/>
        <w:color w:val="auto"/>
        <w:position w:val="0"/>
        <w:sz w:val="22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b w:val="0"/>
        <w:i w:val="0"/>
        <w:color w:val="auto"/>
        <w:position w:val="0"/>
        <w:sz w:val="22"/>
      </w:rPr>
    </w:lvl>
    <w:lvl w:ilvl="2">
      <w:start w:val="1"/>
      <w:numFmt w:val="bullet"/>
      <w:pStyle w:val="ListBullet3"/>
      <w:lvlText w:val=""/>
      <w:lvlJc w:val="left"/>
      <w:pPr>
        <w:tabs>
          <w:tab w:val="num" w:pos="1361"/>
        </w:tabs>
        <w:ind w:left="1361" w:hanging="454"/>
      </w:pPr>
      <w:rPr>
        <w:rFonts w:ascii="Wingdings" w:hAnsi="Wingdings" w:hint="default"/>
        <w:b w:val="0"/>
        <w:i w:val="0"/>
        <w:color w:val="auto"/>
        <w:spacing w:val="0"/>
        <w:w w:val="100"/>
        <w:position w:val="1"/>
        <w:sz w:val="22"/>
        <w:szCs w:val="16"/>
      </w:rPr>
    </w:lvl>
    <w:lvl w:ilvl="3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2">
    <w:nsid w:val="0D745448"/>
    <w:multiLevelType w:val="multilevel"/>
    <w:tmpl w:val="1CA8BD68"/>
    <w:name w:val="PBOHeadings"/>
    <w:lvl w:ilvl="0">
      <w:start w:val="1"/>
      <w:numFmt w:val="none"/>
      <w:lvlRestart w:val="0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4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5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6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7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8">
      <w:start w:val="1"/>
      <w:numFmt w:val="none"/>
      <w:lvlText w:val=""/>
      <w:lvlJc w:val="left"/>
      <w:pPr>
        <w:ind w:left="765" w:hanging="765"/>
      </w:pPr>
      <w:rPr>
        <w:rFonts w:hint="default"/>
      </w:rPr>
    </w:lvl>
  </w:abstractNum>
  <w:abstractNum w:abstractNumId="3">
    <w:nsid w:val="194A695C"/>
    <w:multiLevelType w:val="multilevel"/>
    <w:tmpl w:val="5E16FD12"/>
    <w:name w:val="TableBullets"/>
    <w:lvl w:ilvl="0">
      <w:start w:val="1"/>
      <w:numFmt w:val="bullet"/>
      <w:pStyle w:val="TableTextBullet"/>
      <w:lvlText w:val="•"/>
      <w:lvlJc w:val="left"/>
      <w:pPr>
        <w:tabs>
          <w:tab w:val="num" w:pos="284"/>
        </w:tabs>
        <w:ind w:left="284" w:hanging="171"/>
      </w:pPr>
      <w:rPr>
        <w:rFonts w:ascii="Calibri" w:hAnsi="Calibri" w:hint="default"/>
        <w:color w:val="auto"/>
        <w:position w:val="2"/>
        <w:sz w:val="20"/>
        <w:szCs w:val="12"/>
      </w:rPr>
    </w:lvl>
    <w:lvl w:ilvl="1">
      <w:start w:val="1"/>
      <w:numFmt w:val="bullet"/>
      <w:pStyle w:val="TableTextBullet2"/>
      <w:lvlText w:val="–"/>
      <w:lvlJc w:val="left"/>
      <w:pPr>
        <w:tabs>
          <w:tab w:val="num" w:pos="454"/>
        </w:tabs>
        <w:ind w:left="454" w:hanging="170"/>
      </w:pPr>
      <w:rPr>
        <w:rFonts w:ascii="Times New Roman" w:hAnsi="Times New Roman" w:cs="Times New Roman" w:hint="default"/>
        <w:b w:val="0"/>
        <w:i w:val="0"/>
        <w:color w:val="auto"/>
        <w:sz w:val="20"/>
        <w:szCs w:val="18"/>
      </w:rPr>
    </w:lvl>
    <w:lvl w:ilvl="2">
      <w:start w:val="1"/>
      <w:numFmt w:val="bullet"/>
      <w:pStyle w:val="TableTextBullet3"/>
      <w:lvlText w:val=""/>
      <w:lvlJc w:val="left"/>
      <w:pPr>
        <w:tabs>
          <w:tab w:val="num" w:pos="624"/>
        </w:tabs>
        <w:ind w:left="624" w:hanging="170"/>
      </w:pPr>
      <w:rPr>
        <w:rFonts w:ascii="Wingdings" w:hAnsi="Wingdings" w:hint="default"/>
        <w:color w:val="auto"/>
        <w:position w:val="1"/>
        <w:sz w:val="20"/>
      </w:rPr>
    </w:lvl>
    <w:lvl w:ilvl="3">
      <w:start w:val="1"/>
      <w:numFmt w:val="none"/>
      <w:lvlText w:val=""/>
      <w:lvlJc w:val="left"/>
      <w:pPr>
        <w:ind w:left="2767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487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207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4927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647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367" w:hanging="360"/>
      </w:pPr>
      <w:rPr>
        <w:rFonts w:hint="default"/>
      </w:rPr>
    </w:lvl>
  </w:abstractNum>
  <w:abstractNum w:abstractNumId="4">
    <w:nsid w:val="19DE2101"/>
    <w:multiLevelType w:val="hybridMultilevel"/>
    <w:tmpl w:val="0030AC0C"/>
    <w:lvl w:ilvl="0" w:tplc="C5946D62">
      <w:start w:val="1"/>
      <w:numFmt w:val="lowerLetter"/>
      <w:lvlText w:val="(%1)"/>
      <w:lvlJc w:val="left"/>
      <w:pPr>
        <w:ind w:left="83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53" w:hanging="360"/>
      </w:pPr>
    </w:lvl>
    <w:lvl w:ilvl="2" w:tplc="0C09001B" w:tentative="1">
      <w:start w:val="1"/>
      <w:numFmt w:val="lowerRoman"/>
      <w:lvlText w:val="%3."/>
      <w:lvlJc w:val="right"/>
      <w:pPr>
        <w:ind w:left="2273" w:hanging="180"/>
      </w:pPr>
    </w:lvl>
    <w:lvl w:ilvl="3" w:tplc="0C09000F" w:tentative="1">
      <w:start w:val="1"/>
      <w:numFmt w:val="decimal"/>
      <w:lvlText w:val="%4."/>
      <w:lvlJc w:val="left"/>
      <w:pPr>
        <w:ind w:left="2993" w:hanging="360"/>
      </w:pPr>
    </w:lvl>
    <w:lvl w:ilvl="4" w:tplc="0C090019" w:tentative="1">
      <w:start w:val="1"/>
      <w:numFmt w:val="lowerLetter"/>
      <w:lvlText w:val="%5."/>
      <w:lvlJc w:val="left"/>
      <w:pPr>
        <w:ind w:left="3713" w:hanging="360"/>
      </w:pPr>
    </w:lvl>
    <w:lvl w:ilvl="5" w:tplc="0C09001B" w:tentative="1">
      <w:start w:val="1"/>
      <w:numFmt w:val="lowerRoman"/>
      <w:lvlText w:val="%6."/>
      <w:lvlJc w:val="right"/>
      <w:pPr>
        <w:ind w:left="4433" w:hanging="180"/>
      </w:pPr>
    </w:lvl>
    <w:lvl w:ilvl="6" w:tplc="0C09000F" w:tentative="1">
      <w:start w:val="1"/>
      <w:numFmt w:val="decimal"/>
      <w:lvlText w:val="%7."/>
      <w:lvlJc w:val="left"/>
      <w:pPr>
        <w:ind w:left="5153" w:hanging="360"/>
      </w:pPr>
    </w:lvl>
    <w:lvl w:ilvl="7" w:tplc="0C090019" w:tentative="1">
      <w:start w:val="1"/>
      <w:numFmt w:val="lowerLetter"/>
      <w:lvlText w:val="%8."/>
      <w:lvlJc w:val="left"/>
      <w:pPr>
        <w:ind w:left="5873" w:hanging="360"/>
      </w:pPr>
    </w:lvl>
    <w:lvl w:ilvl="8" w:tplc="0C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5">
    <w:nsid w:val="1C5A6BE0"/>
    <w:multiLevelType w:val="hybridMultilevel"/>
    <w:tmpl w:val="7EDAD71E"/>
    <w:lvl w:ilvl="0" w:tplc="C5946D62">
      <w:start w:val="1"/>
      <w:numFmt w:val="lowerLetter"/>
      <w:lvlText w:val="(%1)"/>
      <w:lvlJc w:val="left"/>
      <w:pPr>
        <w:ind w:left="94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66" w:hanging="360"/>
      </w:pPr>
    </w:lvl>
    <w:lvl w:ilvl="2" w:tplc="0C09001B" w:tentative="1">
      <w:start w:val="1"/>
      <w:numFmt w:val="lowerRoman"/>
      <w:lvlText w:val="%3."/>
      <w:lvlJc w:val="right"/>
      <w:pPr>
        <w:ind w:left="2386" w:hanging="180"/>
      </w:pPr>
    </w:lvl>
    <w:lvl w:ilvl="3" w:tplc="0C09000F" w:tentative="1">
      <w:start w:val="1"/>
      <w:numFmt w:val="decimal"/>
      <w:lvlText w:val="%4."/>
      <w:lvlJc w:val="left"/>
      <w:pPr>
        <w:ind w:left="3106" w:hanging="360"/>
      </w:pPr>
    </w:lvl>
    <w:lvl w:ilvl="4" w:tplc="0C090019" w:tentative="1">
      <w:start w:val="1"/>
      <w:numFmt w:val="lowerLetter"/>
      <w:lvlText w:val="%5."/>
      <w:lvlJc w:val="left"/>
      <w:pPr>
        <w:ind w:left="3826" w:hanging="360"/>
      </w:pPr>
    </w:lvl>
    <w:lvl w:ilvl="5" w:tplc="0C09001B" w:tentative="1">
      <w:start w:val="1"/>
      <w:numFmt w:val="lowerRoman"/>
      <w:lvlText w:val="%6."/>
      <w:lvlJc w:val="right"/>
      <w:pPr>
        <w:ind w:left="4546" w:hanging="180"/>
      </w:pPr>
    </w:lvl>
    <w:lvl w:ilvl="6" w:tplc="0C09000F" w:tentative="1">
      <w:start w:val="1"/>
      <w:numFmt w:val="decimal"/>
      <w:lvlText w:val="%7."/>
      <w:lvlJc w:val="left"/>
      <w:pPr>
        <w:ind w:left="5266" w:hanging="360"/>
      </w:pPr>
    </w:lvl>
    <w:lvl w:ilvl="7" w:tplc="0C090019" w:tentative="1">
      <w:start w:val="1"/>
      <w:numFmt w:val="lowerLetter"/>
      <w:lvlText w:val="%8."/>
      <w:lvlJc w:val="left"/>
      <w:pPr>
        <w:ind w:left="5986" w:hanging="360"/>
      </w:pPr>
    </w:lvl>
    <w:lvl w:ilvl="8" w:tplc="0C09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6">
    <w:nsid w:val="21FD21F8"/>
    <w:multiLevelType w:val="hybridMultilevel"/>
    <w:tmpl w:val="F8A0BA76"/>
    <w:lvl w:ilvl="0" w:tplc="0BB20A6A">
      <w:start w:val="3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E45E35"/>
    <w:multiLevelType w:val="hybridMultilevel"/>
    <w:tmpl w:val="60A06D20"/>
    <w:lvl w:ilvl="0" w:tplc="EE46B378">
      <w:start w:val="1"/>
      <w:numFmt w:val="lowerLetter"/>
      <w:pStyle w:val="Footnotes"/>
      <w:lvlText w:val="(%1)"/>
      <w:lvlJc w:val="left"/>
      <w:pPr>
        <w:ind w:left="83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FB13A7"/>
    <w:multiLevelType w:val="hybridMultilevel"/>
    <w:tmpl w:val="91A04CDE"/>
    <w:lvl w:ilvl="0" w:tplc="0C0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9">
    <w:nsid w:val="3E00597E"/>
    <w:multiLevelType w:val="hybridMultilevel"/>
    <w:tmpl w:val="844A80C4"/>
    <w:lvl w:ilvl="0" w:tplc="EC98079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646D34"/>
    <w:multiLevelType w:val="hybridMultilevel"/>
    <w:tmpl w:val="32C8A1D2"/>
    <w:lvl w:ilvl="0" w:tplc="D80E0A7A">
      <w:numFmt w:val="bullet"/>
      <w:lvlText w:val="-"/>
      <w:lvlJc w:val="left"/>
      <w:pPr>
        <w:ind w:left="814" w:hanging="360"/>
      </w:pPr>
      <w:rPr>
        <w:rFonts w:ascii="Calibri" w:eastAsia="Times New Roman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1">
    <w:nsid w:val="47B40F99"/>
    <w:multiLevelType w:val="hybridMultilevel"/>
    <w:tmpl w:val="985EF896"/>
    <w:lvl w:ilvl="0" w:tplc="71542F1C">
      <w:start w:val="3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CE2F93"/>
    <w:multiLevelType w:val="multilevel"/>
    <w:tmpl w:val="850CAC36"/>
    <w:lvl w:ilvl="0">
      <w:start w:val="1"/>
      <w:numFmt w:val="bullet"/>
      <w:lvlText w:val="•"/>
      <w:lvlJc w:val="left"/>
      <w:pPr>
        <w:tabs>
          <w:tab w:val="num" w:pos="284"/>
        </w:tabs>
        <w:ind w:left="284" w:hanging="171"/>
      </w:pPr>
      <w:rPr>
        <w:rFonts w:ascii="Calibri" w:hAnsi="Calibri" w:hint="default"/>
        <w:color w:val="auto"/>
        <w:position w:val="2"/>
        <w:sz w:val="20"/>
        <w:szCs w:val="12"/>
      </w:rPr>
    </w:lvl>
    <w:lvl w:ilvl="1">
      <w:start w:val="1"/>
      <w:numFmt w:val="bullet"/>
      <w:lvlText w:val="–"/>
      <w:lvlJc w:val="left"/>
      <w:pPr>
        <w:tabs>
          <w:tab w:val="num" w:pos="454"/>
        </w:tabs>
        <w:ind w:left="454" w:hanging="170"/>
      </w:pPr>
      <w:rPr>
        <w:rFonts w:ascii="Times New Roman" w:hAnsi="Times New Roman" w:cs="Times New Roman" w:hint="default"/>
        <w:b w:val="0"/>
        <w:i w:val="0"/>
        <w:color w:val="auto"/>
        <w:sz w:val="20"/>
        <w:szCs w:val="18"/>
      </w:rPr>
    </w:lvl>
    <w:lvl w:ilvl="2">
      <w:start w:val="1"/>
      <w:numFmt w:val="bullet"/>
      <w:pStyle w:val="TableTextBullet1"/>
      <w:lvlText w:val=""/>
      <w:lvlJc w:val="left"/>
      <w:pPr>
        <w:tabs>
          <w:tab w:val="num" w:pos="624"/>
        </w:tabs>
        <w:ind w:left="624" w:hanging="170"/>
      </w:pPr>
      <w:rPr>
        <w:rFonts w:ascii="Symbol" w:hAnsi="Symbol" w:hint="default"/>
        <w:color w:val="auto"/>
        <w:position w:val="1"/>
        <w:sz w:val="20"/>
      </w:rPr>
    </w:lvl>
    <w:lvl w:ilvl="3">
      <w:start w:val="1"/>
      <w:numFmt w:val="none"/>
      <w:lvlText w:val=""/>
      <w:lvlJc w:val="left"/>
      <w:pPr>
        <w:ind w:left="2767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487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207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4927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647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367" w:hanging="36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12"/>
  </w:num>
  <w:num w:numId="6">
    <w:abstractNumId w:val="7"/>
  </w:num>
  <w:num w:numId="7">
    <w:abstractNumId w:val="7"/>
    <w:lvlOverride w:ilvl="0">
      <w:startOverride w:val="1"/>
    </w:lvlOverride>
  </w:num>
  <w:num w:numId="8">
    <w:abstractNumId w:val="7"/>
    <w:lvlOverride w:ilvl="0">
      <w:startOverride w:val="1"/>
    </w:lvlOverride>
  </w:num>
  <w:num w:numId="9">
    <w:abstractNumId w:val="7"/>
    <w:lvlOverride w:ilvl="0">
      <w:startOverride w:val="1"/>
    </w:lvlOverride>
  </w:num>
  <w:num w:numId="10">
    <w:abstractNumId w:val="7"/>
    <w:lvlOverride w:ilvl="0">
      <w:startOverride w:val="1"/>
    </w:lvlOverride>
  </w:num>
  <w:num w:numId="11">
    <w:abstractNumId w:val="1"/>
  </w:num>
  <w:num w:numId="12">
    <w:abstractNumId w:val="0"/>
  </w:num>
  <w:num w:numId="13">
    <w:abstractNumId w:val="7"/>
    <w:lvlOverride w:ilvl="0">
      <w:startOverride w:val="1"/>
    </w:lvlOverride>
  </w:num>
  <w:num w:numId="14">
    <w:abstractNumId w:val="7"/>
    <w:lvlOverride w:ilvl="0">
      <w:startOverride w:val="1"/>
    </w:lvlOverride>
  </w:num>
  <w:num w:numId="15">
    <w:abstractNumId w:val="7"/>
    <w:lvlOverride w:ilvl="0">
      <w:startOverride w:val="1"/>
    </w:lvlOverride>
  </w:num>
  <w:num w:numId="16">
    <w:abstractNumId w:val="7"/>
    <w:lvlOverride w:ilvl="0">
      <w:startOverride w:val="1"/>
    </w:lvlOverride>
  </w:num>
  <w:num w:numId="17">
    <w:abstractNumId w:val="6"/>
  </w:num>
  <w:num w:numId="18">
    <w:abstractNumId w:val="11"/>
  </w:num>
  <w:num w:numId="19">
    <w:abstractNumId w:val="7"/>
    <w:lvlOverride w:ilvl="0">
      <w:startOverride w:val="1"/>
    </w:lvlOverride>
  </w:num>
  <w:num w:numId="20">
    <w:abstractNumId w:val="7"/>
    <w:lvlOverride w:ilvl="0">
      <w:startOverride w:val="1"/>
    </w:lvlOverride>
  </w:num>
  <w:num w:numId="21">
    <w:abstractNumId w:val="7"/>
    <w:lvlOverride w:ilvl="0">
      <w:startOverride w:val="1"/>
    </w:lvlOverride>
  </w:num>
  <w:num w:numId="22">
    <w:abstractNumId w:val="7"/>
    <w:lvlOverride w:ilvl="0">
      <w:startOverride w:val="1"/>
    </w:lvlOverride>
  </w:num>
  <w:num w:numId="23">
    <w:abstractNumId w:val="7"/>
    <w:lvlOverride w:ilvl="0">
      <w:startOverride w:val="1"/>
    </w:lvlOverride>
  </w:num>
  <w:num w:numId="24">
    <w:abstractNumId w:val="9"/>
  </w:num>
  <w:num w:numId="25">
    <w:abstractNumId w:val="8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attachedTemplate r:id="rId1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EC7"/>
    <w:rsid w:val="000011F9"/>
    <w:rsid w:val="00002D5D"/>
    <w:rsid w:val="00015FB2"/>
    <w:rsid w:val="00023A5F"/>
    <w:rsid w:val="00024933"/>
    <w:rsid w:val="00040DCE"/>
    <w:rsid w:val="00060F22"/>
    <w:rsid w:val="000954D8"/>
    <w:rsid w:val="00096F3A"/>
    <w:rsid w:val="000A1CFB"/>
    <w:rsid w:val="000C1A75"/>
    <w:rsid w:val="000C412A"/>
    <w:rsid w:val="000D4E74"/>
    <w:rsid w:val="000E5145"/>
    <w:rsid w:val="000E6652"/>
    <w:rsid w:val="000F150D"/>
    <w:rsid w:val="000F31C9"/>
    <w:rsid w:val="00113A85"/>
    <w:rsid w:val="001232D0"/>
    <w:rsid w:val="001278D0"/>
    <w:rsid w:val="00134EC7"/>
    <w:rsid w:val="0014239B"/>
    <w:rsid w:val="001511D6"/>
    <w:rsid w:val="001A02D1"/>
    <w:rsid w:val="001D0754"/>
    <w:rsid w:val="001F7D6A"/>
    <w:rsid w:val="00220BE5"/>
    <w:rsid w:val="002306AD"/>
    <w:rsid w:val="002422A3"/>
    <w:rsid w:val="002939C8"/>
    <w:rsid w:val="002C2D3A"/>
    <w:rsid w:val="002E4718"/>
    <w:rsid w:val="002F3F4D"/>
    <w:rsid w:val="00315E34"/>
    <w:rsid w:val="00326DE2"/>
    <w:rsid w:val="00342D3B"/>
    <w:rsid w:val="003711A5"/>
    <w:rsid w:val="003A1E39"/>
    <w:rsid w:val="003B474B"/>
    <w:rsid w:val="003D7744"/>
    <w:rsid w:val="003E4F5F"/>
    <w:rsid w:val="003F5A7A"/>
    <w:rsid w:val="003F73CA"/>
    <w:rsid w:val="00410A2C"/>
    <w:rsid w:val="004164B5"/>
    <w:rsid w:val="00440E32"/>
    <w:rsid w:val="00461597"/>
    <w:rsid w:val="00485374"/>
    <w:rsid w:val="004C1B45"/>
    <w:rsid w:val="004C283B"/>
    <w:rsid w:val="004C504F"/>
    <w:rsid w:val="004D13ED"/>
    <w:rsid w:val="004D5525"/>
    <w:rsid w:val="005035DA"/>
    <w:rsid w:val="00507897"/>
    <w:rsid w:val="00515A85"/>
    <w:rsid w:val="00516B89"/>
    <w:rsid w:val="005373A5"/>
    <w:rsid w:val="005410D2"/>
    <w:rsid w:val="00545F24"/>
    <w:rsid w:val="0055581F"/>
    <w:rsid w:val="0056229A"/>
    <w:rsid w:val="00570154"/>
    <w:rsid w:val="00570B5A"/>
    <w:rsid w:val="00587422"/>
    <w:rsid w:val="005A3AC3"/>
    <w:rsid w:val="005B1539"/>
    <w:rsid w:val="005B1A4A"/>
    <w:rsid w:val="005B78DE"/>
    <w:rsid w:val="005B7B75"/>
    <w:rsid w:val="005C6967"/>
    <w:rsid w:val="005E3562"/>
    <w:rsid w:val="005E40D4"/>
    <w:rsid w:val="005E4153"/>
    <w:rsid w:val="005F7DE0"/>
    <w:rsid w:val="00605769"/>
    <w:rsid w:val="006108E2"/>
    <w:rsid w:val="00635769"/>
    <w:rsid w:val="00640346"/>
    <w:rsid w:val="00660385"/>
    <w:rsid w:val="00662E65"/>
    <w:rsid w:val="0066665A"/>
    <w:rsid w:val="006713EF"/>
    <w:rsid w:val="00692DD8"/>
    <w:rsid w:val="0069679B"/>
    <w:rsid w:val="006A0BE4"/>
    <w:rsid w:val="006F0CE9"/>
    <w:rsid w:val="006F7992"/>
    <w:rsid w:val="007202A8"/>
    <w:rsid w:val="007229A9"/>
    <w:rsid w:val="00776698"/>
    <w:rsid w:val="007803F7"/>
    <w:rsid w:val="007B029A"/>
    <w:rsid w:val="007D33AA"/>
    <w:rsid w:val="007D3577"/>
    <w:rsid w:val="007D64CD"/>
    <w:rsid w:val="007E6814"/>
    <w:rsid w:val="007F7BCF"/>
    <w:rsid w:val="00802989"/>
    <w:rsid w:val="008030EC"/>
    <w:rsid w:val="00811D6D"/>
    <w:rsid w:val="00817E8E"/>
    <w:rsid w:val="00822582"/>
    <w:rsid w:val="00841C3A"/>
    <w:rsid w:val="00844776"/>
    <w:rsid w:val="00847164"/>
    <w:rsid w:val="008850D9"/>
    <w:rsid w:val="008908AF"/>
    <w:rsid w:val="008A4578"/>
    <w:rsid w:val="008C03C3"/>
    <w:rsid w:val="008C1766"/>
    <w:rsid w:val="008D3909"/>
    <w:rsid w:val="008D6ECA"/>
    <w:rsid w:val="008E1337"/>
    <w:rsid w:val="008F588A"/>
    <w:rsid w:val="00902D2D"/>
    <w:rsid w:val="009074EA"/>
    <w:rsid w:val="0091132D"/>
    <w:rsid w:val="00915804"/>
    <w:rsid w:val="009341E3"/>
    <w:rsid w:val="0094182D"/>
    <w:rsid w:val="00957285"/>
    <w:rsid w:val="009573AF"/>
    <w:rsid w:val="009627FF"/>
    <w:rsid w:val="00977D7B"/>
    <w:rsid w:val="00995D12"/>
    <w:rsid w:val="009963ED"/>
    <w:rsid w:val="009A59CD"/>
    <w:rsid w:val="009C77A4"/>
    <w:rsid w:val="009D28AF"/>
    <w:rsid w:val="009D4063"/>
    <w:rsid w:val="009D4B34"/>
    <w:rsid w:val="009E14F6"/>
    <w:rsid w:val="009E1B99"/>
    <w:rsid w:val="00A15DCD"/>
    <w:rsid w:val="00A35B01"/>
    <w:rsid w:val="00A35C27"/>
    <w:rsid w:val="00A41951"/>
    <w:rsid w:val="00A41BD3"/>
    <w:rsid w:val="00A449C2"/>
    <w:rsid w:val="00A643A5"/>
    <w:rsid w:val="00A65EA3"/>
    <w:rsid w:val="00A7322F"/>
    <w:rsid w:val="00A73BBB"/>
    <w:rsid w:val="00A85A40"/>
    <w:rsid w:val="00AA3D6F"/>
    <w:rsid w:val="00AB55AE"/>
    <w:rsid w:val="00AB6F7D"/>
    <w:rsid w:val="00AC0754"/>
    <w:rsid w:val="00AC7878"/>
    <w:rsid w:val="00AD493E"/>
    <w:rsid w:val="00AD5692"/>
    <w:rsid w:val="00AE30B5"/>
    <w:rsid w:val="00AE5755"/>
    <w:rsid w:val="00AF10D3"/>
    <w:rsid w:val="00B01FDD"/>
    <w:rsid w:val="00B06055"/>
    <w:rsid w:val="00B06B57"/>
    <w:rsid w:val="00B44D8A"/>
    <w:rsid w:val="00B47F16"/>
    <w:rsid w:val="00B73AC8"/>
    <w:rsid w:val="00B747A7"/>
    <w:rsid w:val="00B910B8"/>
    <w:rsid w:val="00BA2BBF"/>
    <w:rsid w:val="00BA70CD"/>
    <w:rsid w:val="00BC44D7"/>
    <w:rsid w:val="00BC559C"/>
    <w:rsid w:val="00BE0499"/>
    <w:rsid w:val="00BF5262"/>
    <w:rsid w:val="00C009CB"/>
    <w:rsid w:val="00C07510"/>
    <w:rsid w:val="00C14D13"/>
    <w:rsid w:val="00C17112"/>
    <w:rsid w:val="00C24267"/>
    <w:rsid w:val="00C27405"/>
    <w:rsid w:val="00C27868"/>
    <w:rsid w:val="00C400E8"/>
    <w:rsid w:val="00C46667"/>
    <w:rsid w:val="00CA12A0"/>
    <w:rsid w:val="00CA5D42"/>
    <w:rsid w:val="00CB20CA"/>
    <w:rsid w:val="00CB40E1"/>
    <w:rsid w:val="00CF22B6"/>
    <w:rsid w:val="00CF31CE"/>
    <w:rsid w:val="00CF4B05"/>
    <w:rsid w:val="00CF6DB6"/>
    <w:rsid w:val="00CF7D9A"/>
    <w:rsid w:val="00D05B5E"/>
    <w:rsid w:val="00D134CA"/>
    <w:rsid w:val="00D24022"/>
    <w:rsid w:val="00D52D5F"/>
    <w:rsid w:val="00D747D2"/>
    <w:rsid w:val="00D805AE"/>
    <w:rsid w:val="00D949A3"/>
    <w:rsid w:val="00DA1506"/>
    <w:rsid w:val="00DA1C8A"/>
    <w:rsid w:val="00DA3B55"/>
    <w:rsid w:val="00DB3627"/>
    <w:rsid w:val="00DB44F0"/>
    <w:rsid w:val="00DC5CE2"/>
    <w:rsid w:val="00DD109E"/>
    <w:rsid w:val="00DD3E18"/>
    <w:rsid w:val="00E12103"/>
    <w:rsid w:val="00E15AAE"/>
    <w:rsid w:val="00E21184"/>
    <w:rsid w:val="00E32493"/>
    <w:rsid w:val="00E40B8B"/>
    <w:rsid w:val="00E5742E"/>
    <w:rsid w:val="00E72F73"/>
    <w:rsid w:val="00E772BC"/>
    <w:rsid w:val="00E857F2"/>
    <w:rsid w:val="00E95B8E"/>
    <w:rsid w:val="00EA265F"/>
    <w:rsid w:val="00EA5685"/>
    <w:rsid w:val="00EB5554"/>
    <w:rsid w:val="00EC320B"/>
    <w:rsid w:val="00EC5D86"/>
    <w:rsid w:val="00EC73F2"/>
    <w:rsid w:val="00ED43FF"/>
    <w:rsid w:val="00EE101C"/>
    <w:rsid w:val="00EE6600"/>
    <w:rsid w:val="00EF1D6A"/>
    <w:rsid w:val="00EF2E51"/>
    <w:rsid w:val="00EF7A94"/>
    <w:rsid w:val="00F21865"/>
    <w:rsid w:val="00F2533E"/>
    <w:rsid w:val="00F31E24"/>
    <w:rsid w:val="00F4535C"/>
    <w:rsid w:val="00F52474"/>
    <w:rsid w:val="00F52F1D"/>
    <w:rsid w:val="00F5529D"/>
    <w:rsid w:val="00F5669E"/>
    <w:rsid w:val="00F75D33"/>
    <w:rsid w:val="00F87EBC"/>
    <w:rsid w:val="00F954CF"/>
    <w:rsid w:val="00F97DFF"/>
    <w:rsid w:val="00FC3CF9"/>
    <w:rsid w:val="00FC6579"/>
    <w:rsid w:val="00FD3FB3"/>
    <w:rsid w:val="00FE1053"/>
    <w:rsid w:val="00FE6904"/>
    <w:rsid w:val="00FF121C"/>
    <w:rsid w:val="00FF2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0" w:qFormat="1"/>
    <w:lsdException w:name="List Bullet" w:uiPriority="0"/>
    <w:lsdException w:name="List Bullet 2" w:uiPriority="0"/>
    <w:lsdException w:name="List Bullet 3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C17112"/>
    <w:pPr>
      <w:spacing w:before="114" w:after="114" w:line="300" w:lineRule="atLeast"/>
    </w:pPr>
  </w:style>
  <w:style w:type="paragraph" w:styleId="Heading1">
    <w:name w:val="heading 1"/>
    <w:basedOn w:val="Normal"/>
    <w:next w:val="BodyText"/>
    <w:link w:val="Heading1Char"/>
    <w:qFormat/>
    <w:rsid w:val="00BC559C"/>
    <w:pPr>
      <w:keepNext/>
      <w:keepLines/>
      <w:numPr>
        <w:numId w:val="1"/>
      </w:numPr>
      <w:tabs>
        <w:tab w:val="right" w:pos="1418"/>
        <w:tab w:val="right" w:pos="1701"/>
        <w:tab w:val="right" w:pos="1985"/>
      </w:tabs>
      <w:spacing w:before="480" w:after="340" w:line="240" w:lineRule="auto"/>
      <w:outlineLvl w:val="0"/>
    </w:pPr>
    <w:rPr>
      <w:rFonts w:ascii="Georgia" w:hAnsi="Georgia"/>
      <w:bCs/>
      <w:color w:val="2B3B5F"/>
      <w:spacing w:val="-6"/>
      <w:kern w:val="32"/>
      <w:sz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8030EC"/>
    <w:pPr>
      <w:keepNext/>
      <w:keepLines/>
      <w:numPr>
        <w:ilvl w:val="1"/>
        <w:numId w:val="1"/>
      </w:numPr>
      <w:tabs>
        <w:tab w:val="left" w:pos="1418"/>
        <w:tab w:val="left" w:pos="1701"/>
        <w:tab w:val="left" w:pos="1985"/>
      </w:tabs>
      <w:spacing w:before="470" w:after="227"/>
      <w:outlineLvl w:val="1"/>
    </w:pPr>
    <w:rPr>
      <w:rFonts w:asciiTheme="majorHAnsi" w:hAnsiTheme="majorHAnsi"/>
      <w:bCs/>
      <w:iCs/>
      <w:color w:val="2B3B5F"/>
      <w:kern w:val="20"/>
      <w:sz w:val="28"/>
      <w:szCs w:val="28"/>
    </w:rPr>
  </w:style>
  <w:style w:type="paragraph" w:styleId="Heading3">
    <w:name w:val="heading 3"/>
    <w:basedOn w:val="Normal"/>
    <w:next w:val="BodyText"/>
    <w:link w:val="Heading3Char"/>
    <w:qFormat/>
    <w:rsid w:val="008030EC"/>
    <w:pPr>
      <w:keepNext/>
      <w:keepLines/>
      <w:numPr>
        <w:ilvl w:val="2"/>
        <w:numId w:val="1"/>
      </w:numPr>
      <w:tabs>
        <w:tab w:val="left" w:pos="1418"/>
        <w:tab w:val="left" w:pos="1701"/>
        <w:tab w:val="left" w:pos="1985"/>
      </w:tabs>
      <w:spacing w:before="470" w:after="227"/>
      <w:outlineLvl w:val="2"/>
    </w:pPr>
    <w:rPr>
      <w:b/>
      <w:color w:val="2B3B5F"/>
      <w:sz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1A02D1"/>
    <w:pPr>
      <w:spacing w:before="360"/>
      <w:outlineLvl w:val="3"/>
    </w:pPr>
    <w:rPr>
      <w:b w:val="0"/>
      <w:i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C559C"/>
    <w:rPr>
      <w:rFonts w:ascii="Georgia" w:hAnsi="Georgia"/>
      <w:bCs/>
      <w:color w:val="2B3B5F"/>
      <w:spacing w:val="-6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8030EC"/>
    <w:rPr>
      <w:rFonts w:asciiTheme="majorHAnsi" w:hAnsiTheme="majorHAnsi"/>
      <w:bCs/>
      <w:iCs/>
      <w:color w:val="2B3B5F"/>
      <w:kern w:val="20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030EC"/>
    <w:rPr>
      <w:b/>
      <w:color w:val="2B3B5F"/>
      <w:sz w:val="24"/>
    </w:rPr>
  </w:style>
  <w:style w:type="table" w:styleId="TableGrid">
    <w:name w:val="Table Grid"/>
    <w:basedOn w:val="TableNormal"/>
    <w:rsid w:val="00CF7D9A"/>
    <w:pPr>
      <w:spacing w:before="70" w:after="70" w:line="240" w:lineRule="auto"/>
      <w:ind w:left="57" w:right="57"/>
    </w:pPr>
    <w:rPr>
      <w:rFonts w:eastAsia="Times New Roman" w:cs="Times New Roman"/>
      <w:sz w:val="20"/>
      <w:lang w:eastAsia="en-AU"/>
    </w:rPr>
    <w:tblPr>
      <w:tblStyleRowBandSize w:val="1"/>
      <w:tblStyleColBandSize w:val="1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CellMar>
        <w:left w:w="0" w:type="dxa"/>
        <w:right w:w="0" w:type="dxa"/>
      </w:tblCellMar>
    </w:tblPr>
    <w:tcPr>
      <w:shd w:val="clear" w:color="auto" w:fill="auto"/>
    </w:tcPr>
    <w:tblStylePr w:type="firstRow">
      <w:pPr>
        <w:wordWrap/>
        <w:spacing w:beforeLines="0" w:before="70" w:beforeAutospacing="0" w:afterLines="0" w:after="70" w:afterAutospacing="0" w:line="260" w:lineRule="atLeast"/>
        <w:ind w:leftChars="0" w:left="113" w:rightChars="0" w:right="113"/>
        <w:jc w:val="right"/>
      </w:pPr>
      <w:rPr>
        <w:rFonts w:asciiTheme="minorHAnsi" w:hAnsiTheme="minorHAnsi"/>
        <w:b w:val="0"/>
        <w:i w:val="0"/>
        <w:color w:val="auto"/>
        <w:sz w:val="20"/>
      </w:rPr>
      <w:tblPr/>
      <w:tcPr>
        <w:shd w:val="clear" w:color="auto" w:fill="D7DDE9"/>
      </w:tcPr>
    </w:tblStylePr>
    <w:tblStylePr w:type="lastRow">
      <w:rPr>
        <w:rFonts w:ascii="Calibri" w:hAnsi="Calibri"/>
        <w:b/>
        <w:sz w:val="20"/>
      </w:rPr>
    </w:tblStylePr>
    <w:tblStylePr w:type="firstCol">
      <w:pPr>
        <w:wordWrap/>
        <w:ind w:leftChars="0" w:left="113" w:rightChars="0" w:right="113"/>
        <w:jc w:val="left"/>
      </w:pPr>
      <w:rPr>
        <w:rFonts w:ascii="Calibri" w:hAnsi="Calibri"/>
        <w:b w:val="0"/>
        <w:i w:val="0"/>
        <w:sz w:val="20"/>
      </w:rPr>
      <w:tblPr/>
      <w:tcPr>
        <w:vAlign w:val="center"/>
      </w:tcPr>
    </w:tblStylePr>
    <w:tblStylePr w:type="lastCol">
      <w:pPr>
        <w:wordWrap/>
        <w:jc w:val="right"/>
      </w:pPr>
      <w:rPr>
        <w:rFonts w:ascii="Calibri" w:hAnsi="Calibri"/>
        <w:sz w:val="20"/>
      </w:rPr>
      <w:tblPr/>
      <w:tcPr>
        <w:vAlign w:val="center"/>
      </w:tcPr>
    </w:tblStylePr>
    <w:tblStylePr w:type="band1Vert">
      <w:pPr>
        <w:jc w:val="right"/>
      </w:pPr>
      <w:rPr>
        <w:sz w:val="20"/>
      </w:rPr>
      <w:tblPr/>
      <w:tcPr>
        <w:vAlign w:val="center"/>
      </w:tcPr>
    </w:tblStylePr>
    <w:tblStylePr w:type="band2Vert">
      <w:pPr>
        <w:jc w:val="right"/>
      </w:pPr>
      <w:rPr>
        <w:rFonts w:ascii="Calibri" w:hAnsi="Calibri"/>
        <w:sz w:val="20"/>
      </w:rPr>
      <w:tblPr/>
      <w:tcPr>
        <w:vAlign w:val="center"/>
      </w:tcPr>
    </w:tblStylePr>
    <w:tblStylePr w:type="band1Horz">
      <w:tblPr/>
      <w:tcPr>
        <w:shd w:val="clear" w:color="auto" w:fill="FFFFFF" w:themeFill="background1"/>
      </w:tcPr>
    </w:tblStylePr>
    <w:tblStylePr w:type="nwCell">
      <w:pPr>
        <w:jc w:val="left"/>
      </w:pPr>
      <w:tblPr/>
      <w:tcPr>
        <w:vAlign w:val="top"/>
      </w:tcPr>
    </w:tblStylePr>
  </w:style>
  <w:style w:type="paragraph" w:customStyle="1" w:styleId="TableHeading">
    <w:name w:val="Table Heading"/>
    <w:basedOn w:val="Normal"/>
    <w:qFormat/>
    <w:rsid w:val="003B474B"/>
    <w:pPr>
      <w:keepNext/>
      <w:keepLines/>
      <w:spacing w:before="70" w:after="70" w:line="240" w:lineRule="auto"/>
      <w:ind w:left="57" w:right="57"/>
    </w:pPr>
    <w:rPr>
      <w:rFonts w:cs="Times New Roman"/>
      <w:b/>
      <w:sz w:val="20"/>
    </w:rPr>
  </w:style>
  <w:style w:type="paragraph" w:customStyle="1" w:styleId="TableHeadingCentred">
    <w:name w:val="Table Heading Centred"/>
    <w:basedOn w:val="TableTextRight"/>
    <w:qFormat/>
    <w:rsid w:val="003B474B"/>
    <w:pPr>
      <w:keepNext/>
      <w:keepLines/>
    </w:pPr>
    <w:rPr>
      <w:rFonts w:eastAsia="Times New Roman"/>
      <w:i w:val="0"/>
      <w:lang w:eastAsia="en-AU"/>
    </w:rPr>
  </w:style>
  <w:style w:type="paragraph" w:customStyle="1" w:styleId="TableText">
    <w:name w:val="Table Text"/>
    <w:basedOn w:val="Normal"/>
    <w:link w:val="TableTextChar"/>
    <w:qFormat/>
    <w:rsid w:val="003B474B"/>
    <w:pPr>
      <w:spacing w:before="70" w:after="70" w:line="240" w:lineRule="auto"/>
      <w:ind w:left="57" w:right="57"/>
    </w:pPr>
    <w:rPr>
      <w:rFonts w:cs="Times New Roman"/>
      <w:sz w:val="20"/>
    </w:rPr>
  </w:style>
  <w:style w:type="paragraph" w:customStyle="1" w:styleId="TableTextCentred">
    <w:name w:val="Table Text Centred"/>
    <w:basedOn w:val="TableText"/>
    <w:qFormat/>
    <w:rsid w:val="003B474B"/>
    <w:pPr>
      <w:jc w:val="center"/>
    </w:pPr>
    <w:rPr>
      <w:rFonts w:eastAsia="Times New Roman"/>
      <w:lang w:eastAsia="en-AU"/>
    </w:rPr>
  </w:style>
  <w:style w:type="paragraph" w:styleId="BodyText">
    <w:name w:val="Body Text"/>
    <w:basedOn w:val="Normal"/>
    <w:link w:val="BodyTextChar"/>
    <w:uiPriority w:val="99"/>
    <w:unhideWhenUsed/>
    <w:rsid w:val="008F588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F588A"/>
  </w:style>
  <w:style w:type="paragraph" w:styleId="Header">
    <w:name w:val="header"/>
    <w:basedOn w:val="Normal"/>
    <w:link w:val="HeaderChar"/>
    <w:uiPriority w:val="99"/>
    <w:unhideWhenUsed/>
    <w:rsid w:val="008F588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88A"/>
  </w:style>
  <w:style w:type="paragraph" w:styleId="Footer">
    <w:name w:val="footer"/>
    <w:basedOn w:val="Normal"/>
    <w:link w:val="FooterChar"/>
    <w:unhideWhenUsed/>
    <w:qFormat/>
    <w:rsid w:val="00C24267"/>
    <w:pPr>
      <w:tabs>
        <w:tab w:val="center" w:pos="4513"/>
        <w:tab w:val="right" w:pos="9026"/>
      </w:tabs>
      <w:spacing w:before="0" w:after="0" w:line="240" w:lineRule="auto"/>
      <w:jc w:val="right"/>
    </w:pPr>
    <w:rPr>
      <w:b/>
    </w:rPr>
  </w:style>
  <w:style w:type="character" w:customStyle="1" w:styleId="FooterChar">
    <w:name w:val="Footer Char"/>
    <w:basedOn w:val="DefaultParagraphFont"/>
    <w:link w:val="Footer"/>
    <w:rsid w:val="00C24267"/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58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88A"/>
    <w:rPr>
      <w:rFonts w:ascii="Tahoma" w:hAnsi="Tahoma" w:cs="Tahoma"/>
      <w:sz w:val="16"/>
      <w:szCs w:val="16"/>
    </w:rPr>
  </w:style>
  <w:style w:type="paragraph" w:customStyle="1" w:styleId="TableTextBullet">
    <w:name w:val="Table Text Bullet"/>
    <w:basedOn w:val="TableText"/>
    <w:link w:val="TableTextBulletChar"/>
    <w:rsid w:val="008F588A"/>
    <w:pPr>
      <w:numPr>
        <w:numId w:val="3"/>
      </w:numPr>
    </w:pPr>
  </w:style>
  <w:style w:type="paragraph" w:customStyle="1" w:styleId="TableTextBullet2">
    <w:name w:val="Table Text Bullet 2"/>
    <w:basedOn w:val="TableTextBullet"/>
    <w:link w:val="TableTextBullet2Char"/>
    <w:rsid w:val="00F52474"/>
    <w:pPr>
      <w:numPr>
        <w:ilvl w:val="1"/>
      </w:numPr>
      <w:spacing w:before="240" w:after="0"/>
      <w:ind w:left="681" w:right="0" w:hanging="284"/>
    </w:pPr>
    <w:rPr>
      <w:bCs/>
    </w:rPr>
  </w:style>
  <w:style w:type="paragraph" w:customStyle="1" w:styleId="TableTextBullet3">
    <w:name w:val="Table Text Bullet 3"/>
    <w:basedOn w:val="TableTextBullet2"/>
    <w:link w:val="TableTextBullet3Char"/>
    <w:rsid w:val="00F52474"/>
    <w:pPr>
      <w:numPr>
        <w:ilvl w:val="2"/>
      </w:numPr>
      <w:ind w:left="964" w:hanging="284"/>
    </w:pPr>
    <w:rPr>
      <w:bCs w:val="0"/>
    </w:rPr>
  </w:style>
  <w:style w:type="character" w:styleId="Hyperlink">
    <w:name w:val="Hyperlink"/>
    <w:basedOn w:val="DefaultParagraphFont"/>
    <w:uiPriority w:val="99"/>
    <w:unhideWhenUsed/>
    <w:rsid w:val="00CF6DB6"/>
    <w:rPr>
      <w:color w:val="0000FF" w:themeColor="hyperlink"/>
      <w:u w:val="single"/>
    </w:rPr>
  </w:style>
  <w:style w:type="paragraph" w:customStyle="1" w:styleId="TableTextBullet1">
    <w:name w:val="Table Text Bullet 1"/>
    <w:link w:val="TableTextBullet1Char"/>
    <w:rsid w:val="00F52474"/>
    <w:pPr>
      <w:numPr>
        <w:ilvl w:val="2"/>
        <w:numId w:val="5"/>
      </w:numPr>
      <w:spacing w:before="240" w:after="0" w:line="240" w:lineRule="auto"/>
      <w:ind w:left="397" w:hanging="284"/>
    </w:pPr>
    <w:rPr>
      <w:rFonts w:eastAsia="Times New Roman" w:cs="Times New Roman"/>
      <w:sz w:val="20"/>
      <w:lang w:eastAsia="en-AU"/>
    </w:rPr>
  </w:style>
  <w:style w:type="table" w:customStyle="1" w:styleId="Style1">
    <w:name w:val="Style1"/>
    <w:basedOn w:val="TableNormal"/>
    <w:uiPriority w:val="99"/>
    <w:rsid w:val="00BA2BBF"/>
    <w:pPr>
      <w:spacing w:before="114" w:after="114" w:line="240" w:lineRule="auto"/>
    </w:pPr>
    <w:tblPr>
      <w:tblBorders>
        <w:top w:val="single" w:sz="4" w:space="0" w:color="788182"/>
        <w:left w:val="single" w:sz="4" w:space="0" w:color="788182"/>
        <w:bottom w:val="single" w:sz="4" w:space="0" w:color="788182"/>
        <w:right w:val="single" w:sz="4" w:space="0" w:color="788182"/>
        <w:insideH w:val="single" w:sz="4" w:space="0" w:color="788182"/>
        <w:insideV w:val="single" w:sz="4" w:space="0" w:color="788182"/>
      </w:tblBorders>
    </w:tblPr>
    <w:tblStylePr w:type="firstRow">
      <w:rPr>
        <w:rFonts w:ascii="Calibri" w:hAnsi="Calibri"/>
        <w:b/>
        <w:sz w:val="20"/>
      </w:rPr>
      <w:tblPr/>
      <w:tcPr>
        <w:shd w:val="clear" w:color="auto" w:fill="D7DDE9"/>
      </w:tcPr>
    </w:tblStylePr>
  </w:style>
  <w:style w:type="paragraph" w:customStyle="1" w:styleId="Letterfooter">
    <w:name w:val="Letter footer"/>
    <w:basedOn w:val="Footer"/>
    <w:qFormat/>
    <w:rsid w:val="00C24267"/>
    <w:pPr>
      <w:spacing w:after="113"/>
      <w:ind w:right="-618" w:hanging="709"/>
      <w:jc w:val="center"/>
    </w:pPr>
    <w:rPr>
      <w:rFonts w:ascii="Arial" w:hAnsi="Arial" w:cs="Arial"/>
      <w:b w:val="0"/>
      <w:sz w:val="17"/>
      <w:szCs w:val="17"/>
    </w:rPr>
  </w:style>
  <w:style w:type="paragraph" w:customStyle="1" w:styleId="PBOheader">
    <w:name w:val="PBO header"/>
    <w:basedOn w:val="Header"/>
    <w:qFormat/>
    <w:rsid w:val="00DA1C8A"/>
    <w:pPr>
      <w:tabs>
        <w:tab w:val="clear" w:pos="4513"/>
        <w:tab w:val="clear" w:pos="9026"/>
      </w:tabs>
      <w:spacing w:before="1320"/>
      <w:ind w:left="6521"/>
    </w:pPr>
    <w:rPr>
      <w:rFonts w:ascii="Arial" w:hAnsi="Arial" w:cs="Arial"/>
      <w:b/>
      <w:sz w:val="18"/>
      <w:szCs w:val="18"/>
    </w:rPr>
  </w:style>
  <w:style w:type="paragraph" w:styleId="Caption">
    <w:name w:val="caption"/>
    <w:basedOn w:val="Normal"/>
    <w:next w:val="BodyText"/>
    <w:link w:val="CaptionChar"/>
    <w:rsid w:val="005E3562"/>
    <w:pPr>
      <w:keepNext/>
      <w:spacing w:before="340"/>
    </w:pPr>
    <w:rPr>
      <w:b/>
      <w:bCs/>
      <w:color w:val="1F497D" w:themeColor="text2"/>
      <w:spacing w:val="-4"/>
    </w:rPr>
  </w:style>
  <w:style w:type="paragraph" w:customStyle="1" w:styleId="Captionheading">
    <w:name w:val="Caption heading"/>
    <w:basedOn w:val="Caption"/>
    <w:link w:val="CaptionheadingChar"/>
    <w:qFormat/>
    <w:rsid w:val="00507897"/>
  </w:style>
  <w:style w:type="paragraph" w:styleId="ListParagraph">
    <w:name w:val="List Paragraph"/>
    <w:basedOn w:val="Normal"/>
    <w:link w:val="ListParagraphChar"/>
    <w:uiPriority w:val="34"/>
    <w:rsid w:val="005E3562"/>
    <w:pPr>
      <w:ind w:left="720"/>
      <w:contextualSpacing/>
    </w:pPr>
  </w:style>
  <w:style w:type="character" w:customStyle="1" w:styleId="CaptionChar">
    <w:name w:val="Caption Char"/>
    <w:basedOn w:val="DefaultParagraphFont"/>
    <w:link w:val="Caption"/>
    <w:rsid w:val="005E3562"/>
    <w:rPr>
      <w:b/>
      <w:bCs/>
      <w:color w:val="1F497D" w:themeColor="text2"/>
      <w:spacing w:val="-4"/>
    </w:rPr>
  </w:style>
  <w:style w:type="character" w:customStyle="1" w:styleId="CaptionheadingChar">
    <w:name w:val="Caption heading Char"/>
    <w:basedOn w:val="CaptionChar"/>
    <w:link w:val="Captionheading"/>
    <w:rsid w:val="00507897"/>
    <w:rPr>
      <w:b/>
      <w:bCs/>
      <w:color w:val="1F497D" w:themeColor="text2"/>
      <w:spacing w:val="-4"/>
    </w:rPr>
  </w:style>
  <w:style w:type="paragraph" w:customStyle="1" w:styleId="Bullet1">
    <w:name w:val="Bullet 1"/>
    <w:basedOn w:val="ListBullet"/>
    <w:link w:val="Bullet1Char"/>
    <w:qFormat/>
    <w:rsid w:val="00E32493"/>
    <w:rPr>
      <w:rFonts w:eastAsia="Times New Roman" w:cs="Times New Roman"/>
      <w:spacing w:val="0"/>
      <w:lang w:eastAsia="en-AU"/>
    </w:rPr>
  </w:style>
  <w:style w:type="paragraph" w:customStyle="1" w:styleId="Bullet2">
    <w:name w:val="Bullet 2"/>
    <w:basedOn w:val="ListBullet2"/>
    <w:link w:val="Bullet2Char"/>
    <w:qFormat/>
    <w:rsid w:val="009E1B99"/>
    <w:pPr>
      <w:ind w:left="908" w:hanging="454"/>
    </w:pPr>
    <w:rPr>
      <w:rFonts w:eastAsia="Times New Roman" w:cs="Times New Roman"/>
      <w:spacing w:val="0"/>
      <w:lang w:eastAsia="en-AU"/>
    </w:rPr>
  </w:style>
  <w:style w:type="character" w:customStyle="1" w:styleId="TableTextBullet1Char">
    <w:name w:val="Table Text Bullet 1 Char"/>
    <w:basedOn w:val="DefaultParagraphFont"/>
    <w:link w:val="TableTextBullet1"/>
    <w:rsid w:val="00F52474"/>
    <w:rPr>
      <w:rFonts w:eastAsia="Times New Roman" w:cs="Times New Roman"/>
      <w:sz w:val="20"/>
      <w:lang w:eastAsia="en-AU"/>
    </w:rPr>
  </w:style>
  <w:style w:type="character" w:customStyle="1" w:styleId="Bullet1Char">
    <w:name w:val="Bullet 1 Char"/>
    <w:basedOn w:val="TableTextBullet1Char"/>
    <w:link w:val="Bullet1"/>
    <w:rsid w:val="00E32493"/>
    <w:rPr>
      <w:rFonts w:eastAsia="Times New Roman" w:cs="Times New Roman"/>
      <w:sz w:val="20"/>
      <w:lang w:eastAsia="en-AU"/>
    </w:rPr>
  </w:style>
  <w:style w:type="paragraph" w:customStyle="1" w:styleId="Bullet3">
    <w:name w:val="Bullet 3"/>
    <w:basedOn w:val="TableTextBullet3"/>
    <w:link w:val="Bullet3Char"/>
    <w:qFormat/>
    <w:rsid w:val="00461597"/>
    <w:pPr>
      <w:spacing w:before="0" w:after="113" w:line="300" w:lineRule="atLeast"/>
      <w:ind w:left="1361" w:hanging="454"/>
    </w:pPr>
    <w:rPr>
      <w:sz w:val="22"/>
    </w:rPr>
  </w:style>
  <w:style w:type="character" w:customStyle="1" w:styleId="TableTextChar">
    <w:name w:val="Table Text Char"/>
    <w:basedOn w:val="DefaultParagraphFont"/>
    <w:link w:val="TableText"/>
    <w:rsid w:val="003B474B"/>
    <w:rPr>
      <w:rFonts w:cs="Times New Roman"/>
      <w:sz w:val="20"/>
    </w:rPr>
  </w:style>
  <w:style w:type="character" w:customStyle="1" w:styleId="TableTextBulletChar">
    <w:name w:val="Table Text Bullet Char"/>
    <w:basedOn w:val="TableTextChar"/>
    <w:link w:val="TableTextBullet"/>
    <w:rsid w:val="001A02D1"/>
    <w:rPr>
      <w:rFonts w:cs="Times New Roman"/>
      <w:sz w:val="20"/>
    </w:rPr>
  </w:style>
  <w:style w:type="character" w:customStyle="1" w:styleId="TableTextBullet2Char">
    <w:name w:val="Table Text Bullet 2 Char"/>
    <w:basedOn w:val="TableTextBulletChar"/>
    <w:link w:val="TableTextBullet2"/>
    <w:rsid w:val="00F52474"/>
    <w:rPr>
      <w:rFonts w:cs="Times New Roman"/>
      <w:bCs/>
      <w:sz w:val="20"/>
    </w:rPr>
  </w:style>
  <w:style w:type="character" w:customStyle="1" w:styleId="Bullet2Char">
    <w:name w:val="Bullet 2 Char"/>
    <w:basedOn w:val="TableTextBullet2Char"/>
    <w:link w:val="Bullet2"/>
    <w:rsid w:val="009E1B99"/>
    <w:rPr>
      <w:rFonts w:eastAsia="Times New Roman" w:cs="Times New Roman"/>
      <w:bCs w:val="0"/>
      <w:sz w:val="20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1A02D1"/>
    <w:rPr>
      <w:i/>
      <w:color w:val="2B3B5F"/>
      <w:sz w:val="24"/>
      <w:szCs w:val="24"/>
    </w:rPr>
  </w:style>
  <w:style w:type="character" w:customStyle="1" w:styleId="TableTextBullet3Char">
    <w:name w:val="Table Text Bullet 3 Char"/>
    <w:basedOn w:val="TableTextBullet2Char"/>
    <w:link w:val="TableTextBullet3"/>
    <w:rsid w:val="00F52474"/>
    <w:rPr>
      <w:rFonts w:cs="Times New Roman"/>
      <w:bCs w:val="0"/>
      <w:sz w:val="20"/>
    </w:rPr>
  </w:style>
  <w:style w:type="character" w:customStyle="1" w:styleId="Bullet3Char">
    <w:name w:val="Bullet 3 Char"/>
    <w:basedOn w:val="TableTextBullet3Char"/>
    <w:link w:val="Bullet3"/>
    <w:rsid w:val="00461597"/>
    <w:rPr>
      <w:rFonts w:cs="Times New Roman"/>
      <w:bCs w:val="0"/>
      <w:sz w:val="20"/>
    </w:rPr>
  </w:style>
  <w:style w:type="paragraph" w:customStyle="1" w:styleId="Footnotes">
    <w:name w:val="Footnotes"/>
    <w:basedOn w:val="ListParagraph"/>
    <w:link w:val="FootnotesChar"/>
    <w:qFormat/>
    <w:rsid w:val="001278D0"/>
    <w:pPr>
      <w:numPr>
        <w:numId w:val="6"/>
      </w:numPr>
      <w:spacing w:before="113" w:after="0" w:line="260" w:lineRule="atLeast"/>
      <w:ind w:left="284" w:hanging="284"/>
      <w:contextualSpacing w:val="0"/>
    </w:pPr>
    <w:rPr>
      <w:sz w:val="20"/>
      <w:szCs w:val="20"/>
    </w:rPr>
  </w:style>
  <w:style w:type="paragraph" w:customStyle="1" w:styleId="Footnoteheading">
    <w:name w:val="Footnote heading"/>
    <w:basedOn w:val="Normal"/>
    <w:link w:val="FootnoteheadingChar"/>
    <w:rsid w:val="00C17112"/>
    <w:pPr>
      <w:spacing w:before="113" w:after="113"/>
    </w:pPr>
    <w:rPr>
      <w:b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A5D42"/>
  </w:style>
  <w:style w:type="character" w:customStyle="1" w:styleId="FootnotesChar">
    <w:name w:val="Footnotes Char"/>
    <w:basedOn w:val="ListParagraphChar"/>
    <w:link w:val="Footnotes"/>
    <w:rsid w:val="001278D0"/>
    <w:rPr>
      <w:sz w:val="20"/>
      <w:szCs w:val="20"/>
    </w:rPr>
  </w:style>
  <w:style w:type="character" w:customStyle="1" w:styleId="FootnoteheadingChar">
    <w:name w:val="Footnote heading Char"/>
    <w:basedOn w:val="DefaultParagraphFont"/>
    <w:link w:val="Footnoteheading"/>
    <w:rsid w:val="00C17112"/>
    <w:rPr>
      <w:b/>
      <w:sz w:val="20"/>
      <w:szCs w:val="20"/>
    </w:rPr>
  </w:style>
  <w:style w:type="paragraph" w:customStyle="1" w:styleId="Lettertext">
    <w:name w:val="Letter text"/>
    <w:basedOn w:val="Normal"/>
    <w:qFormat/>
    <w:rsid w:val="00C17112"/>
    <w:pPr>
      <w:spacing w:before="240"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ListBullet">
    <w:name w:val="List Bullet"/>
    <w:basedOn w:val="Normal"/>
    <w:unhideWhenUsed/>
    <w:rsid w:val="00C17112"/>
    <w:pPr>
      <w:keepLines/>
      <w:numPr>
        <w:numId w:val="11"/>
      </w:numPr>
      <w:spacing w:before="0" w:after="113"/>
    </w:pPr>
    <w:rPr>
      <w:spacing w:val="-1"/>
    </w:rPr>
  </w:style>
  <w:style w:type="paragraph" w:styleId="ListBullet2">
    <w:name w:val="List Bullet 2"/>
    <w:basedOn w:val="ListBullet"/>
    <w:unhideWhenUsed/>
    <w:rsid w:val="00C17112"/>
    <w:pPr>
      <w:numPr>
        <w:numId w:val="0"/>
      </w:numPr>
    </w:pPr>
  </w:style>
  <w:style w:type="paragraph" w:styleId="ListBullet3">
    <w:name w:val="List Bullet 3"/>
    <w:basedOn w:val="ListBullet2"/>
    <w:unhideWhenUsed/>
    <w:rsid w:val="00C17112"/>
    <w:pPr>
      <w:numPr>
        <w:ilvl w:val="2"/>
        <w:numId w:val="11"/>
      </w:numPr>
    </w:pPr>
  </w:style>
  <w:style w:type="paragraph" w:customStyle="1" w:styleId="TableTextRight">
    <w:name w:val="Table Text Right"/>
    <w:basedOn w:val="TableText"/>
    <w:qFormat/>
    <w:rsid w:val="003B474B"/>
    <w:pPr>
      <w:jc w:val="right"/>
    </w:pPr>
    <w:rPr>
      <w:i/>
    </w:rPr>
  </w:style>
  <w:style w:type="character" w:styleId="CommentReference">
    <w:name w:val="annotation reference"/>
    <w:basedOn w:val="DefaultParagraphFont"/>
    <w:uiPriority w:val="99"/>
    <w:semiHidden/>
    <w:unhideWhenUsed/>
    <w:rsid w:val="00BF52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52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52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52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526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F526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0" w:qFormat="1"/>
    <w:lsdException w:name="List Bullet" w:uiPriority="0"/>
    <w:lsdException w:name="List Bullet 2" w:uiPriority="0"/>
    <w:lsdException w:name="List Bullet 3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C17112"/>
    <w:pPr>
      <w:spacing w:before="114" w:after="114" w:line="300" w:lineRule="atLeast"/>
    </w:pPr>
  </w:style>
  <w:style w:type="paragraph" w:styleId="Heading1">
    <w:name w:val="heading 1"/>
    <w:basedOn w:val="Normal"/>
    <w:next w:val="BodyText"/>
    <w:link w:val="Heading1Char"/>
    <w:qFormat/>
    <w:rsid w:val="00BC559C"/>
    <w:pPr>
      <w:keepNext/>
      <w:keepLines/>
      <w:numPr>
        <w:numId w:val="1"/>
      </w:numPr>
      <w:tabs>
        <w:tab w:val="right" w:pos="1418"/>
        <w:tab w:val="right" w:pos="1701"/>
        <w:tab w:val="right" w:pos="1985"/>
      </w:tabs>
      <w:spacing w:before="480" w:after="340" w:line="240" w:lineRule="auto"/>
      <w:outlineLvl w:val="0"/>
    </w:pPr>
    <w:rPr>
      <w:rFonts w:ascii="Georgia" w:hAnsi="Georgia"/>
      <w:bCs/>
      <w:color w:val="2B3B5F"/>
      <w:spacing w:val="-6"/>
      <w:kern w:val="32"/>
      <w:sz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8030EC"/>
    <w:pPr>
      <w:keepNext/>
      <w:keepLines/>
      <w:numPr>
        <w:ilvl w:val="1"/>
        <w:numId w:val="1"/>
      </w:numPr>
      <w:tabs>
        <w:tab w:val="left" w:pos="1418"/>
        <w:tab w:val="left" w:pos="1701"/>
        <w:tab w:val="left" w:pos="1985"/>
      </w:tabs>
      <w:spacing w:before="470" w:after="227"/>
      <w:outlineLvl w:val="1"/>
    </w:pPr>
    <w:rPr>
      <w:rFonts w:asciiTheme="majorHAnsi" w:hAnsiTheme="majorHAnsi"/>
      <w:bCs/>
      <w:iCs/>
      <w:color w:val="2B3B5F"/>
      <w:kern w:val="20"/>
      <w:sz w:val="28"/>
      <w:szCs w:val="28"/>
    </w:rPr>
  </w:style>
  <w:style w:type="paragraph" w:styleId="Heading3">
    <w:name w:val="heading 3"/>
    <w:basedOn w:val="Normal"/>
    <w:next w:val="BodyText"/>
    <w:link w:val="Heading3Char"/>
    <w:qFormat/>
    <w:rsid w:val="008030EC"/>
    <w:pPr>
      <w:keepNext/>
      <w:keepLines/>
      <w:numPr>
        <w:ilvl w:val="2"/>
        <w:numId w:val="1"/>
      </w:numPr>
      <w:tabs>
        <w:tab w:val="left" w:pos="1418"/>
        <w:tab w:val="left" w:pos="1701"/>
        <w:tab w:val="left" w:pos="1985"/>
      </w:tabs>
      <w:spacing w:before="470" w:after="227"/>
      <w:outlineLvl w:val="2"/>
    </w:pPr>
    <w:rPr>
      <w:b/>
      <w:color w:val="2B3B5F"/>
      <w:sz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1A02D1"/>
    <w:pPr>
      <w:spacing w:before="360"/>
      <w:outlineLvl w:val="3"/>
    </w:pPr>
    <w:rPr>
      <w:b w:val="0"/>
      <w:i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C559C"/>
    <w:rPr>
      <w:rFonts w:ascii="Georgia" w:hAnsi="Georgia"/>
      <w:bCs/>
      <w:color w:val="2B3B5F"/>
      <w:spacing w:val="-6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8030EC"/>
    <w:rPr>
      <w:rFonts w:asciiTheme="majorHAnsi" w:hAnsiTheme="majorHAnsi"/>
      <w:bCs/>
      <w:iCs/>
      <w:color w:val="2B3B5F"/>
      <w:kern w:val="20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030EC"/>
    <w:rPr>
      <w:b/>
      <w:color w:val="2B3B5F"/>
      <w:sz w:val="24"/>
    </w:rPr>
  </w:style>
  <w:style w:type="table" w:styleId="TableGrid">
    <w:name w:val="Table Grid"/>
    <w:basedOn w:val="TableNormal"/>
    <w:rsid w:val="00CF7D9A"/>
    <w:pPr>
      <w:spacing w:before="70" w:after="70" w:line="240" w:lineRule="auto"/>
      <w:ind w:left="57" w:right="57"/>
    </w:pPr>
    <w:rPr>
      <w:rFonts w:eastAsia="Times New Roman" w:cs="Times New Roman"/>
      <w:sz w:val="20"/>
      <w:lang w:eastAsia="en-AU"/>
    </w:rPr>
    <w:tblPr>
      <w:tblStyleRowBandSize w:val="1"/>
      <w:tblStyleColBandSize w:val="1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CellMar>
        <w:left w:w="0" w:type="dxa"/>
        <w:right w:w="0" w:type="dxa"/>
      </w:tblCellMar>
    </w:tblPr>
    <w:tcPr>
      <w:shd w:val="clear" w:color="auto" w:fill="auto"/>
    </w:tcPr>
    <w:tblStylePr w:type="firstRow">
      <w:pPr>
        <w:wordWrap/>
        <w:spacing w:beforeLines="0" w:before="70" w:beforeAutospacing="0" w:afterLines="0" w:after="70" w:afterAutospacing="0" w:line="260" w:lineRule="atLeast"/>
        <w:ind w:leftChars="0" w:left="113" w:rightChars="0" w:right="113"/>
        <w:jc w:val="right"/>
      </w:pPr>
      <w:rPr>
        <w:rFonts w:asciiTheme="minorHAnsi" w:hAnsiTheme="minorHAnsi"/>
        <w:b w:val="0"/>
        <w:i w:val="0"/>
        <w:color w:val="auto"/>
        <w:sz w:val="20"/>
      </w:rPr>
      <w:tblPr/>
      <w:tcPr>
        <w:shd w:val="clear" w:color="auto" w:fill="D7DDE9"/>
      </w:tcPr>
    </w:tblStylePr>
    <w:tblStylePr w:type="lastRow">
      <w:rPr>
        <w:rFonts w:ascii="Calibri" w:hAnsi="Calibri"/>
        <w:b/>
        <w:sz w:val="20"/>
      </w:rPr>
    </w:tblStylePr>
    <w:tblStylePr w:type="firstCol">
      <w:pPr>
        <w:wordWrap/>
        <w:ind w:leftChars="0" w:left="113" w:rightChars="0" w:right="113"/>
        <w:jc w:val="left"/>
      </w:pPr>
      <w:rPr>
        <w:rFonts w:ascii="Calibri" w:hAnsi="Calibri"/>
        <w:b w:val="0"/>
        <w:i w:val="0"/>
        <w:sz w:val="20"/>
      </w:rPr>
      <w:tblPr/>
      <w:tcPr>
        <w:vAlign w:val="center"/>
      </w:tcPr>
    </w:tblStylePr>
    <w:tblStylePr w:type="lastCol">
      <w:pPr>
        <w:wordWrap/>
        <w:jc w:val="right"/>
      </w:pPr>
      <w:rPr>
        <w:rFonts w:ascii="Calibri" w:hAnsi="Calibri"/>
        <w:sz w:val="20"/>
      </w:rPr>
      <w:tblPr/>
      <w:tcPr>
        <w:vAlign w:val="center"/>
      </w:tcPr>
    </w:tblStylePr>
    <w:tblStylePr w:type="band1Vert">
      <w:pPr>
        <w:jc w:val="right"/>
      </w:pPr>
      <w:rPr>
        <w:sz w:val="20"/>
      </w:rPr>
      <w:tblPr/>
      <w:tcPr>
        <w:vAlign w:val="center"/>
      </w:tcPr>
    </w:tblStylePr>
    <w:tblStylePr w:type="band2Vert">
      <w:pPr>
        <w:jc w:val="right"/>
      </w:pPr>
      <w:rPr>
        <w:rFonts w:ascii="Calibri" w:hAnsi="Calibri"/>
        <w:sz w:val="20"/>
      </w:rPr>
      <w:tblPr/>
      <w:tcPr>
        <w:vAlign w:val="center"/>
      </w:tcPr>
    </w:tblStylePr>
    <w:tblStylePr w:type="band1Horz">
      <w:tblPr/>
      <w:tcPr>
        <w:shd w:val="clear" w:color="auto" w:fill="FFFFFF" w:themeFill="background1"/>
      </w:tcPr>
    </w:tblStylePr>
    <w:tblStylePr w:type="nwCell">
      <w:pPr>
        <w:jc w:val="left"/>
      </w:pPr>
      <w:tblPr/>
      <w:tcPr>
        <w:vAlign w:val="top"/>
      </w:tcPr>
    </w:tblStylePr>
  </w:style>
  <w:style w:type="paragraph" w:customStyle="1" w:styleId="TableHeading">
    <w:name w:val="Table Heading"/>
    <w:basedOn w:val="Normal"/>
    <w:qFormat/>
    <w:rsid w:val="003B474B"/>
    <w:pPr>
      <w:keepNext/>
      <w:keepLines/>
      <w:spacing w:before="70" w:after="70" w:line="240" w:lineRule="auto"/>
      <w:ind w:left="57" w:right="57"/>
    </w:pPr>
    <w:rPr>
      <w:rFonts w:cs="Times New Roman"/>
      <w:b/>
      <w:sz w:val="20"/>
    </w:rPr>
  </w:style>
  <w:style w:type="paragraph" w:customStyle="1" w:styleId="TableHeadingCentred">
    <w:name w:val="Table Heading Centred"/>
    <w:basedOn w:val="TableTextRight"/>
    <w:qFormat/>
    <w:rsid w:val="003B474B"/>
    <w:pPr>
      <w:keepNext/>
      <w:keepLines/>
    </w:pPr>
    <w:rPr>
      <w:rFonts w:eastAsia="Times New Roman"/>
      <w:i w:val="0"/>
      <w:lang w:eastAsia="en-AU"/>
    </w:rPr>
  </w:style>
  <w:style w:type="paragraph" w:customStyle="1" w:styleId="TableText">
    <w:name w:val="Table Text"/>
    <w:basedOn w:val="Normal"/>
    <w:link w:val="TableTextChar"/>
    <w:qFormat/>
    <w:rsid w:val="003B474B"/>
    <w:pPr>
      <w:spacing w:before="70" w:after="70" w:line="240" w:lineRule="auto"/>
      <w:ind w:left="57" w:right="57"/>
    </w:pPr>
    <w:rPr>
      <w:rFonts w:cs="Times New Roman"/>
      <w:sz w:val="20"/>
    </w:rPr>
  </w:style>
  <w:style w:type="paragraph" w:customStyle="1" w:styleId="TableTextCentred">
    <w:name w:val="Table Text Centred"/>
    <w:basedOn w:val="TableText"/>
    <w:qFormat/>
    <w:rsid w:val="003B474B"/>
    <w:pPr>
      <w:jc w:val="center"/>
    </w:pPr>
    <w:rPr>
      <w:rFonts w:eastAsia="Times New Roman"/>
      <w:lang w:eastAsia="en-AU"/>
    </w:rPr>
  </w:style>
  <w:style w:type="paragraph" w:styleId="BodyText">
    <w:name w:val="Body Text"/>
    <w:basedOn w:val="Normal"/>
    <w:link w:val="BodyTextChar"/>
    <w:uiPriority w:val="99"/>
    <w:unhideWhenUsed/>
    <w:rsid w:val="008F588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F588A"/>
  </w:style>
  <w:style w:type="paragraph" w:styleId="Header">
    <w:name w:val="header"/>
    <w:basedOn w:val="Normal"/>
    <w:link w:val="HeaderChar"/>
    <w:uiPriority w:val="99"/>
    <w:unhideWhenUsed/>
    <w:rsid w:val="008F588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88A"/>
  </w:style>
  <w:style w:type="paragraph" w:styleId="Footer">
    <w:name w:val="footer"/>
    <w:basedOn w:val="Normal"/>
    <w:link w:val="FooterChar"/>
    <w:unhideWhenUsed/>
    <w:qFormat/>
    <w:rsid w:val="00C24267"/>
    <w:pPr>
      <w:tabs>
        <w:tab w:val="center" w:pos="4513"/>
        <w:tab w:val="right" w:pos="9026"/>
      </w:tabs>
      <w:spacing w:before="0" w:after="0" w:line="240" w:lineRule="auto"/>
      <w:jc w:val="right"/>
    </w:pPr>
    <w:rPr>
      <w:b/>
    </w:rPr>
  </w:style>
  <w:style w:type="character" w:customStyle="1" w:styleId="FooterChar">
    <w:name w:val="Footer Char"/>
    <w:basedOn w:val="DefaultParagraphFont"/>
    <w:link w:val="Footer"/>
    <w:rsid w:val="00C24267"/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58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88A"/>
    <w:rPr>
      <w:rFonts w:ascii="Tahoma" w:hAnsi="Tahoma" w:cs="Tahoma"/>
      <w:sz w:val="16"/>
      <w:szCs w:val="16"/>
    </w:rPr>
  </w:style>
  <w:style w:type="paragraph" w:customStyle="1" w:styleId="TableTextBullet">
    <w:name w:val="Table Text Bullet"/>
    <w:basedOn w:val="TableText"/>
    <w:link w:val="TableTextBulletChar"/>
    <w:rsid w:val="008F588A"/>
    <w:pPr>
      <w:numPr>
        <w:numId w:val="3"/>
      </w:numPr>
    </w:pPr>
  </w:style>
  <w:style w:type="paragraph" w:customStyle="1" w:styleId="TableTextBullet2">
    <w:name w:val="Table Text Bullet 2"/>
    <w:basedOn w:val="TableTextBullet"/>
    <w:link w:val="TableTextBullet2Char"/>
    <w:rsid w:val="00F52474"/>
    <w:pPr>
      <w:numPr>
        <w:ilvl w:val="1"/>
      </w:numPr>
      <w:spacing w:before="240" w:after="0"/>
      <w:ind w:left="681" w:right="0" w:hanging="284"/>
    </w:pPr>
    <w:rPr>
      <w:bCs/>
    </w:rPr>
  </w:style>
  <w:style w:type="paragraph" w:customStyle="1" w:styleId="TableTextBullet3">
    <w:name w:val="Table Text Bullet 3"/>
    <w:basedOn w:val="TableTextBullet2"/>
    <w:link w:val="TableTextBullet3Char"/>
    <w:rsid w:val="00F52474"/>
    <w:pPr>
      <w:numPr>
        <w:ilvl w:val="2"/>
      </w:numPr>
      <w:ind w:left="964" w:hanging="284"/>
    </w:pPr>
    <w:rPr>
      <w:bCs w:val="0"/>
    </w:rPr>
  </w:style>
  <w:style w:type="character" w:styleId="Hyperlink">
    <w:name w:val="Hyperlink"/>
    <w:basedOn w:val="DefaultParagraphFont"/>
    <w:uiPriority w:val="99"/>
    <w:unhideWhenUsed/>
    <w:rsid w:val="00CF6DB6"/>
    <w:rPr>
      <w:color w:val="0000FF" w:themeColor="hyperlink"/>
      <w:u w:val="single"/>
    </w:rPr>
  </w:style>
  <w:style w:type="paragraph" w:customStyle="1" w:styleId="TableTextBullet1">
    <w:name w:val="Table Text Bullet 1"/>
    <w:link w:val="TableTextBullet1Char"/>
    <w:rsid w:val="00F52474"/>
    <w:pPr>
      <w:numPr>
        <w:ilvl w:val="2"/>
        <w:numId w:val="5"/>
      </w:numPr>
      <w:spacing w:before="240" w:after="0" w:line="240" w:lineRule="auto"/>
      <w:ind w:left="397" w:hanging="284"/>
    </w:pPr>
    <w:rPr>
      <w:rFonts w:eastAsia="Times New Roman" w:cs="Times New Roman"/>
      <w:sz w:val="20"/>
      <w:lang w:eastAsia="en-AU"/>
    </w:rPr>
  </w:style>
  <w:style w:type="table" w:customStyle="1" w:styleId="Style1">
    <w:name w:val="Style1"/>
    <w:basedOn w:val="TableNormal"/>
    <w:uiPriority w:val="99"/>
    <w:rsid w:val="00BA2BBF"/>
    <w:pPr>
      <w:spacing w:before="114" w:after="114" w:line="240" w:lineRule="auto"/>
    </w:pPr>
    <w:tblPr>
      <w:tblBorders>
        <w:top w:val="single" w:sz="4" w:space="0" w:color="788182"/>
        <w:left w:val="single" w:sz="4" w:space="0" w:color="788182"/>
        <w:bottom w:val="single" w:sz="4" w:space="0" w:color="788182"/>
        <w:right w:val="single" w:sz="4" w:space="0" w:color="788182"/>
        <w:insideH w:val="single" w:sz="4" w:space="0" w:color="788182"/>
        <w:insideV w:val="single" w:sz="4" w:space="0" w:color="788182"/>
      </w:tblBorders>
    </w:tblPr>
    <w:tblStylePr w:type="firstRow">
      <w:rPr>
        <w:rFonts w:ascii="Calibri" w:hAnsi="Calibri"/>
        <w:b/>
        <w:sz w:val="20"/>
      </w:rPr>
      <w:tblPr/>
      <w:tcPr>
        <w:shd w:val="clear" w:color="auto" w:fill="D7DDE9"/>
      </w:tcPr>
    </w:tblStylePr>
  </w:style>
  <w:style w:type="paragraph" w:customStyle="1" w:styleId="Letterfooter">
    <w:name w:val="Letter footer"/>
    <w:basedOn w:val="Footer"/>
    <w:qFormat/>
    <w:rsid w:val="00C24267"/>
    <w:pPr>
      <w:spacing w:after="113"/>
      <w:ind w:right="-618" w:hanging="709"/>
      <w:jc w:val="center"/>
    </w:pPr>
    <w:rPr>
      <w:rFonts w:ascii="Arial" w:hAnsi="Arial" w:cs="Arial"/>
      <w:b w:val="0"/>
      <w:sz w:val="17"/>
      <w:szCs w:val="17"/>
    </w:rPr>
  </w:style>
  <w:style w:type="paragraph" w:customStyle="1" w:styleId="PBOheader">
    <w:name w:val="PBO header"/>
    <w:basedOn w:val="Header"/>
    <w:qFormat/>
    <w:rsid w:val="00DA1C8A"/>
    <w:pPr>
      <w:tabs>
        <w:tab w:val="clear" w:pos="4513"/>
        <w:tab w:val="clear" w:pos="9026"/>
      </w:tabs>
      <w:spacing w:before="1320"/>
      <w:ind w:left="6521"/>
    </w:pPr>
    <w:rPr>
      <w:rFonts w:ascii="Arial" w:hAnsi="Arial" w:cs="Arial"/>
      <w:b/>
      <w:sz w:val="18"/>
      <w:szCs w:val="18"/>
    </w:rPr>
  </w:style>
  <w:style w:type="paragraph" w:styleId="Caption">
    <w:name w:val="caption"/>
    <w:basedOn w:val="Normal"/>
    <w:next w:val="BodyText"/>
    <w:link w:val="CaptionChar"/>
    <w:rsid w:val="005E3562"/>
    <w:pPr>
      <w:keepNext/>
      <w:spacing w:before="340"/>
    </w:pPr>
    <w:rPr>
      <w:b/>
      <w:bCs/>
      <w:color w:val="1F497D" w:themeColor="text2"/>
      <w:spacing w:val="-4"/>
    </w:rPr>
  </w:style>
  <w:style w:type="paragraph" w:customStyle="1" w:styleId="Captionheading">
    <w:name w:val="Caption heading"/>
    <w:basedOn w:val="Caption"/>
    <w:link w:val="CaptionheadingChar"/>
    <w:qFormat/>
    <w:rsid w:val="00507897"/>
  </w:style>
  <w:style w:type="paragraph" w:styleId="ListParagraph">
    <w:name w:val="List Paragraph"/>
    <w:basedOn w:val="Normal"/>
    <w:link w:val="ListParagraphChar"/>
    <w:uiPriority w:val="34"/>
    <w:rsid w:val="005E3562"/>
    <w:pPr>
      <w:ind w:left="720"/>
      <w:contextualSpacing/>
    </w:pPr>
  </w:style>
  <w:style w:type="character" w:customStyle="1" w:styleId="CaptionChar">
    <w:name w:val="Caption Char"/>
    <w:basedOn w:val="DefaultParagraphFont"/>
    <w:link w:val="Caption"/>
    <w:rsid w:val="005E3562"/>
    <w:rPr>
      <w:b/>
      <w:bCs/>
      <w:color w:val="1F497D" w:themeColor="text2"/>
      <w:spacing w:val="-4"/>
    </w:rPr>
  </w:style>
  <w:style w:type="character" w:customStyle="1" w:styleId="CaptionheadingChar">
    <w:name w:val="Caption heading Char"/>
    <w:basedOn w:val="CaptionChar"/>
    <w:link w:val="Captionheading"/>
    <w:rsid w:val="00507897"/>
    <w:rPr>
      <w:b/>
      <w:bCs/>
      <w:color w:val="1F497D" w:themeColor="text2"/>
      <w:spacing w:val="-4"/>
    </w:rPr>
  </w:style>
  <w:style w:type="paragraph" w:customStyle="1" w:styleId="Bullet1">
    <w:name w:val="Bullet 1"/>
    <w:basedOn w:val="ListBullet"/>
    <w:link w:val="Bullet1Char"/>
    <w:qFormat/>
    <w:rsid w:val="00E32493"/>
    <w:rPr>
      <w:rFonts w:eastAsia="Times New Roman" w:cs="Times New Roman"/>
      <w:spacing w:val="0"/>
      <w:lang w:eastAsia="en-AU"/>
    </w:rPr>
  </w:style>
  <w:style w:type="paragraph" w:customStyle="1" w:styleId="Bullet2">
    <w:name w:val="Bullet 2"/>
    <w:basedOn w:val="ListBullet2"/>
    <w:link w:val="Bullet2Char"/>
    <w:qFormat/>
    <w:rsid w:val="009E1B99"/>
    <w:pPr>
      <w:ind w:left="908" w:hanging="454"/>
    </w:pPr>
    <w:rPr>
      <w:rFonts w:eastAsia="Times New Roman" w:cs="Times New Roman"/>
      <w:spacing w:val="0"/>
      <w:lang w:eastAsia="en-AU"/>
    </w:rPr>
  </w:style>
  <w:style w:type="character" w:customStyle="1" w:styleId="TableTextBullet1Char">
    <w:name w:val="Table Text Bullet 1 Char"/>
    <w:basedOn w:val="DefaultParagraphFont"/>
    <w:link w:val="TableTextBullet1"/>
    <w:rsid w:val="00F52474"/>
    <w:rPr>
      <w:rFonts w:eastAsia="Times New Roman" w:cs="Times New Roman"/>
      <w:sz w:val="20"/>
      <w:lang w:eastAsia="en-AU"/>
    </w:rPr>
  </w:style>
  <w:style w:type="character" w:customStyle="1" w:styleId="Bullet1Char">
    <w:name w:val="Bullet 1 Char"/>
    <w:basedOn w:val="TableTextBullet1Char"/>
    <w:link w:val="Bullet1"/>
    <w:rsid w:val="00E32493"/>
    <w:rPr>
      <w:rFonts w:eastAsia="Times New Roman" w:cs="Times New Roman"/>
      <w:sz w:val="20"/>
      <w:lang w:eastAsia="en-AU"/>
    </w:rPr>
  </w:style>
  <w:style w:type="paragraph" w:customStyle="1" w:styleId="Bullet3">
    <w:name w:val="Bullet 3"/>
    <w:basedOn w:val="TableTextBullet3"/>
    <w:link w:val="Bullet3Char"/>
    <w:qFormat/>
    <w:rsid w:val="00461597"/>
    <w:pPr>
      <w:spacing w:before="0" w:after="113" w:line="300" w:lineRule="atLeast"/>
      <w:ind w:left="1361" w:hanging="454"/>
    </w:pPr>
    <w:rPr>
      <w:sz w:val="22"/>
    </w:rPr>
  </w:style>
  <w:style w:type="character" w:customStyle="1" w:styleId="TableTextChar">
    <w:name w:val="Table Text Char"/>
    <w:basedOn w:val="DefaultParagraphFont"/>
    <w:link w:val="TableText"/>
    <w:rsid w:val="003B474B"/>
    <w:rPr>
      <w:rFonts w:cs="Times New Roman"/>
      <w:sz w:val="20"/>
    </w:rPr>
  </w:style>
  <w:style w:type="character" w:customStyle="1" w:styleId="TableTextBulletChar">
    <w:name w:val="Table Text Bullet Char"/>
    <w:basedOn w:val="TableTextChar"/>
    <w:link w:val="TableTextBullet"/>
    <w:rsid w:val="001A02D1"/>
    <w:rPr>
      <w:rFonts w:cs="Times New Roman"/>
      <w:sz w:val="20"/>
    </w:rPr>
  </w:style>
  <w:style w:type="character" w:customStyle="1" w:styleId="TableTextBullet2Char">
    <w:name w:val="Table Text Bullet 2 Char"/>
    <w:basedOn w:val="TableTextBulletChar"/>
    <w:link w:val="TableTextBullet2"/>
    <w:rsid w:val="00F52474"/>
    <w:rPr>
      <w:rFonts w:cs="Times New Roman"/>
      <w:bCs/>
      <w:sz w:val="20"/>
    </w:rPr>
  </w:style>
  <w:style w:type="character" w:customStyle="1" w:styleId="Bullet2Char">
    <w:name w:val="Bullet 2 Char"/>
    <w:basedOn w:val="TableTextBullet2Char"/>
    <w:link w:val="Bullet2"/>
    <w:rsid w:val="009E1B99"/>
    <w:rPr>
      <w:rFonts w:eastAsia="Times New Roman" w:cs="Times New Roman"/>
      <w:bCs w:val="0"/>
      <w:sz w:val="20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1A02D1"/>
    <w:rPr>
      <w:i/>
      <w:color w:val="2B3B5F"/>
      <w:sz w:val="24"/>
      <w:szCs w:val="24"/>
    </w:rPr>
  </w:style>
  <w:style w:type="character" w:customStyle="1" w:styleId="TableTextBullet3Char">
    <w:name w:val="Table Text Bullet 3 Char"/>
    <w:basedOn w:val="TableTextBullet2Char"/>
    <w:link w:val="TableTextBullet3"/>
    <w:rsid w:val="00F52474"/>
    <w:rPr>
      <w:rFonts w:cs="Times New Roman"/>
      <w:bCs w:val="0"/>
      <w:sz w:val="20"/>
    </w:rPr>
  </w:style>
  <w:style w:type="character" w:customStyle="1" w:styleId="Bullet3Char">
    <w:name w:val="Bullet 3 Char"/>
    <w:basedOn w:val="TableTextBullet3Char"/>
    <w:link w:val="Bullet3"/>
    <w:rsid w:val="00461597"/>
    <w:rPr>
      <w:rFonts w:cs="Times New Roman"/>
      <w:bCs w:val="0"/>
      <w:sz w:val="20"/>
    </w:rPr>
  </w:style>
  <w:style w:type="paragraph" w:customStyle="1" w:styleId="Footnotes">
    <w:name w:val="Footnotes"/>
    <w:basedOn w:val="ListParagraph"/>
    <w:link w:val="FootnotesChar"/>
    <w:qFormat/>
    <w:rsid w:val="001278D0"/>
    <w:pPr>
      <w:numPr>
        <w:numId w:val="6"/>
      </w:numPr>
      <w:spacing w:before="113" w:after="0" w:line="260" w:lineRule="atLeast"/>
      <w:ind w:left="284" w:hanging="284"/>
      <w:contextualSpacing w:val="0"/>
    </w:pPr>
    <w:rPr>
      <w:sz w:val="20"/>
      <w:szCs w:val="20"/>
    </w:rPr>
  </w:style>
  <w:style w:type="paragraph" w:customStyle="1" w:styleId="Footnoteheading">
    <w:name w:val="Footnote heading"/>
    <w:basedOn w:val="Normal"/>
    <w:link w:val="FootnoteheadingChar"/>
    <w:rsid w:val="00C17112"/>
    <w:pPr>
      <w:spacing w:before="113" w:after="113"/>
    </w:pPr>
    <w:rPr>
      <w:b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A5D42"/>
  </w:style>
  <w:style w:type="character" w:customStyle="1" w:styleId="FootnotesChar">
    <w:name w:val="Footnotes Char"/>
    <w:basedOn w:val="ListParagraphChar"/>
    <w:link w:val="Footnotes"/>
    <w:rsid w:val="001278D0"/>
    <w:rPr>
      <w:sz w:val="20"/>
      <w:szCs w:val="20"/>
    </w:rPr>
  </w:style>
  <w:style w:type="character" w:customStyle="1" w:styleId="FootnoteheadingChar">
    <w:name w:val="Footnote heading Char"/>
    <w:basedOn w:val="DefaultParagraphFont"/>
    <w:link w:val="Footnoteheading"/>
    <w:rsid w:val="00C17112"/>
    <w:rPr>
      <w:b/>
      <w:sz w:val="20"/>
      <w:szCs w:val="20"/>
    </w:rPr>
  </w:style>
  <w:style w:type="paragraph" w:customStyle="1" w:styleId="Lettertext">
    <w:name w:val="Letter text"/>
    <w:basedOn w:val="Normal"/>
    <w:qFormat/>
    <w:rsid w:val="00C17112"/>
    <w:pPr>
      <w:spacing w:before="240"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ListBullet">
    <w:name w:val="List Bullet"/>
    <w:basedOn w:val="Normal"/>
    <w:unhideWhenUsed/>
    <w:rsid w:val="00C17112"/>
    <w:pPr>
      <w:keepLines/>
      <w:numPr>
        <w:numId w:val="11"/>
      </w:numPr>
      <w:spacing w:before="0" w:after="113"/>
    </w:pPr>
    <w:rPr>
      <w:spacing w:val="-1"/>
    </w:rPr>
  </w:style>
  <w:style w:type="paragraph" w:styleId="ListBullet2">
    <w:name w:val="List Bullet 2"/>
    <w:basedOn w:val="ListBullet"/>
    <w:unhideWhenUsed/>
    <w:rsid w:val="00C17112"/>
    <w:pPr>
      <w:numPr>
        <w:numId w:val="0"/>
      </w:numPr>
    </w:pPr>
  </w:style>
  <w:style w:type="paragraph" w:styleId="ListBullet3">
    <w:name w:val="List Bullet 3"/>
    <w:basedOn w:val="ListBullet2"/>
    <w:unhideWhenUsed/>
    <w:rsid w:val="00C17112"/>
    <w:pPr>
      <w:numPr>
        <w:ilvl w:val="2"/>
        <w:numId w:val="11"/>
      </w:numPr>
    </w:pPr>
  </w:style>
  <w:style w:type="paragraph" w:customStyle="1" w:styleId="TableTextRight">
    <w:name w:val="Table Text Right"/>
    <w:basedOn w:val="TableText"/>
    <w:qFormat/>
    <w:rsid w:val="003B474B"/>
    <w:pPr>
      <w:jc w:val="right"/>
    </w:pPr>
    <w:rPr>
      <w:i/>
    </w:rPr>
  </w:style>
  <w:style w:type="character" w:styleId="CommentReference">
    <w:name w:val="annotation reference"/>
    <w:basedOn w:val="DefaultParagraphFont"/>
    <w:uiPriority w:val="99"/>
    <w:semiHidden/>
    <w:unhideWhenUsed/>
    <w:rsid w:val="00BF52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52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52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52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526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F52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greens.org.au/atsi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aph.gov.au/pbo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Core\Templates\PBO\CM%20-%20Caretake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793C565-B614-46F9-9C40-E002AB80F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CM - Caretaker.dotm</Template>
  <TotalTime>313</TotalTime>
  <Pages>7</Pages>
  <Words>1420</Words>
  <Characters>8099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PBO - GRN054 - Empowering and supporting Aboriginal and Torres Strait Islander peoples - 30 June 2016</vt:lpstr>
    </vt:vector>
  </TitlesOfParts>
  <Company>Parliament of Australia</Company>
  <LinksUpToDate>false</LinksUpToDate>
  <CharactersWithSpaces>9501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PBO - GRN054 - Empowering and supporting Aboriginal and Torres Strait Islander peoples - 30 June 2016</dc:title>
  <dc:creator>Parliamentary Budget Office</dc:creator>
  <cp:lastModifiedBy>Milligan, Louise (PBO)</cp:lastModifiedBy>
  <cp:revision>98</cp:revision>
  <cp:lastPrinted>2016-06-30T02:00:00Z</cp:lastPrinted>
  <dcterms:created xsi:type="dcterms:W3CDTF">2016-06-25T05:49:00Z</dcterms:created>
  <dcterms:modified xsi:type="dcterms:W3CDTF">2016-06-30T06:07:00Z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