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955F6A" w:rsidP="00C17112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Senator Richard Di Natale</w:t>
      </w:r>
    </w:p>
    <w:p w:rsidR="00040DCE" w:rsidRDefault="00955F6A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151F01" w:rsidRPr="00002D5D" w:rsidRDefault="00151F01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CANBERRA  ACT  2600</w:t>
      </w:r>
    </w:p>
    <w:p w:rsidR="00040DCE" w:rsidRPr="00002D5D" w:rsidRDefault="00955F6A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Senator 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r w:rsidR="00151F01">
        <w:rPr>
          <w:i/>
        </w:rPr>
        <w:t xml:space="preserve">Forests for our </w:t>
      </w:r>
      <w:r w:rsidR="005812BD">
        <w:rPr>
          <w:i/>
        </w:rPr>
        <w:t>F</w:t>
      </w:r>
      <w:r w:rsidR="00151F01">
        <w:rPr>
          <w:i/>
        </w:rPr>
        <w:t>uture</w:t>
      </w:r>
      <w:r w:rsidRPr="00002D5D">
        <w:t xml:space="preserve"> (letter </w:t>
      </w:r>
      <w:r w:rsidR="00651680" w:rsidRPr="00002D5D">
        <w:t xml:space="preserve">of </w:t>
      </w:r>
      <w:r w:rsidR="00651680">
        <w:t>2</w:t>
      </w:r>
      <w:r w:rsidR="00151F01">
        <w:t>9</w:t>
      </w:r>
      <w:r w:rsidR="00955F6A">
        <w:t xml:space="preserve"> June </w:t>
      </w:r>
      <w:r w:rsidRPr="00002D5D">
        <w:t>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9027E3" w:rsidP="009027E3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="00651680"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AB152B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AB152B" w:rsidRDefault="004D5525" w:rsidP="004D5525">
            <w:pPr>
              <w:pStyle w:val="BodyText"/>
              <w:rPr>
                <w:sz w:val="22"/>
              </w:rPr>
            </w:pPr>
            <w:r w:rsidRPr="00AB152B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AB152B" w:rsidRDefault="00151F01" w:rsidP="004D5525">
            <w:pPr>
              <w:pStyle w:val="BodyText"/>
              <w:rPr>
                <w:sz w:val="22"/>
              </w:rPr>
            </w:pPr>
            <w:r w:rsidRPr="00AB152B">
              <w:rPr>
                <w:sz w:val="22"/>
              </w:rPr>
              <w:t>Forests for our Future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651680" w:rsidRDefault="00651680" w:rsidP="00651680">
            <w:r>
              <w:t xml:space="preserve">The proposal would </w:t>
            </w:r>
          </w:p>
          <w:p w:rsidR="00151F01" w:rsidRDefault="00151F01" w:rsidP="00151F01">
            <w:pPr>
              <w:pStyle w:val="Bullet1"/>
            </w:pPr>
            <w:r>
              <w:t xml:space="preserve">Provide $25 million </w:t>
            </w:r>
            <w:r w:rsidR="00AC760D">
              <w:t xml:space="preserve">of capped </w:t>
            </w:r>
            <w:r>
              <w:t>fund</w:t>
            </w:r>
            <w:r w:rsidR="00AC760D">
              <w:t>ing</w:t>
            </w:r>
            <w:r>
              <w:t xml:space="preserve"> for</w:t>
            </w:r>
            <w:r w:rsidR="00001FE8">
              <w:t xml:space="preserve"> </w:t>
            </w:r>
            <w:r>
              <w:t>a comprehensive review of Regional Forest Agreements and native forest management, and to develop a transitional plan beyond the expiry of the current Regional Forest Agreements</w:t>
            </w:r>
            <w:r w:rsidR="00001FE8">
              <w:t>.</w:t>
            </w:r>
          </w:p>
          <w:p w:rsidR="00151F01" w:rsidRDefault="00151F01" w:rsidP="00151F01">
            <w:pPr>
              <w:pStyle w:val="Bullet2"/>
            </w:pPr>
            <w:r>
              <w:t xml:space="preserve"> This review is to report by 2018, including the transitional plan and associated recommendations</w:t>
            </w:r>
            <w:r w:rsidR="00001FE8">
              <w:t>.</w:t>
            </w:r>
          </w:p>
          <w:p w:rsidR="00151F01" w:rsidRDefault="00151F01" w:rsidP="00151F01">
            <w:pPr>
              <w:pStyle w:val="Bullet1"/>
            </w:pPr>
            <w:r>
              <w:t xml:space="preserve">Commit $20 million </w:t>
            </w:r>
            <w:r w:rsidR="00AC760D">
              <w:t xml:space="preserve">of capped funding </w:t>
            </w:r>
            <w:r>
              <w:t>over the</w:t>
            </w:r>
            <w:r w:rsidR="00CA7ACC">
              <w:t xml:space="preserve"> 2016-17 Budget</w:t>
            </w:r>
            <w:r>
              <w:t xml:space="preserve"> forward estimates </w:t>
            </w:r>
            <w:r w:rsidR="00CA7ACC">
              <w:t xml:space="preserve">period </w:t>
            </w:r>
            <w:r>
              <w:t>for research and development in the plantation forestry sector</w:t>
            </w:r>
            <w:r w:rsidR="00001FE8">
              <w:t>.</w:t>
            </w:r>
          </w:p>
          <w:p w:rsidR="00151F01" w:rsidRDefault="00151F01" w:rsidP="00151F01">
            <w:pPr>
              <w:pStyle w:val="Bullet1"/>
            </w:pPr>
            <w:r>
              <w:t xml:space="preserve">Commit $3 million </w:t>
            </w:r>
            <w:r w:rsidR="00AC760D">
              <w:t xml:space="preserve">of capped funding </w:t>
            </w:r>
            <w:r>
              <w:t>to contribute to the establishment of a national farm forestry cooperative for farmers.</w:t>
            </w:r>
          </w:p>
          <w:p w:rsidR="00AC760D" w:rsidRDefault="00AC760D" w:rsidP="00AC760D">
            <w:r>
              <w:t xml:space="preserve">Departmental costs </w:t>
            </w:r>
            <w:r w:rsidR="00001FE8">
              <w:t>would</w:t>
            </w:r>
            <w:r>
              <w:t xml:space="preserve"> be met from outside the capped funding.</w:t>
            </w:r>
          </w:p>
          <w:p w:rsidR="004D5525" w:rsidRDefault="00651680" w:rsidP="00151F01">
            <w:pPr>
              <w:pStyle w:val="BodyText"/>
            </w:pPr>
            <w:r>
              <w:t>The proposal would h</w:t>
            </w:r>
            <w:r w:rsidR="00151F01">
              <w:t xml:space="preserve">ave effect from 1 </w:t>
            </w:r>
            <w:r w:rsidR="002D4A2C">
              <w:t>September 2016</w:t>
            </w:r>
            <w:r w:rsidR="00151F01">
              <w:t>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651680" w:rsidP="004D5525">
            <w:pPr>
              <w:pStyle w:val="BodyText"/>
            </w:pPr>
            <w:r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151F01" w:rsidRDefault="00151F01" w:rsidP="00060F22">
            <w:pPr>
              <w:pStyle w:val="BodyText"/>
            </w:pPr>
            <w:r>
              <w:t>19 June 2016</w:t>
            </w:r>
          </w:p>
          <w:p w:rsidR="00151F01" w:rsidRPr="0010175E" w:rsidRDefault="002304FA" w:rsidP="00151F01">
            <w:pPr>
              <w:rPr>
                <w:color w:val="1F497D"/>
              </w:rPr>
            </w:pPr>
            <w:hyperlink r:id="rId13" w:history="1">
              <w:r w:rsidR="00151F01" w:rsidRPr="0010175E">
                <w:rPr>
                  <w:rStyle w:val="Hyperlink"/>
                </w:rPr>
                <w:t>http://greens.org.au/forests</w:t>
              </w:r>
            </w:hyperlink>
          </w:p>
          <w:p w:rsidR="007D3577" w:rsidRPr="00151F01" w:rsidRDefault="002304FA" w:rsidP="00151F01">
            <w:pPr>
              <w:rPr>
                <w:color w:val="1F497D"/>
              </w:rPr>
            </w:pPr>
            <w:hyperlink r:id="rId14" w:history="1">
              <w:r w:rsidR="00151F01" w:rsidRPr="0010175E">
                <w:rPr>
                  <w:rStyle w:val="Hyperlink"/>
                </w:rPr>
                <w:t>http://greens.org.au/sustainable-wood-products</w:t>
              </w:r>
            </w:hyperlink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Default="00D475D9" w:rsidP="00594F7A">
            <w:pPr>
              <w:pStyle w:val="BodyText"/>
            </w:pPr>
            <w:r>
              <w:t>2</w:t>
            </w:r>
            <w:r w:rsidR="00594F7A">
              <w:t>9</w:t>
            </w:r>
            <w:r>
              <w:t xml:space="preserve"> June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  <w:r w:rsidR="009027E3">
              <w:t>:</w:t>
            </w:r>
          </w:p>
        </w:tc>
        <w:tc>
          <w:tcPr>
            <w:tcW w:w="5335" w:type="dxa"/>
          </w:tcPr>
          <w:p w:rsidR="004D5525" w:rsidRPr="00C17112" w:rsidRDefault="00D475D9" w:rsidP="00594F7A">
            <w:pPr>
              <w:pStyle w:val="BodyText"/>
            </w:pPr>
            <w:r>
              <w:t>2</w:t>
            </w:r>
            <w:r w:rsidR="00594F7A">
              <w:t>9</w:t>
            </w:r>
            <w:r>
              <w:t xml:space="preserve">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lastRenderedPageBreak/>
        <w:t>Costing overview</w:t>
      </w:r>
    </w:p>
    <w:p w:rsidR="00E209BF" w:rsidRDefault="004D7C93" w:rsidP="00F91AF5">
      <w:pPr>
        <w:rPr>
          <w:b/>
          <w:bCs/>
        </w:rPr>
      </w:pPr>
      <w:r w:rsidRPr="004D7C93">
        <w:t xml:space="preserve">This proposal would be expected to decrease both the fiscal and underlying cash balances by </w:t>
      </w:r>
      <w:r w:rsidRPr="00E209BF">
        <w:t>$</w:t>
      </w:r>
      <w:r w:rsidR="00727D34" w:rsidRPr="00E209BF">
        <w:rPr>
          <w:bCs/>
        </w:rPr>
        <w:t>49</w:t>
      </w:r>
      <w:r w:rsidR="00001FE8">
        <w:rPr>
          <w:bCs/>
        </w:rPr>
        <w:t> </w:t>
      </w:r>
      <w:r w:rsidRPr="00E209BF">
        <w:t xml:space="preserve">million over the 2016-17 Budget forward estimates period.  This impact is due </w:t>
      </w:r>
      <w:r w:rsidR="00727D34" w:rsidRPr="00E209BF">
        <w:rPr>
          <w:bCs/>
        </w:rPr>
        <w:t xml:space="preserve">an increase in administered expenses of $20 million and </w:t>
      </w:r>
      <w:r w:rsidRPr="00E209BF">
        <w:t xml:space="preserve">an increase </w:t>
      </w:r>
      <w:r w:rsidR="00727D34" w:rsidRPr="00E209BF">
        <w:rPr>
          <w:bCs/>
        </w:rPr>
        <w:t>in departmental expenses of</w:t>
      </w:r>
      <w:r w:rsidRPr="00E209BF">
        <w:t xml:space="preserve"> $2</w:t>
      </w:r>
      <w:r w:rsidR="00AC760D" w:rsidRPr="00E209BF">
        <w:rPr>
          <w:bCs/>
        </w:rPr>
        <w:t>9</w:t>
      </w:r>
      <w:r w:rsidRPr="00E209BF">
        <w:t xml:space="preserve"> million </w:t>
      </w:r>
      <w:r w:rsidR="00AC760D" w:rsidRPr="00E209BF">
        <w:t>over the 2016</w:t>
      </w:r>
      <w:r w:rsidR="00AC760D" w:rsidRPr="004D7C93">
        <w:t>-17 Budget forward estimates period</w:t>
      </w:r>
      <w:r w:rsidRPr="004D7C93">
        <w:t xml:space="preserve">. </w:t>
      </w:r>
    </w:p>
    <w:p w:rsidR="00E209BF" w:rsidRPr="007F7A82" w:rsidRDefault="00E209BF" w:rsidP="00F91AF5">
      <w:r>
        <w:t xml:space="preserve">A breakdown of the financial </w:t>
      </w:r>
      <w:r w:rsidR="00E669D6">
        <w:t xml:space="preserve">implications </w:t>
      </w:r>
      <w:r>
        <w:t xml:space="preserve">is provided at </w:t>
      </w:r>
      <w:r w:rsidRPr="00197A20">
        <w:rPr>
          <w:u w:val="single"/>
        </w:rPr>
        <w:t>Attachment A</w:t>
      </w:r>
      <w:r>
        <w:t>.</w:t>
      </w:r>
    </w:p>
    <w:p w:rsidR="00E209BF" w:rsidRPr="004D7C93" w:rsidRDefault="004D7C93" w:rsidP="00F91AF5">
      <w:pPr>
        <w:rPr>
          <w:b/>
          <w:bCs/>
        </w:rPr>
      </w:pPr>
      <w:r w:rsidRPr="004D7C93">
        <w:t>This costing is considered to be of high reliability as it is based on specified capped amounts.</w:t>
      </w:r>
      <w:r w:rsidR="00E209BF">
        <w:rPr>
          <w:b/>
          <w:bCs/>
        </w:rPr>
        <w:t xml:space="preserve"> </w:t>
      </w:r>
      <w:r w:rsidR="007F52E0">
        <w:t>However, no analysis</w:t>
      </w:r>
      <w:r w:rsidR="00E209BF" w:rsidRPr="004D7C93">
        <w:t xml:space="preserve"> has been </w:t>
      </w:r>
      <w:r w:rsidR="007F52E0">
        <w:t>undertaken</w:t>
      </w:r>
      <w:r w:rsidR="00E209BF" w:rsidRPr="004D7C93">
        <w:t xml:space="preserve"> on whether </w:t>
      </w:r>
      <w:r w:rsidR="007F52E0">
        <w:t xml:space="preserve">the </w:t>
      </w:r>
      <w:r w:rsidR="00E209BF" w:rsidRPr="004D7C93">
        <w:t>funding provided would be sufficient to achieve the policy objectives of the proposal.</w:t>
      </w:r>
    </w:p>
    <w:p w:rsidR="005E3562" w:rsidRPr="00FC6579" w:rsidRDefault="005E3562" w:rsidP="00FC6579">
      <w:pPr>
        <w:pStyle w:val="Captionheading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prices)</w:t>
      </w:r>
      <w:r w:rsidRPr="00844776">
        <w:rPr>
          <w:vertAlign w:val="superscript"/>
        </w:rPr>
        <w:t>(a)</w:t>
      </w:r>
      <w:r w:rsidR="00AC760D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B73AC8" w:rsidRDefault="00CA5D42" w:rsidP="00F91AF5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B73AC8" w:rsidRDefault="00CA5D42" w:rsidP="00F91AF5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B73AC8" w:rsidRDefault="00CA5D42" w:rsidP="00F91AF5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B73AC8" w:rsidRDefault="00CA5D42" w:rsidP="00F91AF5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B73AC8" w:rsidRDefault="00CA5D42" w:rsidP="00F91AF5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F97DFF" w:rsidRDefault="00CA5D42" w:rsidP="00F91AF5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727D34" w:rsidRPr="00B73AC8" w:rsidTr="004D7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27D34" w:rsidRPr="00B73AC8" w:rsidRDefault="00727D34" w:rsidP="00F91AF5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727D34" w:rsidRPr="009916AB" w:rsidRDefault="00727D34" w:rsidP="00F91AF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16AB">
              <w:t xml:space="preserve">-26.0 </w:t>
            </w:r>
          </w:p>
        </w:tc>
        <w:tc>
          <w:tcPr>
            <w:tcW w:w="682" w:type="pct"/>
          </w:tcPr>
          <w:p w:rsidR="00727D34" w:rsidRPr="009916AB" w:rsidRDefault="00727D34" w:rsidP="00F91AF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16AB">
              <w:t xml:space="preserve">-23.0 </w:t>
            </w:r>
          </w:p>
        </w:tc>
        <w:tc>
          <w:tcPr>
            <w:tcW w:w="682" w:type="pct"/>
          </w:tcPr>
          <w:p w:rsidR="00727D34" w:rsidRPr="009916AB" w:rsidRDefault="00727D34" w:rsidP="00F91AF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16AB">
              <w:t xml:space="preserve"> -   </w:t>
            </w:r>
          </w:p>
        </w:tc>
        <w:tc>
          <w:tcPr>
            <w:tcW w:w="682" w:type="pct"/>
          </w:tcPr>
          <w:p w:rsidR="00727D34" w:rsidRPr="009916AB" w:rsidRDefault="00727D34" w:rsidP="00F91AF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16AB">
              <w:t xml:space="preserve"> -   </w:t>
            </w:r>
          </w:p>
        </w:tc>
        <w:tc>
          <w:tcPr>
            <w:tcW w:w="681" w:type="pct"/>
          </w:tcPr>
          <w:p w:rsidR="00727D34" w:rsidRPr="00727D34" w:rsidRDefault="00727D34" w:rsidP="00F91AF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-49.0 </w:t>
            </w:r>
          </w:p>
        </w:tc>
      </w:tr>
      <w:tr w:rsidR="00727D34" w:rsidRPr="00B73AC8" w:rsidTr="004D7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27D34" w:rsidRPr="00B73AC8" w:rsidRDefault="00727D34" w:rsidP="00F91AF5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727D34" w:rsidRPr="008D2660" w:rsidRDefault="00727D34" w:rsidP="00F91AF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660">
              <w:t xml:space="preserve">-26.0 </w:t>
            </w:r>
          </w:p>
        </w:tc>
        <w:tc>
          <w:tcPr>
            <w:tcW w:w="682" w:type="pct"/>
          </w:tcPr>
          <w:p w:rsidR="00727D34" w:rsidRPr="008D2660" w:rsidRDefault="00727D34" w:rsidP="00F91AF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660">
              <w:t xml:space="preserve">-23.0 </w:t>
            </w:r>
          </w:p>
        </w:tc>
        <w:tc>
          <w:tcPr>
            <w:tcW w:w="682" w:type="pct"/>
          </w:tcPr>
          <w:p w:rsidR="00727D34" w:rsidRPr="008D2660" w:rsidRDefault="00727D34" w:rsidP="00F91AF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660">
              <w:t xml:space="preserve"> -   </w:t>
            </w:r>
          </w:p>
        </w:tc>
        <w:tc>
          <w:tcPr>
            <w:tcW w:w="682" w:type="pct"/>
          </w:tcPr>
          <w:p w:rsidR="00727D34" w:rsidRPr="008D2660" w:rsidRDefault="00727D34" w:rsidP="00F91AF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660">
              <w:t xml:space="preserve"> -   </w:t>
            </w:r>
          </w:p>
        </w:tc>
        <w:tc>
          <w:tcPr>
            <w:tcW w:w="681" w:type="pct"/>
          </w:tcPr>
          <w:p w:rsidR="00727D34" w:rsidRPr="00727D34" w:rsidRDefault="00727D34" w:rsidP="00F91AF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-49.0 </w:t>
            </w:r>
          </w:p>
        </w:tc>
      </w:tr>
    </w:tbl>
    <w:p w:rsidR="00AC760D" w:rsidRDefault="00AC760D" w:rsidP="00F91AF5">
      <w:pPr>
        <w:pStyle w:val="Footnotes"/>
        <w:numPr>
          <w:ilvl w:val="0"/>
          <w:numId w:val="7"/>
        </w:numPr>
        <w:ind w:left="284" w:hanging="284"/>
      </w:pPr>
      <w:r w:rsidRPr="00CD21DE">
        <w:t>A positive number indicates an increase in the relevant budget balance, a negative number a decrease</w:t>
      </w:r>
      <w:r>
        <w:t>.</w:t>
      </w:r>
    </w:p>
    <w:p w:rsidR="00AC760D" w:rsidRDefault="00AC760D" w:rsidP="00F91AF5">
      <w:pPr>
        <w:pStyle w:val="Footnotes"/>
        <w:numPr>
          <w:ilvl w:val="0"/>
          <w:numId w:val="7"/>
        </w:numPr>
        <w:ind w:left="284" w:hanging="284"/>
      </w:pPr>
      <w:r w:rsidRPr="00CD21DE">
        <w:t>Figures may not sum to totals due to rounding</w:t>
      </w:r>
      <w:r w:rsidRPr="005C0B39" w:rsidDel="0066665A">
        <w:t>.</w:t>
      </w:r>
    </w:p>
    <w:p w:rsidR="00AC760D" w:rsidRPr="005C0B39" w:rsidRDefault="007F52E0" w:rsidP="00F91AF5">
      <w:pPr>
        <w:pStyle w:val="Footnotes"/>
        <w:numPr>
          <w:ilvl w:val="0"/>
          <w:numId w:val="19"/>
        </w:numPr>
        <w:ind w:left="284" w:hanging="284"/>
      </w:pPr>
      <w:r>
        <w:t>I</w:t>
      </w:r>
      <w:r w:rsidR="00AC760D">
        <w:t>ndicates nil.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3851A8" w:rsidRDefault="003851A8" w:rsidP="00AC760D">
      <w:r w:rsidRPr="003851A8">
        <w:t>The review of Regional Forest Agreements would take one year to complete.</w:t>
      </w:r>
    </w:p>
    <w:p w:rsidR="0059300A" w:rsidRDefault="0059300A" w:rsidP="00AC760D">
      <w:r>
        <w:t>D</w:t>
      </w:r>
      <w:r w:rsidRPr="0059300A">
        <w:t xml:space="preserve">espite the implementation date of 1 September 2016, $10 million in funding </w:t>
      </w:r>
      <w:r>
        <w:t xml:space="preserve">for research and development in the plantation forestry sector </w:t>
      </w:r>
      <w:r w:rsidRPr="0059300A">
        <w:t>would be delivered in 2016-17.</w:t>
      </w:r>
    </w:p>
    <w:p w:rsidR="00D62F2B" w:rsidRPr="003851A8" w:rsidRDefault="00D62F2B" w:rsidP="00AC760D">
      <w:r>
        <w:t>The expenditure profile for the capped funding amounts in this costing is as set out in the estimated financial implications of the proposal in the costing request.</w:t>
      </w:r>
    </w:p>
    <w:p w:rsidR="005E3562" w:rsidRPr="00FC6579" w:rsidRDefault="005E3562" w:rsidP="003851A8">
      <w:pPr>
        <w:pStyle w:val="Heading2"/>
      </w:pPr>
      <w:r w:rsidRPr="00FC6579">
        <w:t>Methodology</w:t>
      </w:r>
    </w:p>
    <w:p w:rsidR="00AC760D" w:rsidRDefault="00AC760D" w:rsidP="00AC760D">
      <w:r>
        <w:t xml:space="preserve">Administered expenditure estimates are as specified in the request. </w:t>
      </w:r>
    </w:p>
    <w:p w:rsidR="00AC760D" w:rsidRPr="00002D5D" w:rsidRDefault="00CA7ACC" w:rsidP="00AC760D">
      <w:r>
        <w:t>Departmental expenses for t</w:t>
      </w:r>
      <w:r w:rsidR="00AC760D">
        <w:t xml:space="preserve">he </w:t>
      </w:r>
      <w:r w:rsidR="00AC760D" w:rsidRPr="00AC760D">
        <w:t>Research and Development in the plantation forestry sector</w:t>
      </w:r>
      <w:r w:rsidR="00AC760D">
        <w:t xml:space="preserve"> </w:t>
      </w:r>
      <w:r w:rsidR="00AC760D" w:rsidRPr="00566DB3">
        <w:t xml:space="preserve">are </w:t>
      </w:r>
      <w:r w:rsidR="00AC760D">
        <w:t xml:space="preserve">in addition to capped amounts as specified, and are </w:t>
      </w:r>
      <w:r w:rsidR="00AC760D" w:rsidRPr="00566DB3">
        <w:t xml:space="preserve">based on other </w:t>
      </w:r>
      <w:r w:rsidR="00AC760D">
        <w:t>comparable</w:t>
      </w:r>
      <w:r w:rsidR="00AC760D" w:rsidRPr="00566DB3">
        <w:t xml:space="preserve"> </w:t>
      </w:r>
      <w:r w:rsidR="00AC760D">
        <w:t xml:space="preserve">initiatives. </w:t>
      </w:r>
      <w:r w:rsidR="00001FE8">
        <w:t xml:space="preserve"> </w:t>
      </w:r>
      <w:r w:rsidR="00AC760D">
        <w:t xml:space="preserve">These </w:t>
      </w:r>
      <w:r w:rsidR="00AC760D" w:rsidRPr="00566DB3">
        <w:t>estimates account for the net effect of indexation parameters and the efficiency dividend, in accordance with the Department of Finance’s costing practices.</w:t>
      </w:r>
    </w:p>
    <w:p w:rsidR="007F52E0" w:rsidRPr="003851A8" w:rsidRDefault="00CA7ACC" w:rsidP="00AC760D">
      <w:r>
        <w:t>Departmental expenses for t</w:t>
      </w:r>
      <w:r w:rsidR="00AC760D">
        <w:t>he review of Regional Forest Agreement</w:t>
      </w:r>
      <w:r>
        <w:t>s</w:t>
      </w:r>
      <w:r w:rsidR="00AC760D">
        <w:t xml:space="preserve"> and </w:t>
      </w:r>
      <w:r>
        <w:t xml:space="preserve">the </w:t>
      </w:r>
      <w:r w:rsidR="00AC760D">
        <w:t xml:space="preserve">establishment of a national farm forestry cooperative </w:t>
      </w:r>
      <w:r w:rsidR="003851A8" w:rsidRPr="003851A8">
        <w:t>reflect</w:t>
      </w:r>
      <w:r>
        <w:t xml:space="preserve"> </w:t>
      </w:r>
      <w:r w:rsidR="003851A8" w:rsidRPr="003851A8">
        <w:t>the capped funding amounts specified in the request.</w:t>
      </w:r>
    </w:p>
    <w:p w:rsidR="00AC760D" w:rsidRPr="00FC6579" w:rsidRDefault="00AC760D" w:rsidP="00AC760D">
      <w:pPr>
        <w:pStyle w:val="Heading2"/>
      </w:pPr>
      <w:r>
        <w:lastRenderedPageBreak/>
        <w:t>Data source</w:t>
      </w:r>
    </w:p>
    <w:p w:rsidR="00AC760D" w:rsidRDefault="00AC760D" w:rsidP="00F91AF5">
      <w:r>
        <w:t>The Department of Finance provided indexation and efficiency dividend parameters.</w:t>
      </w:r>
    </w:p>
    <w:p w:rsidR="00F91AF5" w:rsidRDefault="00F91AF5" w:rsidP="00F91AF5"/>
    <w:p w:rsidR="00AC760D" w:rsidRPr="00FC1DE9" w:rsidRDefault="00AC760D" w:rsidP="00F91AF5">
      <w:pPr>
        <w:rPr>
          <w:highlight w:val="yellow"/>
        </w:rPr>
        <w:sectPr w:rsidR="00AC760D" w:rsidRPr="00FC1DE9" w:rsidSect="00002D5D">
          <w:headerReference w:type="first" r:id="rId15"/>
          <w:footerReference w:type="first" r:id="rId16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1A02D1" w:rsidRPr="00FC6579" w:rsidRDefault="001A02D1" w:rsidP="00E700B3">
      <w:pPr>
        <w:pStyle w:val="Heading1"/>
        <w:numPr>
          <w:ilvl w:val="0"/>
          <w:numId w:val="0"/>
        </w:numPr>
      </w:pPr>
      <w:r w:rsidRPr="00FC6579">
        <w:lastRenderedPageBreak/>
        <w:t>Attachment A:</w:t>
      </w:r>
      <w:r w:rsidR="00841C3A">
        <w:t xml:space="preserve"> </w:t>
      </w:r>
      <w:r w:rsidR="00727D34">
        <w:t>Forests for our Future</w:t>
      </w:r>
      <w:r w:rsidR="00440E32">
        <w:t>—financial</w:t>
      </w:r>
      <w:r w:rsidR="00841C3A">
        <w:t> </w:t>
      </w:r>
      <w:r w:rsidR="00440E32">
        <w:t>implications</w:t>
      </w:r>
    </w:p>
    <w:p w:rsidR="00EA265F" w:rsidRPr="00E30FB5" w:rsidRDefault="00151F01" w:rsidP="00EA265F">
      <w:pPr>
        <w:pStyle w:val="Captionheading"/>
        <w:rPr>
          <w:vertAlign w:val="superscript"/>
        </w:rPr>
      </w:pPr>
      <w:r w:rsidRPr="00FC5643">
        <w:t xml:space="preserve">Table </w:t>
      </w:r>
      <w:r>
        <w:t>A1</w:t>
      </w:r>
      <w:r w:rsidRPr="00FC5643">
        <w:t xml:space="preserve">: </w:t>
      </w:r>
      <w:r w:rsidR="00727D34">
        <w:t>Forests for our Future</w:t>
      </w:r>
      <w:r w:rsidR="00F91AF5">
        <w:t>—</w:t>
      </w:r>
      <w:r>
        <w:t>Financial implications</w:t>
      </w:r>
      <w:r w:rsidRPr="00BE2423">
        <w:rPr>
          <w:vertAlign w:val="superscript"/>
        </w:rPr>
        <w:t>(a)</w:t>
      </w:r>
      <w:r>
        <w:rPr>
          <w:vertAlign w:val="superscript"/>
        </w:rPr>
        <w:t>(b)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2644"/>
        <w:gridCol w:w="1134"/>
        <w:gridCol w:w="1134"/>
        <w:gridCol w:w="1134"/>
        <w:gridCol w:w="1134"/>
        <w:gridCol w:w="1134"/>
      </w:tblGrid>
      <w:tr w:rsidR="00EA265F" w:rsidRPr="00EF1D6A" w:rsidTr="00CF7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vAlign w:val="center"/>
          </w:tcPr>
          <w:p w:rsidR="00EA265F" w:rsidRPr="00EF1D6A" w:rsidRDefault="00EA265F" w:rsidP="00DC0CC5">
            <w:pPr>
              <w:pStyle w:val="TableText"/>
              <w:keepNext/>
              <w:keepLines/>
              <w:rPr>
                <w:b/>
                <w:szCs w:val="20"/>
              </w:rPr>
            </w:pPr>
            <w:r w:rsidRPr="00EF1D6A">
              <w:rPr>
                <w:szCs w:val="20"/>
              </w:rPr>
              <w:t>($m)</w:t>
            </w:r>
          </w:p>
        </w:tc>
        <w:tc>
          <w:tcPr>
            <w:tcW w:w="682" w:type="pct"/>
            <w:vAlign w:val="center"/>
          </w:tcPr>
          <w:p w:rsidR="00EA265F" w:rsidRPr="00C24267" w:rsidRDefault="00EA265F" w:rsidP="00DC0CC5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vAlign w:val="center"/>
          </w:tcPr>
          <w:p w:rsidR="00EA265F" w:rsidRPr="00C24267" w:rsidRDefault="00EA265F" w:rsidP="00DC0CC5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vAlign w:val="center"/>
          </w:tcPr>
          <w:p w:rsidR="00EA265F" w:rsidRPr="00C24267" w:rsidRDefault="00EA265F" w:rsidP="00DC0CC5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vAlign w:val="center"/>
          </w:tcPr>
          <w:p w:rsidR="00EA265F" w:rsidRPr="00C24267" w:rsidRDefault="00EA265F" w:rsidP="00DC0CC5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vAlign w:val="center"/>
          </w:tcPr>
          <w:p w:rsidR="00EA265F" w:rsidRPr="00AE30B5" w:rsidRDefault="00EA265F" w:rsidP="00DC0CC5">
            <w:pPr>
              <w:pStyle w:val="TableHeadingCent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 to 2019–20</w:t>
            </w:r>
          </w:p>
        </w:tc>
      </w:tr>
      <w:tr w:rsidR="00727D34" w:rsidRPr="00EF1D6A" w:rsidTr="00BC608B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727D34" w:rsidRPr="00AE30B5" w:rsidRDefault="00727D34" w:rsidP="00DC0CC5">
            <w:pPr>
              <w:pStyle w:val="TableHeadingCentred"/>
              <w:jc w:val="left"/>
              <w:rPr>
                <w:b/>
              </w:rPr>
            </w:pPr>
            <w:r w:rsidRPr="003C5135">
              <w:rPr>
                <w:b/>
              </w:rPr>
              <w:t>Impact on fiscal and underlying cash balances</w:t>
            </w:r>
          </w:p>
        </w:tc>
      </w:tr>
      <w:tr w:rsidR="00727D34" w:rsidRPr="00EF1D6A" w:rsidTr="00BC608B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727D34" w:rsidRPr="00AE30B5" w:rsidRDefault="00727D34" w:rsidP="00DC0CC5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Administered</w:t>
            </w:r>
          </w:p>
        </w:tc>
      </w:tr>
      <w:tr w:rsidR="00727D34" w:rsidRPr="0066665A" w:rsidTr="00E7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:rsidR="00727D34" w:rsidRPr="00EC61ED" w:rsidRDefault="0059300A" w:rsidP="00DC0CC5">
            <w:pPr>
              <w:spacing w:before="70" w:after="70" w:line="240" w:lineRule="auto"/>
              <w:ind w:left="57" w:right="57"/>
            </w:pPr>
            <w:r>
              <w:t>Research and d</w:t>
            </w:r>
            <w:r w:rsidR="00727D34" w:rsidRPr="00727D34">
              <w:t>evelopment in the plantation forestry sector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-10.0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-10.0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727D34">
              <w:rPr>
                <w:b/>
                <w:i/>
              </w:rPr>
              <w:t xml:space="preserve">-20.0 </w:t>
            </w:r>
          </w:p>
        </w:tc>
      </w:tr>
      <w:tr w:rsidR="00727D34" w:rsidRPr="00EF1D6A" w:rsidTr="00BC608B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727D34" w:rsidRPr="00AE30B5" w:rsidRDefault="00727D34" w:rsidP="00DC0CC5">
            <w:pPr>
              <w:pStyle w:val="TableHeadingCentred"/>
              <w:jc w:val="left"/>
              <w:rPr>
                <w:b/>
              </w:rPr>
            </w:pPr>
            <w:r>
              <w:rPr>
                <w:b/>
              </w:rPr>
              <w:t>Departmental</w:t>
            </w:r>
          </w:p>
        </w:tc>
      </w:tr>
      <w:tr w:rsidR="00727D34" w:rsidRPr="0066665A" w:rsidTr="00E7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:rsidR="00727D34" w:rsidRPr="00262FF4" w:rsidRDefault="0059300A" w:rsidP="00DC0CC5">
            <w:pPr>
              <w:spacing w:before="70" w:after="70" w:line="240" w:lineRule="auto"/>
              <w:ind w:left="57" w:right="57"/>
            </w:pPr>
            <w:r>
              <w:t>Research and d</w:t>
            </w:r>
            <w:r w:rsidR="00727D34" w:rsidRPr="00262FF4">
              <w:t>evelopment in the plantation forestry sector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-0.5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-0.5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727D34">
              <w:rPr>
                <w:b/>
                <w:i/>
              </w:rPr>
              <w:t xml:space="preserve">-1.0 </w:t>
            </w:r>
          </w:p>
        </w:tc>
      </w:tr>
      <w:tr w:rsidR="00727D34" w:rsidRPr="0066665A" w:rsidTr="00E70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:rsidR="00727D34" w:rsidRPr="00262FF4" w:rsidRDefault="00727D34" w:rsidP="00DC0CC5">
            <w:pPr>
              <w:spacing w:before="70" w:after="70" w:line="240" w:lineRule="auto"/>
              <w:ind w:left="57" w:right="57"/>
            </w:pPr>
            <w:r w:rsidRPr="00262FF4">
              <w:t>Review of Regional Forest Agreements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-12.5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-12.5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727D34">
              <w:rPr>
                <w:b/>
                <w:i/>
              </w:rPr>
              <w:t xml:space="preserve">-25.0 </w:t>
            </w:r>
          </w:p>
        </w:tc>
      </w:tr>
      <w:tr w:rsidR="00727D34" w:rsidRPr="0066665A" w:rsidTr="00E7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:rsidR="00727D34" w:rsidRDefault="00727D34" w:rsidP="00DC0CC5">
            <w:pPr>
              <w:spacing w:before="70" w:after="70" w:line="240" w:lineRule="auto"/>
              <w:ind w:left="57" w:right="57"/>
            </w:pPr>
            <w:r w:rsidRPr="00262FF4">
              <w:t>Establishment of a national farm forestry cooperative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-3.0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27D34">
              <w:rPr>
                <w:i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727D34">
              <w:rPr>
                <w:b/>
                <w:i/>
              </w:rPr>
              <w:t xml:space="preserve">-3.0 </w:t>
            </w:r>
          </w:p>
        </w:tc>
      </w:tr>
      <w:tr w:rsidR="00727D34" w:rsidRPr="00727D34" w:rsidTr="00E70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</w:tcPr>
          <w:p w:rsidR="00727D34" w:rsidRPr="00727D34" w:rsidRDefault="00727D34" w:rsidP="00DC0CC5">
            <w:pPr>
              <w:spacing w:before="70" w:after="70" w:line="240" w:lineRule="auto"/>
              <w:ind w:left="57" w:right="57"/>
              <w:rPr>
                <w:b/>
              </w:rPr>
            </w:pPr>
            <w:r w:rsidRPr="00727D34">
              <w:rPr>
                <w:b/>
              </w:rPr>
              <w:t>Total - departmental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-16.0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-13.0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 -   </w:t>
            </w:r>
          </w:p>
        </w:tc>
        <w:tc>
          <w:tcPr>
            <w:tcW w:w="682" w:type="pct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-29.0</w:t>
            </w:r>
          </w:p>
        </w:tc>
      </w:tr>
      <w:tr w:rsidR="00727D34" w:rsidRPr="0055406D" w:rsidTr="00E7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shd w:val="clear" w:color="auto" w:fill="D7DDE9"/>
          </w:tcPr>
          <w:p w:rsidR="00727D34" w:rsidRPr="00E700B3" w:rsidRDefault="00727D34" w:rsidP="00DC0CC5">
            <w:pPr>
              <w:spacing w:before="70" w:after="70" w:line="240" w:lineRule="auto"/>
              <w:ind w:left="57" w:right="57"/>
              <w:rPr>
                <w:b/>
              </w:rPr>
            </w:pPr>
            <w:r w:rsidRPr="00E700B3">
              <w:rPr>
                <w:b/>
              </w:rPr>
              <w:t>Total</w:t>
            </w:r>
          </w:p>
        </w:tc>
        <w:tc>
          <w:tcPr>
            <w:tcW w:w="682" w:type="pct"/>
            <w:shd w:val="clear" w:color="auto" w:fill="D7DDE9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-26.0 </w:t>
            </w:r>
          </w:p>
        </w:tc>
        <w:tc>
          <w:tcPr>
            <w:tcW w:w="682" w:type="pct"/>
            <w:shd w:val="clear" w:color="auto" w:fill="D7DDE9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-23.0 </w:t>
            </w:r>
          </w:p>
        </w:tc>
        <w:tc>
          <w:tcPr>
            <w:tcW w:w="682" w:type="pct"/>
            <w:shd w:val="clear" w:color="auto" w:fill="D7DDE9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 -   </w:t>
            </w:r>
          </w:p>
        </w:tc>
        <w:tc>
          <w:tcPr>
            <w:tcW w:w="682" w:type="pct"/>
            <w:shd w:val="clear" w:color="auto" w:fill="D7DDE9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 -   </w:t>
            </w:r>
          </w:p>
        </w:tc>
        <w:tc>
          <w:tcPr>
            <w:tcW w:w="682" w:type="pct"/>
            <w:shd w:val="clear" w:color="auto" w:fill="D7DDE9"/>
          </w:tcPr>
          <w:p w:rsidR="00727D34" w:rsidRPr="00727D34" w:rsidRDefault="00727D34" w:rsidP="00DC0CC5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27D34">
              <w:rPr>
                <w:b/>
              </w:rPr>
              <w:t xml:space="preserve">-49.0 </w:t>
            </w:r>
          </w:p>
        </w:tc>
      </w:tr>
    </w:tbl>
    <w:p w:rsidR="00AC760D" w:rsidRDefault="00AC760D" w:rsidP="00DC0CC5">
      <w:pPr>
        <w:pStyle w:val="Footnotes"/>
        <w:numPr>
          <w:ilvl w:val="0"/>
          <w:numId w:val="17"/>
        </w:numPr>
        <w:ind w:left="284" w:hanging="284"/>
      </w:pPr>
      <w:r w:rsidRPr="00CD21DE">
        <w:t>A positive number indicates an increase in revenue or decrease in expenses or net capital investment in accrual and cash terms. A negative number indicates a decrease in revenue or an increase in expenses or net capital investment in accrual and cash terms</w:t>
      </w:r>
      <w:r>
        <w:t>.</w:t>
      </w:r>
    </w:p>
    <w:p w:rsidR="00AC760D" w:rsidRPr="00CA5D42" w:rsidRDefault="00AC760D" w:rsidP="00DC0CC5">
      <w:pPr>
        <w:pStyle w:val="Footnotes"/>
        <w:numPr>
          <w:ilvl w:val="0"/>
          <w:numId w:val="7"/>
        </w:numPr>
        <w:ind w:left="284" w:hanging="284"/>
      </w:pPr>
      <w:r w:rsidRPr="00CD21DE">
        <w:t>Figures may not sum to totals due to rounding.</w:t>
      </w:r>
    </w:p>
    <w:p w:rsidR="00AD5692" w:rsidRPr="00CA5D42" w:rsidRDefault="007F52E0" w:rsidP="00DC0CC5">
      <w:pPr>
        <w:pStyle w:val="Footnotes"/>
        <w:numPr>
          <w:ilvl w:val="0"/>
          <w:numId w:val="19"/>
        </w:numPr>
        <w:ind w:left="284" w:hanging="284"/>
      </w:pPr>
      <w:r>
        <w:t>I</w:t>
      </w:r>
      <w:r w:rsidR="00AC760D">
        <w:t>ndicates nil.</w:t>
      </w:r>
    </w:p>
    <w:sectPr w:rsidR="00AD5692" w:rsidRPr="00CA5D42" w:rsidSect="00E669D6">
      <w:headerReference w:type="first" r:id="rId17"/>
      <w:footerReference w:type="first" r:id="rId18"/>
      <w:pgSz w:w="11906" w:h="16838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6A" w:rsidRDefault="00955F6A" w:rsidP="008F588A">
      <w:pPr>
        <w:spacing w:line="240" w:lineRule="auto"/>
      </w:pPr>
      <w:r>
        <w:separator/>
      </w:r>
    </w:p>
    <w:p w:rsidR="00955F6A" w:rsidRDefault="00955F6A"/>
  </w:endnote>
  <w:endnote w:type="continuationSeparator" w:id="0">
    <w:p w:rsidR="00955F6A" w:rsidRDefault="00955F6A" w:rsidP="008F588A">
      <w:pPr>
        <w:spacing w:line="240" w:lineRule="auto"/>
      </w:pPr>
      <w:r>
        <w:continuationSeparator/>
      </w:r>
    </w:p>
    <w:p w:rsidR="00955F6A" w:rsidRDefault="00955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2304FA">
      <w:rPr>
        <w:noProof/>
      </w:rPr>
      <w:t>4</w:t>
    </w:r>
    <w:r w:rsidRPr="00C24267">
      <w:fldChar w:fldCharType="end"/>
    </w:r>
    <w:r w:rsidRPr="00C24267">
      <w:t xml:space="preserve"> of </w:t>
    </w:r>
    <w:r w:rsidR="002304FA">
      <w:fldChar w:fldCharType="begin"/>
    </w:r>
    <w:r w:rsidR="002304FA">
      <w:instrText xml:space="preserve"> NUMPAGES  \* Arabic  \* MERGEFORMAT </w:instrText>
    </w:r>
    <w:r w:rsidR="002304FA">
      <w:fldChar w:fldCharType="separate"/>
    </w:r>
    <w:r w:rsidR="002304FA">
      <w:rPr>
        <w:noProof/>
      </w:rPr>
      <w:t>5</w:t>
    </w:r>
    <w:r w:rsidR="002304F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Letterfooter"/>
    </w:pPr>
    <w:r w:rsidRPr="00C24267">
      <w:t>Parliamentary Budget Office   PO Box 6010   Parliament House   Canberra ACT 2600</w:t>
    </w:r>
  </w:p>
  <w:p w:rsidR="00060F22" w:rsidRPr="00C24267" w:rsidRDefault="00060F22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0D" w:rsidRPr="00C24267" w:rsidRDefault="00AC760D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2304FA">
      <w:rPr>
        <w:noProof/>
      </w:rPr>
      <w:t>2</w:t>
    </w:r>
    <w:r w:rsidRPr="00C24267">
      <w:fldChar w:fldCharType="end"/>
    </w:r>
    <w:r w:rsidRPr="00C24267">
      <w:t xml:space="preserve"> of </w:t>
    </w:r>
    <w:r w:rsidR="002304FA">
      <w:fldChar w:fldCharType="begin"/>
    </w:r>
    <w:r w:rsidR="002304FA">
      <w:instrText xml:space="preserve"> NUMPAGES  \* Arabic  \* MERGEFORMAT </w:instrText>
    </w:r>
    <w:r w:rsidR="002304FA">
      <w:fldChar w:fldCharType="separate"/>
    </w:r>
    <w:r w:rsidR="002304FA">
      <w:rPr>
        <w:noProof/>
      </w:rPr>
      <w:t>5</w:t>
    </w:r>
    <w:r w:rsidR="002304FA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75" w:rsidRPr="00C24267" w:rsidRDefault="005B7B75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2304FA">
      <w:rPr>
        <w:noProof/>
      </w:rPr>
      <w:t>5</w:t>
    </w:r>
    <w:r w:rsidRPr="00C24267">
      <w:fldChar w:fldCharType="end"/>
    </w:r>
    <w:r w:rsidRPr="00C24267">
      <w:t xml:space="preserve"> of </w:t>
    </w:r>
    <w:fldSimple w:instr=" NUMPAGES  \* Arabic  \* MERGEFORMAT ">
      <w:r w:rsidR="002304FA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6A" w:rsidRDefault="00955F6A" w:rsidP="008F588A">
      <w:pPr>
        <w:spacing w:line="240" w:lineRule="auto"/>
      </w:pPr>
      <w:r>
        <w:separator/>
      </w:r>
    </w:p>
    <w:p w:rsidR="00955F6A" w:rsidRDefault="00955F6A"/>
  </w:footnote>
  <w:footnote w:type="continuationSeparator" w:id="0">
    <w:p w:rsidR="00955F6A" w:rsidRDefault="00955F6A" w:rsidP="008F588A">
      <w:pPr>
        <w:spacing w:line="240" w:lineRule="auto"/>
      </w:pPr>
      <w:r>
        <w:continuationSeparator/>
      </w:r>
    </w:p>
    <w:p w:rsidR="00955F6A" w:rsidRDefault="00955F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Default="00060F22" w:rsidP="00CB40E1">
    <w:pPr>
      <w:pStyle w:val="Header"/>
    </w:pPr>
    <w:r>
      <w:rPr>
        <w:noProof/>
        <w:lang w:eastAsia="en-AU"/>
      </w:rPr>
      <w:drawing>
        <wp:inline distT="0" distB="0" distL="0" distR="0" wp14:anchorId="166CC723" wp14:editId="662056F7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0F22" w:rsidRPr="00DA1C8A" w:rsidRDefault="00060F22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0D" w:rsidRPr="00C17112" w:rsidRDefault="00AC760D" w:rsidP="00C17112">
    <w:pPr>
      <w:pStyle w:val="Header"/>
    </w:pPr>
    <w:r>
      <w:rPr>
        <w:noProof/>
        <w:lang w:eastAsia="en-AU"/>
      </w:rPr>
      <w:drawing>
        <wp:inline distT="0" distB="0" distL="0" distR="0" wp14:anchorId="76A03EDD" wp14:editId="7C9898F2">
          <wp:extent cx="2696845" cy="57213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75" w:rsidRPr="00F91AF5" w:rsidRDefault="005B7B75" w:rsidP="00F91A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32522DE"/>
    <w:multiLevelType w:val="hybridMultilevel"/>
    <w:tmpl w:val="418C135E"/>
    <w:lvl w:ilvl="0" w:tplc="87D692A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8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6A"/>
    <w:rsid w:val="00001FE8"/>
    <w:rsid w:val="00002D5D"/>
    <w:rsid w:val="00015FB2"/>
    <w:rsid w:val="00024933"/>
    <w:rsid w:val="00040DCE"/>
    <w:rsid w:val="00060F22"/>
    <w:rsid w:val="00096F3A"/>
    <w:rsid w:val="000C1A75"/>
    <w:rsid w:val="001278D0"/>
    <w:rsid w:val="00132D99"/>
    <w:rsid w:val="0014239B"/>
    <w:rsid w:val="00151F01"/>
    <w:rsid w:val="001A02D1"/>
    <w:rsid w:val="001F7D6A"/>
    <w:rsid w:val="00220BE5"/>
    <w:rsid w:val="002304FA"/>
    <w:rsid w:val="002422A3"/>
    <w:rsid w:val="002D4A2C"/>
    <w:rsid w:val="00315E34"/>
    <w:rsid w:val="00326DE2"/>
    <w:rsid w:val="003851A8"/>
    <w:rsid w:val="003B474B"/>
    <w:rsid w:val="003D7744"/>
    <w:rsid w:val="003E4F5F"/>
    <w:rsid w:val="003F73CA"/>
    <w:rsid w:val="00410A2C"/>
    <w:rsid w:val="00440E32"/>
    <w:rsid w:val="00461597"/>
    <w:rsid w:val="00485374"/>
    <w:rsid w:val="004C283B"/>
    <w:rsid w:val="004D13ED"/>
    <w:rsid w:val="004D5525"/>
    <w:rsid w:val="004D7C93"/>
    <w:rsid w:val="005035DA"/>
    <w:rsid w:val="00507897"/>
    <w:rsid w:val="00515A85"/>
    <w:rsid w:val="00545F24"/>
    <w:rsid w:val="0055581F"/>
    <w:rsid w:val="0056229A"/>
    <w:rsid w:val="00570154"/>
    <w:rsid w:val="00570B5A"/>
    <w:rsid w:val="005812BD"/>
    <w:rsid w:val="00587422"/>
    <w:rsid w:val="0059300A"/>
    <w:rsid w:val="00594F7A"/>
    <w:rsid w:val="005B1A4A"/>
    <w:rsid w:val="005B7B75"/>
    <w:rsid w:val="005C6967"/>
    <w:rsid w:val="005E3562"/>
    <w:rsid w:val="005F7DE0"/>
    <w:rsid w:val="00640346"/>
    <w:rsid w:val="00651680"/>
    <w:rsid w:val="00660385"/>
    <w:rsid w:val="00662E65"/>
    <w:rsid w:val="0066665A"/>
    <w:rsid w:val="00692DD8"/>
    <w:rsid w:val="006E0108"/>
    <w:rsid w:val="006F0CE9"/>
    <w:rsid w:val="007202A8"/>
    <w:rsid w:val="007229A9"/>
    <w:rsid w:val="00727D34"/>
    <w:rsid w:val="007B029A"/>
    <w:rsid w:val="007D33AA"/>
    <w:rsid w:val="007D3577"/>
    <w:rsid w:val="007D64CD"/>
    <w:rsid w:val="007F52E0"/>
    <w:rsid w:val="007F7BCF"/>
    <w:rsid w:val="008030EC"/>
    <w:rsid w:val="00811D6D"/>
    <w:rsid w:val="00817E8E"/>
    <w:rsid w:val="00841C3A"/>
    <w:rsid w:val="00844776"/>
    <w:rsid w:val="008850D9"/>
    <w:rsid w:val="008908AF"/>
    <w:rsid w:val="008A4578"/>
    <w:rsid w:val="008C03C3"/>
    <w:rsid w:val="008D3909"/>
    <w:rsid w:val="008D5F6A"/>
    <w:rsid w:val="008D6ECA"/>
    <w:rsid w:val="008F588A"/>
    <w:rsid w:val="008F7C2B"/>
    <w:rsid w:val="009027E3"/>
    <w:rsid w:val="00902D2D"/>
    <w:rsid w:val="009074EA"/>
    <w:rsid w:val="00915804"/>
    <w:rsid w:val="00955F6A"/>
    <w:rsid w:val="00957285"/>
    <w:rsid w:val="009573AF"/>
    <w:rsid w:val="00977D7B"/>
    <w:rsid w:val="009963ED"/>
    <w:rsid w:val="009D4063"/>
    <w:rsid w:val="00A41BD3"/>
    <w:rsid w:val="00A449C2"/>
    <w:rsid w:val="00A65EA3"/>
    <w:rsid w:val="00A7322F"/>
    <w:rsid w:val="00AA3D6F"/>
    <w:rsid w:val="00AB152B"/>
    <w:rsid w:val="00AB55AE"/>
    <w:rsid w:val="00AB6F7D"/>
    <w:rsid w:val="00AC760D"/>
    <w:rsid w:val="00AC7878"/>
    <w:rsid w:val="00AD493E"/>
    <w:rsid w:val="00AD5692"/>
    <w:rsid w:val="00AE30B5"/>
    <w:rsid w:val="00AE5755"/>
    <w:rsid w:val="00B06055"/>
    <w:rsid w:val="00B44D8A"/>
    <w:rsid w:val="00B73AC8"/>
    <w:rsid w:val="00B747A7"/>
    <w:rsid w:val="00BA2BBF"/>
    <w:rsid w:val="00BC559C"/>
    <w:rsid w:val="00C17112"/>
    <w:rsid w:val="00C24267"/>
    <w:rsid w:val="00CA12A0"/>
    <w:rsid w:val="00CA5D42"/>
    <w:rsid w:val="00CA7ACC"/>
    <w:rsid w:val="00CB40E1"/>
    <w:rsid w:val="00CF6DB6"/>
    <w:rsid w:val="00CF7D9A"/>
    <w:rsid w:val="00D134CA"/>
    <w:rsid w:val="00D475D9"/>
    <w:rsid w:val="00D52D5F"/>
    <w:rsid w:val="00D62F2B"/>
    <w:rsid w:val="00D747D2"/>
    <w:rsid w:val="00D805AE"/>
    <w:rsid w:val="00D949A3"/>
    <w:rsid w:val="00DA1506"/>
    <w:rsid w:val="00DA1C8A"/>
    <w:rsid w:val="00DA3B55"/>
    <w:rsid w:val="00DB44F0"/>
    <w:rsid w:val="00DC0CC5"/>
    <w:rsid w:val="00DD109E"/>
    <w:rsid w:val="00DD3E18"/>
    <w:rsid w:val="00E12103"/>
    <w:rsid w:val="00E15AAE"/>
    <w:rsid w:val="00E209BF"/>
    <w:rsid w:val="00E21184"/>
    <w:rsid w:val="00E40B8B"/>
    <w:rsid w:val="00E471F3"/>
    <w:rsid w:val="00E5742E"/>
    <w:rsid w:val="00E669D6"/>
    <w:rsid w:val="00E700B3"/>
    <w:rsid w:val="00E70315"/>
    <w:rsid w:val="00EA265F"/>
    <w:rsid w:val="00EA5685"/>
    <w:rsid w:val="00ED43FF"/>
    <w:rsid w:val="00EE6600"/>
    <w:rsid w:val="00EF1D6A"/>
    <w:rsid w:val="00EF2E51"/>
    <w:rsid w:val="00F21865"/>
    <w:rsid w:val="00F31E24"/>
    <w:rsid w:val="00F4535C"/>
    <w:rsid w:val="00F52474"/>
    <w:rsid w:val="00F5529D"/>
    <w:rsid w:val="00F5669E"/>
    <w:rsid w:val="00F75D33"/>
    <w:rsid w:val="00F91AF5"/>
    <w:rsid w:val="00F954CF"/>
    <w:rsid w:val="00F96C4F"/>
    <w:rsid w:val="00F97DFF"/>
    <w:rsid w:val="00FC6579"/>
    <w:rsid w:val="00FD3FB3"/>
    <w:rsid w:val="00FE105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151F0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7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A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69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151F0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7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A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6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eens.org.au/forests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yperlink" Target="http://greens.org.au/sustainable-wood-produ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82E91A-914E-4FE4-9930-15B3FE56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106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GRN049 - Forests for our Future - 29 June 2016</vt:lpstr>
    </vt:vector>
  </TitlesOfParts>
  <Company>Parliament of Australia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GRN049 - Forests for our Future - 29 June 2016</dc:title>
  <dc:creator>Parliamentary Budget Office</dc:creator>
  <cp:lastModifiedBy>Milligan, Louise (PBO)</cp:lastModifiedBy>
  <cp:revision>20</cp:revision>
  <cp:lastPrinted>2016-06-29T10:27:00Z</cp:lastPrinted>
  <dcterms:created xsi:type="dcterms:W3CDTF">2016-06-24T08:57:00Z</dcterms:created>
  <dcterms:modified xsi:type="dcterms:W3CDTF">2016-06-29T12:47:00Z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