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FB" w:rsidRPr="004343A3" w:rsidRDefault="00EA0BFB" w:rsidP="009E533E">
      <w:pPr>
        <w:spacing w:before="156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3A3">
        <w:rPr>
          <w:rFonts w:ascii="Times New Roman" w:hAnsi="Times New Roman" w:cs="Times New Roman"/>
          <w:sz w:val="24"/>
          <w:szCs w:val="24"/>
        </w:rPr>
        <w:t>Senator Richard Di Natale</w:t>
      </w:r>
    </w:p>
    <w:p w:rsidR="00EA0BFB" w:rsidRDefault="00EA0BFB" w:rsidP="00EA0BFB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343A3">
        <w:rPr>
          <w:rFonts w:ascii="Times New Roman" w:hAnsi="Times New Roman" w:cs="Times New Roman"/>
          <w:sz w:val="24"/>
          <w:szCs w:val="24"/>
        </w:rPr>
        <w:t>Leader of the Australian Greens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House</w:t>
      </w:r>
    </w:p>
    <w:p w:rsidR="00040DCE" w:rsidRPr="00002D5D" w:rsidRDefault="005C6967" w:rsidP="00C1711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CANBERRA  ACT  2600</w:t>
      </w:r>
    </w:p>
    <w:p w:rsidR="00EA0BFB" w:rsidRPr="00002D5D" w:rsidRDefault="00040DCE" w:rsidP="00EA0BFB">
      <w:pPr>
        <w:spacing w:before="48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 xml:space="preserve">Dear </w:t>
      </w:r>
      <w:r w:rsidR="00EA0BFB" w:rsidRPr="004343A3">
        <w:rPr>
          <w:rFonts w:ascii="Times New Roman" w:hAnsi="Times New Roman" w:cs="Times New Roman"/>
          <w:sz w:val="24"/>
          <w:szCs w:val="24"/>
        </w:rPr>
        <w:t>Senator Di Natale</w:t>
      </w:r>
    </w:p>
    <w:p w:rsidR="00040DCE" w:rsidRPr="00002D5D" w:rsidRDefault="00040DCE" w:rsidP="00C17112">
      <w:pPr>
        <w:pStyle w:val="Lettertext"/>
      </w:pPr>
      <w:r w:rsidRPr="00002D5D">
        <w:t xml:space="preserve">Please find attached a response to your costing request, </w:t>
      </w:r>
      <w:r w:rsidR="00351D1E">
        <w:rPr>
          <w:i/>
        </w:rPr>
        <w:t xml:space="preserve">Primary Health Networks </w:t>
      </w:r>
      <w:r w:rsidR="005278EF" w:rsidRPr="005278EF">
        <w:rPr>
          <w:i/>
        </w:rPr>
        <w:t>-</w:t>
      </w:r>
      <w:r w:rsidR="001C25E8">
        <w:rPr>
          <w:i/>
        </w:rPr>
        <w:t>F</w:t>
      </w:r>
      <w:r w:rsidR="00351D1E">
        <w:rPr>
          <w:i/>
        </w:rPr>
        <w:t xml:space="preserve">unding </w:t>
      </w:r>
      <w:r w:rsidRPr="00002D5D">
        <w:t xml:space="preserve">(letter of </w:t>
      </w:r>
      <w:r w:rsidR="005278EF">
        <w:t>29</w:t>
      </w:r>
      <w:r w:rsidR="008D77E9">
        <w:t> </w:t>
      </w:r>
      <w:r w:rsidR="00EA0BFB">
        <w:t xml:space="preserve">June </w:t>
      </w:r>
      <w:r w:rsidRPr="00002D5D">
        <w:t>2016).</w:t>
      </w:r>
    </w:p>
    <w:p w:rsidR="00040DCE" w:rsidRPr="00002D5D" w:rsidRDefault="00040DCE" w:rsidP="00C17112">
      <w:pPr>
        <w:pStyle w:val="Lettertext"/>
      </w:pPr>
      <w:r w:rsidRPr="00002D5D">
        <w:t>The response to this request will be released on the PBO website (</w:t>
      </w:r>
      <w:hyperlink r:id="rId9" w:history="1">
        <w:r w:rsidRPr="00002D5D">
          <w:rPr>
            <w:rStyle w:val="Hyperlink"/>
          </w:rPr>
          <w:t>www.</w:t>
        </w:r>
        <w:r w:rsidR="00B44D8A">
          <w:rPr>
            <w:rStyle w:val="Hyperlink"/>
          </w:rPr>
          <w:t>pbo.gov.au</w:t>
        </w:r>
      </w:hyperlink>
      <w:r w:rsidRPr="00002D5D">
        <w:t>).</w:t>
      </w:r>
    </w:p>
    <w:p w:rsidR="00040DCE" w:rsidRPr="00002D5D" w:rsidRDefault="00040DCE" w:rsidP="00C17112">
      <w:pPr>
        <w:pStyle w:val="Lettertext"/>
      </w:pPr>
      <w:r w:rsidRPr="00002D5D">
        <w:t>If you have any queries about this costing, please</w:t>
      </w:r>
      <w:r w:rsidR="002F62C3">
        <w:t xml:space="preserve"> </w:t>
      </w:r>
      <w:r w:rsidR="00F75D33">
        <w:t>contact Colin </w:t>
      </w:r>
      <w:r w:rsidRPr="00002D5D">
        <w:t>Brown o</w:t>
      </w:r>
      <w:r w:rsidR="009E533E">
        <w:t>n (02) 6277 </w:t>
      </w:r>
      <w:r w:rsidRPr="00002D5D">
        <w:t>9530.</w:t>
      </w:r>
    </w:p>
    <w:p w:rsidR="00040DCE" w:rsidRPr="00002D5D" w:rsidRDefault="00040DCE" w:rsidP="00C17112">
      <w:pPr>
        <w:pStyle w:val="Lettertext"/>
      </w:pPr>
      <w:r w:rsidRPr="00002D5D">
        <w:t>Yours sincerely</w:t>
      </w:r>
    </w:p>
    <w:p w:rsidR="00040DCE" w:rsidRPr="00002D5D" w:rsidRDefault="00DA1C8A" w:rsidP="00C17112">
      <w:pPr>
        <w:spacing w:before="960" w:after="0" w:line="240" w:lineRule="auto"/>
        <w:rPr>
          <w:rFonts w:ascii="Times New Roman" w:hAnsi="Times New Roman" w:cs="Times New Roman"/>
          <w:sz w:val="24"/>
          <w:szCs w:val="24"/>
        </w:rPr>
      </w:pPr>
      <w:r w:rsidRPr="00002D5D">
        <w:rPr>
          <w:rFonts w:ascii="Times New Roman" w:hAnsi="Times New Roman" w:cs="Times New Roman"/>
          <w:sz w:val="24"/>
          <w:szCs w:val="24"/>
        </w:rPr>
        <w:t>Phil Bowen</w:t>
      </w:r>
    </w:p>
    <w:p w:rsidR="00096F3A" w:rsidRPr="00002D5D" w:rsidRDefault="00C820EE" w:rsidP="00C820EE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</w:t>
      </w:r>
      <w:r w:rsidR="00EA0BFB">
        <w:rPr>
          <w:rFonts w:ascii="Times New Roman" w:hAnsi="Times New Roman" w:cs="Times New Roman"/>
          <w:sz w:val="24"/>
          <w:szCs w:val="24"/>
        </w:rPr>
        <w:t>June</w:t>
      </w:r>
      <w:r w:rsidR="00040DCE" w:rsidRPr="00002D5D">
        <w:rPr>
          <w:rFonts w:ascii="Times New Roman" w:hAnsi="Times New Roman" w:cs="Times New Roman"/>
          <w:sz w:val="24"/>
          <w:szCs w:val="24"/>
        </w:rPr>
        <w:t xml:space="preserve"> </w:t>
      </w:r>
      <w:r w:rsidR="00DA1C8A" w:rsidRPr="00002D5D">
        <w:rPr>
          <w:rFonts w:ascii="Times New Roman" w:hAnsi="Times New Roman" w:cs="Times New Roman"/>
          <w:sz w:val="24"/>
          <w:szCs w:val="24"/>
        </w:rPr>
        <w:t>2016</w:t>
      </w: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040DCE" w:rsidRPr="00002D5D" w:rsidRDefault="00040DCE" w:rsidP="00040DCE">
      <w:pPr>
        <w:pStyle w:val="BodyText"/>
        <w:rPr>
          <w:rFonts w:ascii="Times New Roman" w:hAnsi="Times New Roman" w:cs="Times New Roman"/>
          <w:sz w:val="24"/>
          <w:szCs w:val="24"/>
        </w:rPr>
        <w:sectPr w:rsidR="00040DCE" w:rsidRPr="00002D5D" w:rsidSect="00002D5D">
          <w:footerReference w:type="default" r:id="rId10"/>
          <w:headerReference w:type="first" r:id="rId11"/>
          <w:footerReference w:type="first" r:id="rId12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75751E" w:rsidRDefault="0075751E" w:rsidP="0075751E">
      <w:pPr>
        <w:pStyle w:val="Heading1"/>
      </w:pPr>
      <w:r w:rsidRPr="00002D5D">
        <w:lastRenderedPageBreak/>
        <w:t>Policy costing—during the caretaker period for the 2016 general election</w:t>
      </w:r>
    </w:p>
    <w:tbl>
      <w:tblPr>
        <w:tblStyle w:val="TableGrid"/>
        <w:tblW w:w="8340" w:type="dxa"/>
        <w:tblLook w:val="04A0" w:firstRow="1" w:lastRow="0" w:firstColumn="1" w:lastColumn="0" w:noHBand="0" w:noVBand="1"/>
      </w:tblPr>
      <w:tblGrid>
        <w:gridCol w:w="3005"/>
        <w:gridCol w:w="5335"/>
      </w:tblGrid>
      <w:tr w:rsidR="0075751E" w:rsidTr="00431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:rsidR="0075751E" w:rsidRDefault="0075751E" w:rsidP="00431DEB">
            <w:pPr>
              <w:pStyle w:val="BodyText"/>
            </w:pPr>
            <w:r>
              <w:t>Name of proposal:</w:t>
            </w:r>
          </w:p>
        </w:tc>
        <w:tc>
          <w:tcPr>
            <w:tcW w:w="5335" w:type="dxa"/>
          </w:tcPr>
          <w:p w:rsidR="0075751E" w:rsidRDefault="00F83E8B" w:rsidP="001C25E8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3E8B">
              <w:t>Primary Health Networks</w:t>
            </w:r>
            <w:r w:rsidR="005278EF">
              <w:t xml:space="preserve"> - </w:t>
            </w:r>
            <w:r w:rsidR="001C25E8">
              <w:t>F</w:t>
            </w:r>
            <w:r w:rsidRPr="00F83E8B">
              <w:t>unding</w:t>
            </w:r>
          </w:p>
        </w:tc>
      </w:tr>
      <w:tr w:rsidR="0075751E" w:rsidTr="0043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431DEB">
            <w:pPr>
              <w:pStyle w:val="BodyText"/>
            </w:pPr>
            <w:r>
              <w:t>Summary of proposal:</w:t>
            </w:r>
          </w:p>
        </w:tc>
        <w:tc>
          <w:tcPr>
            <w:tcW w:w="5335" w:type="dxa"/>
          </w:tcPr>
          <w:p w:rsidR="00F83E8B" w:rsidRDefault="00F83E8B" w:rsidP="00F83E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7DE">
              <w:t>The proposal would provide a pool of funds to Primary Health Networks, equivalent to $750 for each enrolled patient visiting allied health providers (such as physiotherapists, nutritionists, nurses and psychologists).</w:t>
            </w:r>
          </w:p>
          <w:p w:rsidR="005278EF" w:rsidRPr="006447DE" w:rsidRDefault="005278EF" w:rsidP="00F83E8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8EF">
              <w:t xml:space="preserve">The number of enrolled patients </w:t>
            </w:r>
            <w:r w:rsidR="002E1C24">
              <w:t xml:space="preserve">for whom funding would be provided </w:t>
            </w:r>
            <w:r>
              <w:t xml:space="preserve">would be capped at </w:t>
            </w:r>
            <w:r w:rsidR="00A812C3">
              <w:t>one</w:t>
            </w:r>
            <w:r>
              <w:t> </w:t>
            </w:r>
            <w:r w:rsidRPr="005278EF">
              <w:t>million</w:t>
            </w:r>
            <w:r>
              <w:t xml:space="preserve"> patients</w:t>
            </w:r>
            <w:r w:rsidRPr="005278EF">
              <w:t xml:space="preserve"> per annum</w:t>
            </w:r>
            <w:r>
              <w:t>.</w:t>
            </w:r>
          </w:p>
          <w:p w:rsidR="0075751E" w:rsidRDefault="00F83E8B" w:rsidP="00F83E8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47DE">
              <w:t>The proposal would have effect from 1 July 2017.</w:t>
            </w:r>
          </w:p>
        </w:tc>
      </w:tr>
      <w:tr w:rsidR="0075751E" w:rsidTr="00431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431DEB">
            <w:pPr>
              <w:pStyle w:val="BodyText"/>
            </w:pPr>
            <w:r>
              <w:t>Person/party requesting costing:</w:t>
            </w:r>
          </w:p>
        </w:tc>
        <w:tc>
          <w:tcPr>
            <w:tcW w:w="5335" w:type="dxa"/>
          </w:tcPr>
          <w:p w:rsidR="0075751E" w:rsidRDefault="0075751E" w:rsidP="00431DE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648">
              <w:t>Senator Richard Di Natale, Australian Greens</w:t>
            </w:r>
          </w:p>
        </w:tc>
      </w:tr>
      <w:tr w:rsidR="002F62C3" w:rsidTr="00D4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2F62C3" w:rsidRDefault="002F62C3" w:rsidP="00D44A17">
            <w:pPr>
              <w:pStyle w:val="BodyText"/>
            </w:pPr>
            <w:r>
              <w:t>Date of public release of policy:</w:t>
            </w:r>
          </w:p>
        </w:tc>
        <w:tc>
          <w:tcPr>
            <w:tcW w:w="5335" w:type="dxa"/>
          </w:tcPr>
          <w:p w:rsidR="002F62C3" w:rsidRPr="005278EF" w:rsidRDefault="005278EF" w:rsidP="00D44A17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78EF">
              <w:t>27 May</w:t>
            </w:r>
            <w:r w:rsidR="002F62C3" w:rsidRPr="005278EF">
              <w:t xml:space="preserve"> 2016</w:t>
            </w:r>
          </w:p>
        </w:tc>
      </w:tr>
      <w:tr w:rsidR="0075751E" w:rsidTr="00431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431DEB">
            <w:pPr>
              <w:pStyle w:val="BodyText"/>
            </w:pPr>
            <w:r>
              <w:t>Date costing request received:</w:t>
            </w:r>
          </w:p>
        </w:tc>
        <w:tc>
          <w:tcPr>
            <w:tcW w:w="5335" w:type="dxa"/>
          </w:tcPr>
          <w:p w:rsidR="0075751E" w:rsidRPr="005278EF" w:rsidRDefault="005278EF" w:rsidP="00431DE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78EF">
              <w:t>29</w:t>
            </w:r>
            <w:r w:rsidR="0075751E" w:rsidRPr="005278EF">
              <w:t xml:space="preserve"> June 2016</w:t>
            </w:r>
          </w:p>
        </w:tc>
      </w:tr>
      <w:tr w:rsidR="0075751E" w:rsidTr="0043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Default="0075751E" w:rsidP="00431DEB">
            <w:pPr>
              <w:pStyle w:val="BodyText"/>
            </w:pPr>
            <w:r>
              <w:t>Date costing completed</w:t>
            </w:r>
            <w:r w:rsidR="00161742">
              <w:t>:</w:t>
            </w:r>
          </w:p>
        </w:tc>
        <w:tc>
          <w:tcPr>
            <w:tcW w:w="5335" w:type="dxa"/>
          </w:tcPr>
          <w:p w:rsidR="0075751E" w:rsidRPr="00995DD2" w:rsidRDefault="005278EF" w:rsidP="00431DE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  <w:r w:rsidR="0075751E" w:rsidRPr="00995DD2">
              <w:t xml:space="preserve"> June 2016</w:t>
            </w:r>
          </w:p>
        </w:tc>
      </w:tr>
      <w:tr w:rsidR="00161742" w:rsidTr="00BA45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61742" w:rsidRPr="00220BE5" w:rsidRDefault="00161742" w:rsidP="00BA4582">
            <w:pPr>
              <w:pStyle w:val="BodyText"/>
            </w:pPr>
            <w:r>
              <w:t>Additional information requested:</w:t>
            </w:r>
          </w:p>
        </w:tc>
        <w:tc>
          <w:tcPr>
            <w:tcW w:w="5335" w:type="dxa"/>
          </w:tcPr>
          <w:p w:rsidR="00161742" w:rsidRPr="002434ED" w:rsidRDefault="00161742" w:rsidP="00161742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 29 June 2016 clarification was sought from the office of </w:t>
            </w:r>
            <w:r w:rsidRPr="004261C0">
              <w:t>Senator Di Natale</w:t>
            </w:r>
            <w:r>
              <w:t xml:space="preserve"> (the office) as to the start date of the policy.</w:t>
            </w:r>
          </w:p>
        </w:tc>
      </w:tr>
      <w:tr w:rsidR="00161742" w:rsidTr="0043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161742" w:rsidRPr="00220BE5" w:rsidRDefault="00161742" w:rsidP="00BA4582">
            <w:pPr>
              <w:pStyle w:val="BodyText"/>
            </w:pPr>
            <w:r>
              <w:t>Additional information received:</w:t>
            </w:r>
          </w:p>
        </w:tc>
        <w:tc>
          <w:tcPr>
            <w:tcW w:w="5335" w:type="dxa"/>
          </w:tcPr>
          <w:p w:rsidR="00161742" w:rsidRPr="004261C0" w:rsidRDefault="00161742" w:rsidP="000A434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29 Ju</w:t>
            </w:r>
            <w:r w:rsidR="000A4343">
              <w:t>ne 2016 the office advised that the proposal would commence on 1 July 2017.</w:t>
            </w:r>
          </w:p>
        </w:tc>
      </w:tr>
      <w:tr w:rsidR="0075751E" w:rsidTr="00431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75751E" w:rsidRPr="00220BE5" w:rsidRDefault="0075751E" w:rsidP="00431DEB">
            <w:pPr>
              <w:pStyle w:val="BodyText"/>
            </w:pPr>
            <w:r w:rsidRPr="00220BE5">
              <w:t>Expiry date for the costing:</w:t>
            </w:r>
          </w:p>
        </w:tc>
        <w:tc>
          <w:tcPr>
            <w:tcW w:w="5335" w:type="dxa"/>
          </w:tcPr>
          <w:p w:rsidR="0075751E" w:rsidRPr="00220BE5" w:rsidRDefault="005A02B2" w:rsidP="00431DE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Release of the next economic and fiscal outlook report</w:t>
            </w:r>
          </w:p>
        </w:tc>
      </w:tr>
    </w:tbl>
    <w:p w:rsidR="0075751E" w:rsidRPr="00002D5D" w:rsidRDefault="0075751E" w:rsidP="0075751E">
      <w:pPr>
        <w:pStyle w:val="Heading2"/>
      </w:pPr>
      <w:r w:rsidRPr="00002D5D">
        <w:t>Costing overview</w:t>
      </w:r>
    </w:p>
    <w:p w:rsidR="00F83E8B" w:rsidRDefault="00F83E8B" w:rsidP="00F83E8B">
      <w:r w:rsidRPr="00FA15BC">
        <w:t xml:space="preserve">This </w:t>
      </w:r>
      <w:r>
        <w:t>proposal</w:t>
      </w:r>
      <w:r w:rsidRPr="00FA15BC">
        <w:t xml:space="preserve"> would</w:t>
      </w:r>
      <w:r>
        <w:t xml:space="preserve"> be expected to decrease</w:t>
      </w:r>
      <w:r w:rsidRPr="00FA15BC">
        <w:t xml:space="preserve"> </w:t>
      </w:r>
      <w:r w:rsidRPr="0026000C">
        <w:t xml:space="preserve">the </w:t>
      </w:r>
      <w:r>
        <w:t xml:space="preserve">fiscal and </w:t>
      </w:r>
      <w:r w:rsidRPr="0026000C">
        <w:t xml:space="preserve">underlying cash </w:t>
      </w:r>
      <w:r>
        <w:t>balances by $</w:t>
      </w:r>
      <w:r w:rsidR="005278EF">
        <w:t>2,</w:t>
      </w:r>
      <w:r w:rsidR="000A4343">
        <w:t>047.7</w:t>
      </w:r>
      <w:r>
        <w:t> </w:t>
      </w:r>
      <w:r w:rsidRPr="0026000C">
        <w:t>million over the 201</w:t>
      </w:r>
      <w:r>
        <w:t>6</w:t>
      </w:r>
      <w:r w:rsidRPr="0026000C">
        <w:t>-1</w:t>
      </w:r>
      <w:r>
        <w:t>7</w:t>
      </w:r>
      <w:r w:rsidRPr="0026000C">
        <w:t xml:space="preserve"> Budget forward estimates period</w:t>
      </w:r>
      <w:r>
        <w:t>.  The</w:t>
      </w:r>
      <w:r w:rsidR="002E1C24">
        <w:t>se</w:t>
      </w:r>
      <w:r>
        <w:t xml:space="preserve"> impacts are due to an increase in administered expenses of $</w:t>
      </w:r>
      <w:r w:rsidR="005278EF">
        <w:t>2,</w:t>
      </w:r>
      <w:r w:rsidR="000A4343">
        <w:t>025</w:t>
      </w:r>
      <w:r w:rsidR="005278EF">
        <w:t>.0</w:t>
      </w:r>
      <w:r>
        <w:t xml:space="preserve"> million and an increase in departmental expenses of $</w:t>
      </w:r>
      <w:r w:rsidR="000A4343">
        <w:t>22.7</w:t>
      </w:r>
      <w:r>
        <w:t> million.</w:t>
      </w:r>
    </w:p>
    <w:p w:rsidR="00F83E8B" w:rsidRDefault="00F83E8B" w:rsidP="00F83E8B">
      <w:pPr>
        <w:keepLines/>
        <w:rPr>
          <w:u w:val="single"/>
        </w:rPr>
      </w:pPr>
      <w:r>
        <w:t>This</w:t>
      </w:r>
      <w:r w:rsidRPr="001A1660">
        <w:t xml:space="preserve"> proposal would have an ongoing effect beyond the forward estimates period</w:t>
      </w:r>
      <w:r>
        <w:t xml:space="preserve"> and</w:t>
      </w:r>
      <w:r w:rsidR="00FE78D8">
        <w:t xml:space="preserve"> a breakdown of</w:t>
      </w:r>
      <w:r>
        <w:t xml:space="preserve"> the financial impact</w:t>
      </w:r>
      <w:r w:rsidR="008D77E9">
        <w:t>s</w:t>
      </w:r>
      <w:r>
        <w:t xml:space="preserve"> to 2026-27 </w:t>
      </w:r>
      <w:r w:rsidR="00FE78D8">
        <w:t>is</w:t>
      </w:r>
      <w:r>
        <w:t xml:space="preserve"> provided at </w:t>
      </w:r>
      <w:r w:rsidRPr="00B8764A">
        <w:rPr>
          <w:u w:val="single"/>
        </w:rPr>
        <w:t>Attachment A</w:t>
      </w:r>
      <w:r w:rsidRPr="00431DEB">
        <w:t>.</w:t>
      </w:r>
    </w:p>
    <w:p w:rsidR="00F83E8B" w:rsidRPr="00752791" w:rsidRDefault="00F83E8B" w:rsidP="00F83E8B">
      <w:r w:rsidRPr="00752791">
        <w:lastRenderedPageBreak/>
        <w:t xml:space="preserve">This costing is considered to be </w:t>
      </w:r>
      <w:r>
        <w:t xml:space="preserve">of </w:t>
      </w:r>
      <w:r w:rsidR="005278EF">
        <w:t>high</w:t>
      </w:r>
      <w:r w:rsidRPr="00752791">
        <w:t xml:space="preserve"> reliability </w:t>
      </w:r>
      <w:r w:rsidR="005278EF">
        <w:t>as</w:t>
      </w:r>
      <w:r>
        <w:t xml:space="preserve"> the </w:t>
      </w:r>
      <w:r w:rsidR="005278EF">
        <w:t xml:space="preserve">number of enrolled patients is specified and departmental </w:t>
      </w:r>
      <w:r w:rsidR="00B41DF7">
        <w:t>expenses</w:t>
      </w:r>
      <w:r w:rsidR="005278EF">
        <w:t xml:space="preserve"> are based on similar activities</w:t>
      </w:r>
      <w:r>
        <w:rPr>
          <w:rFonts w:eastAsia="Times New Roman"/>
        </w:rPr>
        <w:t>.</w:t>
      </w:r>
    </w:p>
    <w:p w:rsidR="0075751E" w:rsidRPr="00FC6579" w:rsidRDefault="0075751E" w:rsidP="0075751E">
      <w:pPr>
        <w:pStyle w:val="Captionheading"/>
      </w:pPr>
      <w:r w:rsidRPr="00FC6579">
        <w:t>Table 1: Financial implications (outturn prices)</w:t>
      </w:r>
      <w:r w:rsidRPr="00844776">
        <w:rPr>
          <w:vertAlign w:val="superscript"/>
        </w:rPr>
        <w:t>(a)</w:t>
      </w:r>
      <w:r w:rsidR="00B8764A">
        <w:rPr>
          <w:vertAlign w:val="superscript"/>
        </w:rPr>
        <w:t>(b)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645"/>
        <w:gridCol w:w="1134"/>
        <w:gridCol w:w="1133"/>
        <w:gridCol w:w="1133"/>
        <w:gridCol w:w="1133"/>
        <w:gridCol w:w="1132"/>
      </w:tblGrid>
      <w:tr w:rsidR="0075751E" w:rsidRPr="00B73AC8" w:rsidTr="00431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1" w:type="pct"/>
          </w:tcPr>
          <w:p w:rsidR="0075751E" w:rsidRPr="00512A8C" w:rsidRDefault="0075751E" w:rsidP="00AE0D63">
            <w:pPr>
              <w:pStyle w:val="TableText"/>
              <w:keepNext/>
              <w:keepLines/>
              <w:spacing w:line="240" w:lineRule="auto"/>
              <w:ind w:left="57" w:right="57"/>
              <w:rPr>
                <w:rFonts w:ascii="Calibri" w:hAnsi="Calibri"/>
                <w:b w:val="0"/>
                <w:szCs w:val="20"/>
              </w:rPr>
            </w:pPr>
            <w:r w:rsidRPr="00512A8C">
              <w:rPr>
                <w:rFonts w:ascii="Calibri" w:hAnsi="Calibri"/>
                <w:b w:val="0"/>
                <w:szCs w:val="20"/>
              </w:rPr>
              <w:t>Impact on ($m)</w:t>
            </w:r>
          </w:p>
        </w:tc>
        <w:tc>
          <w:tcPr>
            <w:tcW w:w="682" w:type="pct"/>
          </w:tcPr>
          <w:p w:rsidR="0075751E" w:rsidRPr="00512A8C" w:rsidRDefault="0075751E" w:rsidP="00AE0D63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512A8C">
              <w:rPr>
                <w:rFonts w:ascii="Calibri" w:hAnsi="Calibri"/>
                <w:b w:val="0"/>
                <w:sz w:val="20"/>
                <w:szCs w:val="20"/>
              </w:rPr>
              <w:t>2016–17</w:t>
            </w:r>
          </w:p>
        </w:tc>
        <w:tc>
          <w:tcPr>
            <w:tcW w:w="682" w:type="pct"/>
          </w:tcPr>
          <w:p w:rsidR="0075751E" w:rsidRPr="00512A8C" w:rsidRDefault="0075751E" w:rsidP="00AE0D63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512A8C">
              <w:rPr>
                <w:rFonts w:ascii="Calibri" w:hAnsi="Calibri"/>
                <w:b w:val="0"/>
                <w:sz w:val="20"/>
                <w:szCs w:val="20"/>
              </w:rPr>
              <w:t>2017–18</w:t>
            </w:r>
          </w:p>
        </w:tc>
        <w:tc>
          <w:tcPr>
            <w:tcW w:w="682" w:type="pct"/>
          </w:tcPr>
          <w:p w:rsidR="0075751E" w:rsidRPr="00512A8C" w:rsidRDefault="0075751E" w:rsidP="00AE0D63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512A8C">
              <w:rPr>
                <w:rFonts w:ascii="Calibri" w:hAnsi="Calibri"/>
                <w:b w:val="0"/>
                <w:sz w:val="20"/>
                <w:szCs w:val="20"/>
              </w:rPr>
              <w:t>2018–19</w:t>
            </w:r>
          </w:p>
        </w:tc>
        <w:tc>
          <w:tcPr>
            <w:tcW w:w="682" w:type="pct"/>
          </w:tcPr>
          <w:p w:rsidR="0075751E" w:rsidRPr="00512A8C" w:rsidRDefault="0075751E" w:rsidP="00AE0D63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0"/>
                <w:szCs w:val="20"/>
              </w:rPr>
            </w:pPr>
            <w:r w:rsidRPr="00512A8C">
              <w:rPr>
                <w:rFonts w:ascii="Calibri" w:hAnsi="Calibri"/>
                <w:b w:val="0"/>
                <w:sz w:val="20"/>
                <w:szCs w:val="20"/>
              </w:rPr>
              <w:t>2019–20</w:t>
            </w:r>
          </w:p>
        </w:tc>
        <w:tc>
          <w:tcPr>
            <w:tcW w:w="681" w:type="pct"/>
          </w:tcPr>
          <w:p w:rsidR="0075751E" w:rsidRPr="00B73AC8" w:rsidRDefault="0075751E" w:rsidP="00AE0D63">
            <w:pPr>
              <w:keepNext/>
              <w:keepLines/>
              <w:spacing w:before="70" w:after="70" w:line="240" w:lineRule="auto"/>
              <w:ind w:left="57"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73AC8">
              <w:rPr>
                <w:rFonts w:ascii="Calibri" w:hAnsi="Calibri"/>
                <w:sz w:val="20"/>
                <w:szCs w:val="20"/>
              </w:rPr>
              <w:t>Total</w:t>
            </w:r>
          </w:p>
        </w:tc>
      </w:tr>
      <w:tr w:rsidR="000A4343" w:rsidRPr="00B73AC8" w:rsidTr="000A4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0A4343" w:rsidRPr="00B73AC8" w:rsidRDefault="000A4343" w:rsidP="00AE0D63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Fiscal balance</w:t>
            </w:r>
          </w:p>
        </w:tc>
        <w:tc>
          <w:tcPr>
            <w:tcW w:w="682" w:type="pct"/>
            <w:vAlign w:val="center"/>
          </w:tcPr>
          <w:p w:rsidR="000A4343" w:rsidRPr="000A4343" w:rsidRDefault="000A4343" w:rsidP="00AE0D63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vAlign w:val="center"/>
          </w:tcPr>
          <w:p w:rsidR="000A4343" w:rsidRPr="000A4343" w:rsidRDefault="000A4343" w:rsidP="00AE0D63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A4343">
              <w:rPr>
                <w:sz w:val="20"/>
              </w:rPr>
              <w:t xml:space="preserve">-531.7 </w:t>
            </w:r>
          </w:p>
        </w:tc>
        <w:tc>
          <w:tcPr>
            <w:tcW w:w="682" w:type="pct"/>
            <w:vAlign w:val="center"/>
          </w:tcPr>
          <w:p w:rsidR="000A4343" w:rsidRPr="000A4343" w:rsidRDefault="000A4343" w:rsidP="00AE0D63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A4343">
              <w:rPr>
                <w:sz w:val="20"/>
              </w:rPr>
              <w:t xml:space="preserve">-758.0 </w:t>
            </w:r>
          </w:p>
        </w:tc>
        <w:tc>
          <w:tcPr>
            <w:tcW w:w="682" w:type="pct"/>
            <w:vAlign w:val="center"/>
          </w:tcPr>
          <w:p w:rsidR="000A4343" w:rsidRPr="000A4343" w:rsidRDefault="000A4343" w:rsidP="00AE0D63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A4343">
              <w:rPr>
                <w:sz w:val="20"/>
              </w:rPr>
              <w:t xml:space="preserve">-758.0 </w:t>
            </w:r>
          </w:p>
        </w:tc>
        <w:tc>
          <w:tcPr>
            <w:tcW w:w="681" w:type="pct"/>
            <w:vAlign w:val="center"/>
          </w:tcPr>
          <w:p w:rsidR="000A4343" w:rsidRPr="000A4343" w:rsidRDefault="000A4343" w:rsidP="00AE0D63">
            <w:pPr>
              <w:spacing w:before="70" w:after="70" w:line="240" w:lineRule="auto"/>
              <w:ind w:left="57"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0A4343">
              <w:rPr>
                <w:b/>
                <w:sz w:val="20"/>
              </w:rPr>
              <w:t xml:space="preserve">-2,047.7 </w:t>
            </w:r>
          </w:p>
        </w:tc>
      </w:tr>
      <w:tr w:rsidR="000A4343" w:rsidRPr="00B73AC8" w:rsidTr="00FF6B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:rsidR="000A4343" w:rsidRPr="00B73AC8" w:rsidRDefault="000A4343" w:rsidP="00AE0D63">
            <w:pPr>
              <w:pStyle w:val="TableTextCentred"/>
              <w:keepNext/>
              <w:keepLines/>
              <w:spacing w:line="240" w:lineRule="auto"/>
              <w:ind w:left="57" w:right="57"/>
              <w:jc w:val="left"/>
              <w:rPr>
                <w:rFonts w:ascii="Calibri" w:hAnsi="Calibri"/>
                <w:szCs w:val="20"/>
              </w:rPr>
            </w:pPr>
            <w:r w:rsidRPr="00B73AC8">
              <w:rPr>
                <w:rFonts w:ascii="Calibri" w:hAnsi="Calibri"/>
                <w:szCs w:val="20"/>
              </w:rPr>
              <w:t>Underlying cash balance</w:t>
            </w:r>
          </w:p>
        </w:tc>
        <w:tc>
          <w:tcPr>
            <w:tcW w:w="682" w:type="pct"/>
            <w:vAlign w:val="center"/>
          </w:tcPr>
          <w:p w:rsidR="000A4343" w:rsidRPr="000A4343" w:rsidRDefault="000A4343" w:rsidP="00AE0D63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>-</w:t>
            </w:r>
          </w:p>
        </w:tc>
        <w:tc>
          <w:tcPr>
            <w:tcW w:w="682" w:type="pct"/>
            <w:vAlign w:val="center"/>
          </w:tcPr>
          <w:p w:rsidR="000A4343" w:rsidRPr="000A4343" w:rsidRDefault="000A4343" w:rsidP="00AE0D63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343">
              <w:rPr>
                <w:sz w:val="20"/>
              </w:rPr>
              <w:t xml:space="preserve">-531.7 </w:t>
            </w:r>
          </w:p>
        </w:tc>
        <w:tc>
          <w:tcPr>
            <w:tcW w:w="682" w:type="pct"/>
            <w:vAlign w:val="center"/>
          </w:tcPr>
          <w:p w:rsidR="000A4343" w:rsidRPr="000A4343" w:rsidRDefault="000A4343" w:rsidP="00AE0D63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343">
              <w:rPr>
                <w:sz w:val="20"/>
              </w:rPr>
              <w:t xml:space="preserve">-758.0 </w:t>
            </w:r>
          </w:p>
        </w:tc>
        <w:tc>
          <w:tcPr>
            <w:tcW w:w="682" w:type="pct"/>
            <w:vAlign w:val="center"/>
          </w:tcPr>
          <w:p w:rsidR="000A4343" w:rsidRPr="000A4343" w:rsidRDefault="000A4343" w:rsidP="00AE0D63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A4343">
              <w:rPr>
                <w:sz w:val="20"/>
              </w:rPr>
              <w:t xml:space="preserve">-758.0 </w:t>
            </w:r>
          </w:p>
        </w:tc>
        <w:tc>
          <w:tcPr>
            <w:tcW w:w="681" w:type="pct"/>
            <w:vAlign w:val="center"/>
          </w:tcPr>
          <w:p w:rsidR="000A4343" w:rsidRPr="000A4343" w:rsidRDefault="000A4343" w:rsidP="00AE0D63">
            <w:pPr>
              <w:spacing w:before="70" w:after="70" w:line="240" w:lineRule="auto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0A4343">
              <w:rPr>
                <w:b/>
                <w:sz w:val="20"/>
              </w:rPr>
              <w:t xml:space="preserve">-2,047.7 </w:t>
            </w:r>
          </w:p>
        </w:tc>
      </w:tr>
    </w:tbl>
    <w:p w:rsidR="00503AAD" w:rsidRDefault="00503AAD" w:rsidP="00AE0D63">
      <w:pPr>
        <w:pStyle w:val="Footnotes"/>
        <w:ind w:left="284" w:hanging="284"/>
      </w:pPr>
      <w:r w:rsidRPr="003038C0">
        <w:t>A</w:t>
      </w:r>
      <w:r w:rsidR="00B8764A">
        <w:t xml:space="preserve"> positive number indicates an increase in the relevant budget balance, a negative number a decrease</w:t>
      </w:r>
      <w:r w:rsidRPr="003038C0" w:rsidDel="0066665A">
        <w:t>.</w:t>
      </w:r>
      <w:r>
        <w:t xml:space="preserve"> </w:t>
      </w:r>
    </w:p>
    <w:p w:rsidR="00B8764A" w:rsidRPr="005C0B39" w:rsidRDefault="00B8764A" w:rsidP="00AE0D63">
      <w:pPr>
        <w:pStyle w:val="Footnotes"/>
        <w:ind w:left="284" w:hanging="284"/>
      </w:pPr>
      <w:r>
        <w:t>Figures may not sum to totals due to rounding</w:t>
      </w:r>
    </w:p>
    <w:p w:rsidR="0075751E" w:rsidRPr="00FC6579" w:rsidRDefault="0075751E" w:rsidP="0075751E">
      <w:pPr>
        <w:pStyle w:val="Heading2"/>
      </w:pPr>
      <w:r w:rsidRPr="00FC6579">
        <w:t>Key assumptions</w:t>
      </w:r>
    </w:p>
    <w:p w:rsidR="00F83E8B" w:rsidRDefault="0075751E" w:rsidP="005278EF">
      <w:pPr>
        <w:keepLines/>
      </w:pPr>
      <w:r w:rsidRPr="00055012">
        <w:t xml:space="preserve">In </w:t>
      </w:r>
      <w:r>
        <w:t>costing the pro</w:t>
      </w:r>
      <w:r w:rsidR="005278EF">
        <w:t xml:space="preserve">posal, it has been assumed that </w:t>
      </w:r>
      <w:r w:rsidR="00F83E8B">
        <w:t xml:space="preserve">70 percent of </w:t>
      </w:r>
      <w:r w:rsidR="00161742">
        <w:t xml:space="preserve">the capped one million patients </w:t>
      </w:r>
      <w:r w:rsidR="000A4343">
        <w:t>visiting</w:t>
      </w:r>
      <w:r w:rsidR="00F83E8B">
        <w:t xml:space="preserve"> allied health providers would enrol in the system in 201</w:t>
      </w:r>
      <w:r w:rsidR="000A4343">
        <w:t>7</w:t>
      </w:r>
      <w:r w:rsidR="00F83E8B">
        <w:t>-1</w:t>
      </w:r>
      <w:r w:rsidR="000A4343">
        <w:t>8</w:t>
      </w:r>
      <w:r w:rsidR="00F83E8B">
        <w:t xml:space="preserve"> and the remaining 30 percent would enrol in 201</w:t>
      </w:r>
      <w:r w:rsidR="000A4343">
        <w:t>8</w:t>
      </w:r>
      <w:r w:rsidR="00F83E8B">
        <w:t>-1</w:t>
      </w:r>
      <w:r w:rsidR="000A4343">
        <w:t>9</w:t>
      </w:r>
      <w:r w:rsidR="005278EF">
        <w:t>.</w:t>
      </w:r>
    </w:p>
    <w:p w:rsidR="0075751E" w:rsidRDefault="0075751E" w:rsidP="0075751E">
      <w:pPr>
        <w:pStyle w:val="Heading2"/>
      </w:pPr>
      <w:r w:rsidRPr="00FC6579">
        <w:t>Methodology</w:t>
      </w:r>
    </w:p>
    <w:p w:rsidR="00F83E8B" w:rsidRDefault="00F83E8B" w:rsidP="00F83E8B">
      <w:pPr>
        <w:pStyle w:val="BodyText"/>
      </w:pPr>
      <w:r>
        <w:t>The impact of this proposal on administered expen</w:t>
      </w:r>
      <w:r w:rsidR="00503AAD">
        <w:t>ses</w:t>
      </w:r>
      <w:r>
        <w:t xml:space="preserve"> was derived by multiplying the </w:t>
      </w:r>
      <w:r w:rsidR="00161742">
        <w:t xml:space="preserve">specified </w:t>
      </w:r>
      <w:r>
        <w:t>number of enrolled patients by the specified annual funding per patient ($750).</w:t>
      </w:r>
    </w:p>
    <w:p w:rsidR="00F83E8B" w:rsidRDefault="00F83E8B" w:rsidP="00F83E8B">
      <w:pPr>
        <w:pStyle w:val="BodyText"/>
      </w:pPr>
      <w:r>
        <w:t xml:space="preserve">The departmental </w:t>
      </w:r>
      <w:r w:rsidR="00B41DF7">
        <w:t>expenses</w:t>
      </w:r>
      <w:r>
        <w:t xml:space="preserve"> for the Department of Human Services (DHS) were derived by multiplying the estimated number of annually enrolled patients by the estimated processing cost per transaction </w:t>
      </w:r>
      <w:r w:rsidR="00B75D68">
        <w:t xml:space="preserve">(based on similar activities) </w:t>
      </w:r>
      <w:r>
        <w:t>with additional funding for the development of the payment system in 201</w:t>
      </w:r>
      <w:r w:rsidR="000A4343">
        <w:t>7</w:t>
      </w:r>
      <w:r>
        <w:t>-1</w:t>
      </w:r>
      <w:r w:rsidR="000A4343">
        <w:t>8</w:t>
      </w:r>
      <w:r>
        <w:t>.</w:t>
      </w:r>
    </w:p>
    <w:p w:rsidR="00F83E8B" w:rsidRDefault="00F83E8B" w:rsidP="00F83E8B">
      <w:pPr>
        <w:pStyle w:val="BodyText"/>
      </w:pPr>
      <w:r>
        <w:t xml:space="preserve">The departmental </w:t>
      </w:r>
      <w:r w:rsidR="00B41DF7">
        <w:t>expenses</w:t>
      </w:r>
      <w:r>
        <w:t xml:space="preserve"> for the Department of Health (H</w:t>
      </w:r>
      <w:r w:rsidR="00161742">
        <w:t>ealth</w:t>
      </w:r>
      <w:r>
        <w:t>) were calculated based on similar sized programs</w:t>
      </w:r>
      <w:r w:rsidR="001C25E8">
        <w:rPr>
          <w:rStyle w:val="FootnoteReference"/>
        </w:rPr>
        <w:footnoteReference w:id="1"/>
      </w:r>
      <w:r>
        <w:t>.</w:t>
      </w:r>
    </w:p>
    <w:p w:rsidR="0075751E" w:rsidRPr="00FC6579" w:rsidRDefault="0075751E" w:rsidP="0075751E">
      <w:pPr>
        <w:pStyle w:val="Heading2"/>
      </w:pPr>
      <w:r w:rsidRPr="00FC6579">
        <w:t>Data sources</w:t>
      </w:r>
    </w:p>
    <w:p w:rsidR="0075751E" w:rsidRDefault="0075751E" w:rsidP="0075751E">
      <w:r>
        <w:t xml:space="preserve">The Department of Finance </w:t>
      </w:r>
      <w:r w:rsidR="005278EF">
        <w:t>provided</w:t>
      </w:r>
      <w:r>
        <w:t xml:space="preserve"> indexation and efficiency dividend parameters</w:t>
      </w:r>
      <w:r w:rsidRPr="00323E47">
        <w:t>.</w:t>
      </w:r>
    </w:p>
    <w:p w:rsidR="005278EF" w:rsidRDefault="00124F75" w:rsidP="005278EF">
      <w:pPr>
        <w:pStyle w:val="Bullet1"/>
        <w:keepLines w:val="0"/>
        <w:numPr>
          <w:ilvl w:val="0"/>
          <w:numId w:val="0"/>
        </w:numPr>
      </w:pPr>
      <w:r>
        <w:t xml:space="preserve">The </w:t>
      </w:r>
      <w:r w:rsidR="009675C4">
        <w:t xml:space="preserve">Department of Human Services </w:t>
      </w:r>
      <w:r w:rsidR="005278EF">
        <w:t>provided the 2016-17 Budget Funding Model on Unit Prices for National Policy Proposals.</w:t>
      </w:r>
    </w:p>
    <w:p w:rsidR="005278EF" w:rsidRPr="00FC6579" w:rsidRDefault="005278EF" w:rsidP="0025349E">
      <w:pPr>
        <w:pStyle w:val="Bullet1"/>
        <w:keepLines w:val="0"/>
        <w:numPr>
          <w:ilvl w:val="0"/>
          <w:numId w:val="0"/>
        </w:numPr>
        <w:rPr>
          <w:highlight w:val="yellow"/>
        </w:rPr>
        <w:sectPr w:rsidR="005278EF" w:rsidRPr="00FC6579" w:rsidSect="00002D5D">
          <w:headerReference w:type="first" r:id="rId13"/>
          <w:footerReference w:type="first" r:id="rId14"/>
          <w:pgSz w:w="11906" w:h="16838"/>
          <w:pgMar w:top="1361" w:right="1797" w:bottom="1474" w:left="1797" w:header="709" w:footer="709" w:gutter="0"/>
          <w:cols w:space="708"/>
          <w:titlePg/>
          <w:docGrid w:linePitch="360"/>
        </w:sectPr>
      </w:pPr>
    </w:p>
    <w:p w:rsidR="001A02D1" w:rsidRPr="00FC6579" w:rsidRDefault="001A02D1" w:rsidP="00FC6579">
      <w:pPr>
        <w:pStyle w:val="Heading1"/>
      </w:pPr>
      <w:r w:rsidRPr="00FC6579">
        <w:lastRenderedPageBreak/>
        <w:t>Attachment A:</w:t>
      </w:r>
      <w:r w:rsidR="00497FD5">
        <w:t xml:space="preserve"> </w:t>
      </w:r>
      <w:r w:rsidR="00F83E8B" w:rsidRPr="00F83E8B">
        <w:t>Primary Health Networks</w:t>
      </w:r>
      <w:r w:rsidR="00B75D68">
        <w:t xml:space="preserve"> </w:t>
      </w:r>
      <w:r w:rsidR="00077E7F">
        <w:t>–</w:t>
      </w:r>
      <w:r w:rsidR="00F83E8B" w:rsidRPr="00F83E8B">
        <w:t xml:space="preserve"> funding</w:t>
      </w:r>
      <w:r w:rsidR="00077E7F">
        <w:t>—</w:t>
      </w:r>
      <w:r w:rsidR="00440E32">
        <w:t>financial implications</w:t>
      </w:r>
    </w:p>
    <w:p w:rsidR="00F52474" w:rsidRPr="00497FD5" w:rsidRDefault="00F52474" w:rsidP="00FC6579">
      <w:pPr>
        <w:pStyle w:val="Captionheading"/>
        <w:rPr>
          <w:vertAlign w:val="superscript"/>
        </w:rPr>
      </w:pPr>
      <w:r w:rsidRPr="00FC6579">
        <w:t xml:space="preserve">Table </w:t>
      </w:r>
      <w:r w:rsidR="00497FD5">
        <w:t>A1</w:t>
      </w:r>
      <w:r w:rsidRPr="00FC6579">
        <w:t xml:space="preserve">: </w:t>
      </w:r>
      <w:r w:rsidR="00497FD5">
        <w:t>Financial implications</w:t>
      </w:r>
      <w:r w:rsidR="005037F6">
        <w:rPr>
          <w:vertAlign w:val="superscript"/>
        </w:rPr>
        <w:t>(a)(b)</w:t>
      </w:r>
    </w:p>
    <w:tbl>
      <w:tblPr>
        <w:tblStyle w:val="TableGrid"/>
        <w:tblW w:w="4948" w:type="pct"/>
        <w:tblLook w:val="0680" w:firstRow="0" w:lastRow="0" w:firstColumn="1" w:lastColumn="0" w:noHBand="1" w:noVBand="1"/>
      </w:tblPr>
      <w:tblGrid>
        <w:gridCol w:w="2139"/>
        <w:gridCol w:w="905"/>
        <w:gridCol w:w="902"/>
        <w:gridCol w:w="902"/>
        <w:gridCol w:w="902"/>
        <w:gridCol w:w="907"/>
        <w:gridCol w:w="901"/>
        <w:gridCol w:w="901"/>
        <w:gridCol w:w="901"/>
        <w:gridCol w:w="901"/>
        <w:gridCol w:w="901"/>
        <w:gridCol w:w="901"/>
        <w:gridCol w:w="901"/>
        <w:gridCol w:w="904"/>
      </w:tblGrid>
      <w:tr w:rsidR="0054768C" w:rsidRPr="00B31810" w:rsidTr="00652B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</w:tcPr>
          <w:p w:rsidR="00957285" w:rsidRPr="00652BB0" w:rsidRDefault="00957285" w:rsidP="00662E65">
            <w:pPr>
              <w:keepNext/>
              <w:keepLines/>
              <w:rPr>
                <w:sz w:val="20"/>
                <w:szCs w:val="20"/>
              </w:rPr>
            </w:pPr>
            <w:r w:rsidRPr="00652BB0">
              <w:rPr>
                <w:sz w:val="20"/>
                <w:szCs w:val="20"/>
              </w:rPr>
              <w:t>($m)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2016–17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2017–18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2018–19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2019–20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957285" w:rsidRPr="00512A8C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2A8C">
              <w:rPr>
                <w:b/>
              </w:rPr>
              <w:t>Total to 2019–20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2020–21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2021–22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2022–23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2023–24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2024–25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2025–26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957285" w:rsidRPr="00C24267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4267">
              <w:t>2026–27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957285" w:rsidRPr="00512A8C" w:rsidRDefault="00957285" w:rsidP="00652BB0">
            <w:pPr>
              <w:pStyle w:val="TableHeadingCentre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12A8C">
              <w:rPr>
                <w:b/>
              </w:rPr>
              <w:t>Total to 2026–27</w:t>
            </w:r>
          </w:p>
        </w:tc>
      </w:tr>
      <w:tr w:rsidR="00652BB0" w:rsidTr="00652BB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652BB0" w:rsidRPr="00652BB0" w:rsidRDefault="002E0978" w:rsidP="00652BB0">
            <w:pPr>
              <w:spacing w:before="70" w:after="7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on f</w:t>
            </w:r>
            <w:r w:rsidRPr="00883351">
              <w:rPr>
                <w:b/>
                <w:sz w:val="20"/>
                <w:szCs w:val="20"/>
              </w:rPr>
              <w:t>iscal</w:t>
            </w:r>
            <w:r>
              <w:rPr>
                <w:b/>
                <w:sz w:val="20"/>
                <w:szCs w:val="20"/>
              </w:rPr>
              <w:t xml:space="preserve"> and underlying cash balances</w:t>
            </w:r>
          </w:p>
        </w:tc>
      </w:tr>
      <w:tr w:rsidR="005278EF" w:rsidTr="00DF277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5278EF" w:rsidRPr="00124A95" w:rsidRDefault="005278EF" w:rsidP="00FF6B46">
            <w:pPr>
              <w:spacing w:before="70" w:after="70"/>
              <w:rPr>
                <w:sz w:val="20"/>
                <w:szCs w:val="20"/>
              </w:rPr>
            </w:pPr>
            <w:r w:rsidRPr="00124A95">
              <w:rPr>
                <w:sz w:val="20"/>
                <w:szCs w:val="20"/>
              </w:rPr>
              <w:t>Administered</w:t>
            </w:r>
          </w:p>
        </w:tc>
        <w:tc>
          <w:tcPr>
            <w:tcW w:w="326" w:type="pct"/>
          </w:tcPr>
          <w:p w:rsidR="005278EF" w:rsidRPr="005278EF" w:rsidRDefault="007515C0" w:rsidP="00B75D68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5278EF" w:rsidRPr="005278EF" w:rsidRDefault="005278EF" w:rsidP="007515C0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>-</w:t>
            </w:r>
            <w:r w:rsidR="007515C0">
              <w:rPr>
                <w:i/>
                <w:sz w:val="20"/>
                <w:szCs w:val="20"/>
              </w:rPr>
              <w:t>525</w:t>
            </w:r>
            <w:r w:rsidRPr="005278EF">
              <w:rPr>
                <w:i/>
                <w:sz w:val="20"/>
                <w:szCs w:val="20"/>
              </w:rPr>
              <w:t xml:space="preserve">.0 </w:t>
            </w:r>
          </w:p>
        </w:tc>
        <w:tc>
          <w:tcPr>
            <w:tcW w:w="325" w:type="pct"/>
          </w:tcPr>
          <w:p w:rsidR="005278EF" w:rsidRPr="005278EF" w:rsidRDefault="005278EF" w:rsidP="00B75D68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 xml:space="preserve">-750.0 </w:t>
            </w:r>
          </w:p>
        </w:tc>
        <w:tc>
          <w:tcPr>
            <w:tcW w:w="325" w:type="pct"/>
          </w:tcPr>
          <w:p w:rsidR="005278EF" w:rsidRPr="005278EF" w:rsidRDefault="005278EF" w:rsidP="00B75D68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 xml:space="preserve">-750.0 </w:t>
            </w:r>
          </w:p>
        </w:tc>
        <w:tc>
          <w:tcPr>
            <w:tcW w:w="327" w:type="pct"/>
          </w:tcPr>
          <w:p w:rsidR="005278EF" w:rsidRPr="002E13AC" w:rsidRDefault="005278EF" w:rsidP="007515C0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2E13AC">
              <w:rPr>
                <w:b/>
                <w:i/>
                <w:sz w:val="20"/>
                <w:szCs w:val="20"/>
              </w:rPr>
              <w:t>-2,</w:t>
            </w:r>
            <w:r w:rsidR="007515C0">
              <w:rPr>
                <w:b/>
                <w:i/>
                <w:sz w:val="20"/>
                <w:szCs w:val="20"/>
              </w:rPr>
              <w:t>025</w:t>
            </w:r>
            <w:r w:rsidRPr="002E13AC">
              <w:rPr>
                <w:b/>
                <w:i/>
                <w:sz w:val="20"/>
                <w:szCs w:val="20"/>
              </w:rPr>
              <w:t xml:space="preserve">.0 </w:t>
            </w:r>
          </w:p>
        </w:tc>
        <w:tc>
          <w:tcPr>
            <w:tcW w:w="325" w:type="pct"/>
          </w:tcPr>
          <w:p w:rsidR="005278EF" w:rsidRPr="005278EF" w:rsidRDefault="005278EF" w:rsidP="00B75D68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 xml:space="preserve">-750.0 </w:t>
            </w:r>
          </w:p>
        </w:tc>
        <w:tc>
          <w:tcPr>
            <w:tcW w:w="325" w:type="pct"/>
          </w:tcPr>
          <w:p w:rsidR="005278EF" w:rsidRPr="005278EF" w:rsidRDefault="005278EF" w:rsidP="00B75D68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 xml:space="preserve">-750.0 </w:t>
            </w:r>
          </w:p>
        </w:tc>
        <w:tc>
          <w:tcPr>
            <w:tcW w:w="325" w:type="pct"/>
          </w:tcPr>
          <w:p w:rsidR="005278EF" w:rsidRPr="005278EF" w:rsidRDefault="005278EF" w:rsidP="00B75D68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 xml:space="preserve">-750.0 </w:t>
            </w:r>
          </w:p>
        </w:tc>
        <w:tc>
          <w:tcPr>
            <w:tcW w:w="325" w:type="pct"/>
          </w:tcPr>
          <w:p w:rsidR="005278EF" w:rsidRPr="005278EF" w:rsidRDefault="005278EF" w:rsidP="00B75D68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 xml:space="preserve">-750.0 </w:t>
            </w:r>
          </w:p>
        </w:tc>
        <w:tc>
          <w:tcPr>
            <w:tcW w:w="325" w:type="pct"/>
          </w:tcPr>
          <w:p w:rsidR="005278EF" w:rsidRPr="005278EF" w:rsidRDefault="005278EF" w:rsidP="00B75D68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 xml:space="preserve">-750.0 </w:t>
            </w:r>
          </w:p>
        </w:tc>
        <w:tc>
          <w:tcPr>
            <w:tcW w:w="325" w:type="pct"/>
          </w:tcPr>
          <w:p w:rsidR="005278EF" w:rsidRPr="005278EF" w:rsidRDefault="005278EF" w:rsidP="00B75D68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 xml:space="preserve">-750.0 </w:t>
            </w:r>
          </w:p>
        </w:tc>
        <w:tc>
          <w:tcPr>
            <w:tcW w:w="325" w:type="pct"/>
          </w:tcPr>
          <w:p w:rsidR="005278EF" w:rsidRPr="005278EF" w:rsidRDefault="005278EF" w:rsidP="00B75D68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 xml:space="preserve">-750.0 </w:t>
            </w:r>
          </w:p>
        </w:tc>
        <w:tc>
          <w:tcPr>
            <w:tcW w:w="326" w:type="pct"/>
          </w:tcPr>
          <w:p w:rsidR="005278EF" w:rsidRPr="002E13AC" w:rsidRDefault="005278EF" w:rsidP="007515C0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2E13AC">
              <w:rPr>
                <w:b/>
                <w:i/>
                <w:sz w:val="20"/>
                <w:szCs w:val="20"/>
              </w:rPr>
              <w:t>-</w:t>
            </w:r>
            <w:r w:rsidR="007515C0">
              <w:rPr>
                <w:b/>
                <w:i/>
                <w:sz w:val="20"/>
                <w:szCs w:val="20"/>
              </w:rPr>
              <w:t>7,275</w:t>
            </w:r>
            <w:r w:rsidRPr="002E13AC">
              <w:rPr>
                <w:b/>
                <w:i/>
                <w:sz w:val="20"/>
                <w:szCs w:val="20"/>
              </w:rPr>
              <w:t xml:space="preserve">.0 </w:t>
            </w:r>
          </w:p>
        </w:tc>
      </w:tr>
      <w:tr w:rsidR="009675C4" w:rsidTr="005278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E9ECF3"/>
          </w:tcPr>
          <w:p w:rsidR="009675C4" w:rsidRPr="002E13AC" w:rsidRDefault="009675C4" w:rsidP="005278EF">
            <w:pPr>
              <w:spacing w:before="70" w:after="70"/>
              <w:rPr>
                <w:b/>
                <w:i/>
                <w:sz w:val="20"/>
                <w:szCs w:val="20"/>
              </w:rPr>
            </w:pPr>
            <w:r w:rsidRPr="002E13AC">
              <w:rPr>
                <w:b/>
                <w:sz w:val="20"/>
                <w:szCs w:val="20"/>
              </w:rPr>
              <w:t>Departmental</w:t>
            </w:r>
          </w:p>
        </w:tc>
      </w:tr>
      <w:tr w:rsidR="000A4343" w:rsidTr="000A43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</w:tcPr>
          <w:p w:rsidR="000A4343" w:rsidRPr="005278EF" w:rsidRDefault="000A4343" w:rsidP="00FF6B46">
            <w:pPr>
              <w:spacing w:before="70" w:after="7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>Departmental (DHS)</w:t>
            </w:r>
          </w:p>
        </w:tc>
        <w:tc>
          <w:tcPr>
            <w:tcW w:w="326" w:type="pct"/>
            <w:vAlign w:val="center"/>
          </w:tcPr>
          <w:p w:rsidR="000A4343" w:rsidRPr="00B75D68" w:rsidRDefault="000A4343" w:rsidP="00B75D68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-5.8 </w:t>
            </w:r>
          </w:p>
        </w:tc>
        <w:tc>
          <w:tcPr>
            <w:tcW w:w="325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-7.1 </w:t>
            </w:r>
          </w:p>
        </w:tc>
        <w:tc>
          <w:tcPr>
            <w:tcW w:w="325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-7.1 </w:t>
            </w:r>
          </w:p>
        </w:tc>
        <w:tc>
          <w:tcPr>
            <w:tcW w:w="327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0A4343">
              <w:rPr>
                <w:b/>
                <w:i/>
                <w:sz w:val="20"/>
                <w:szCs w:val="20"/>
              </w:rPr>
              <w:t xml:space="preserve">-20.0 </w:t>
            </w:r>
          </w:p>
        </w:tc>
        <w:tc>
          <w:tcPr>
            <w:tcW w:w="325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-7.2 </w:t>
            </w:r>
          </w:p>
        </w:tc>
        <w:tc>
          <w:tcPr>
            <w:tcW w:w="325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-7.2 </w:t>
            </w:r>
          </w:p>
        </w:tc>
        <w:tc>
          <w:tcPr>
            <w:tcW w:w="325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-7.3 </w:t>
            </w:r>
          </w:p>
        </w:tc>
        <w:tc>
          <w:tcPr>
            <w:tcW w:w="325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-7.3 </w:t>
            </w:r>
          </w:p>
        </w:tc>
        <w:tc>
          <w:tcPr>
            <w:tcW w:w="325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-7.3 </w:t>
            </w:r>
          </w:p>
        </w:tc>
        <w:tc>
          <w:tcPr>
            <w:tcW w:w="325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-7.4 </w:t>
            </w:r>
          </w:p>
        </w:tc>
        <w:tc>
          <w:tcPr>
            <w:tcW w:w="325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-7.4 </w:t>
            </w:r>
          </w:p>
        </w:tc>
        <w:tc>
          <w:tcPr>
            <w:tcW w:w="326" w:type="pct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0A4343">
              <w:rPr>
                <w:b/>
                <w:i/>
                <w:sz w:val="20"/>
                <w:szCs w:val="20"/>
              </w:rPr>
              <w:t xml:space="preserve">-71.1 </w:t>
            </w:r>
          </w:p>
        </w:tc>
      </w:tr>
      <w:tr w:rsidR="000A4343" w:rsidTr="000A43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tcBorders>
              <w:bottom w:val="single" w:sz="4" w:space="0" w:color="788184"/>
            </w:tcBorders>
          </w:tcPr>
          <w:p w:rsidR="000A4343" w:rsidRPr="005278EF" w:rsidRDefault="000A4343" w:rsidP="00161742">
            <w:pPr>
              <w:spacing w:before="70" w:after="70"/>
              <w:rPr>
                <w:i/>
                <w:sz w:val="20"/>
                <w:szCs w:val="20"/>
              </w:rPr>
            </w:pPr>
            <w:r w:rsidRPr="005278EF">
              <w:rPr>
                <w:i/>
                <w:sz w:val="20"/>
                <w:szCs w:val="20"/>
              </w:rPr>
              <w:t>Departmental (H</w:t>
            </w:r>
            <w:r>
              <w:rPr>
                <w:i/>
                <w:sz w:val="20"/>
                <w:szCs w:val="20"/>
              </w:rPr>
              <w:t>ealth</w:t>
            </w:r>
            <w:r w:rsidRPr="005278E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26" w:type="pct"/>
            <w:tcBorders>
              <w:bottom w:val="single" w:sz="4" w:space="0" w:color="788184"/>
            </w:tcBorders>
            <w:vAlign w:val="center"/>
          </w:tcPr>
          <w:p w:rsidR="000A4343" w:rsidRPr="00B75D68" w:rsidRDefault="000A4343" w:rsidP="00B75D68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-0.9 </w:t>
            </w:r>
          </w:p>
        </w:tc>
        <w:tc>
          <w:tcPr>
            <w:tcW w:w="325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-0.9 </w:t>
            </w:r>
          </w:p>
        </w:tc>
        <w:tc>
          <w:tcPr>
            <w:tcW w:w="325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-0.9 </w:t>
            </w:r>
          </w:p>
        </w:tc>
        <w:tc>
          <w:tcPr>
            <w:tcW w:w="327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0A4343">
              <w:rPr>
                <w:b/>
                <w:i/>
                <w:sz w:val="20"/>
                <w:szCs w:val="20"/>
              </w:rPr>
              <w:t xml:space="preserve">-2.7 </w:t>
            </w:r>
          </w:p>
        </w:tc>
        <w:tc>
          <w:tcPr>
            <w:tcW w:w="325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-0.9 </w:t>
            </w:r>
          </w:p>
        </w:tc>
        <w:tc>
          <w:tcPr>
            <w:tcW w:w="325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-0.9 </w:t>
            </w:r>
          </w:p>
        </w:tc>
        <w:tc>
          <w:tcPr>
            <w:tcW w:w="325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-0.9 </w:t>
            </w:r>
          </w:p>
        </w:tc>
        <w:tc>
          <w:tcPr>
            <w:tcW w:w="325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-0.9 </w:t>
            </w:r>
          </w:p>
        </w:tc>
        <w:tc>
          <w:tcPr>
            <w:tcW w:w="325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-0.9 </w:t>
            </w:r>
          </w:p>
        </w:tc>
        <w:tc>
          <w:tcPr>
            <w:tcW w:w="325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-0.9 </w:t>
            </w:r>
          </w:p>
        </w:tc>
        <w:tc>
          <w:tcPr>
            <w:tcW w:w="325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0A4343">
              <w:rPr>
                <w:i/>
                <w:sz w:val="20"/>
                <w:szCs w:val="20"/>
              </w:rPr>
              <w:t xml:space="preserve">-1.0 </w:t>
            </w:r>
          </w:p>
        </w:tc>
        <w:tc>
          <w:tcPr>
            <w:tcW w:w="326" w:type="pct"/>
            <w:tcBorders>
              <w:bottom w:val="single" w:sz="4" w:space="0" w:color="788184"/>
            </w:tcBorders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0A4343">
              <w:rPr>
                <w:b/>
                <w:i/>
                <w:sz w:val="20"/>
                <w:szCs w:val="20"/>
              </w:rPr>
              <w:t xml:space="preserve">-9.3 </w:t>
            </w:r>
          </w:p>
        </w:tc>
      </w:tr>
      <w:tr w:rsidR="000A4343" w:rsidTr="000A43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</w:tcPr>
          <w:p w:rsidR="000A4343" w:rsidRPr="00852914" w:rsidRDefault="000A4343" w:rsidP="00FF6B46">
            <w:pPr>
              <w:spacing w:before="70" w:after="70"/>
              <w:rPr>
                <w:b/>
                <w:sz w:val="20"/>
                <w:szCs w:val="20"/>
              </w:rPr>
            </w:pPr>
            <w:r w:rsidRPr="00852914">
              <w:rPr>
                <w:b/>
                <w:sz w:val="20"/>
                <w:szCs w:val="20"/>
              </w:rPr>
              <w:t>Total Departmental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0A4343" w:rsidRPr="0054768C" w:rsidRDefault="000A4343" w:rsidP="00B75D68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-6.7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-8.0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-8.0 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 xml:space="preserve">-22.7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-8.1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-8.1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-8.2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-8.2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-8.2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-8.3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-8.4 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 xml:space="preserve">-80.4 </w:t>
            </w:r>
          </w:p>
        </w:tc>
      </w:tr>
      <w:tr w:rsidR="000A4343" w:rsidTr="000A434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pct"/>
            <w:shd w:val="clear" w:color="auto" w:fill="D7DDE9"/>
          </w:tcPr>
          <w:p w:rsidR="000A4343" w:rsidRPr="00512A8C" w:rsidRDefault="000A4343" w:rsidP="00FF6B46">
            <w:pPr>
              <w:spacing w:before="70" w:after="70"/>
              <w:rPr>
                <w:b/>
                <w:sz w:val="20"/>
                <w:szCs w:val="20"/>
              </w:rPr>
            </w:pPr>
            <w:r w:rsidRPr="00512A8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0A4343" w:rsidRPr="0054768C" w:rsidRDefault="000A4343" w:rsidP="00B75D68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-531.7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-758.0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-758.0 </w:t>
            </w:r>
          </w:p>
        </w:tc>
        <w:tc>
          <w:tcPr>
            <w:tcW w:w="327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 xml:space="preserve">-2,047.7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-758.1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-758.1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-758.2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-758.2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-758.2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-758.3 </w:t>
            </w:r>
          </w:p>
        </w:tc>
        <w:tc>
          <w:tcPr>
            <w:tcW w:w="325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4343">
              <w:rPr>
                <w:sz w:val="20"/>
                <w:szCs w:val="20"/>
              </w:rPr>
              <w:t xml:space="preserve">-758.4 </w:t>
            </w:r>
          </w:p>
        </w:tc>
        <w:tc>
          <w:tcPr>
            <w:tcW w:w="326" w:type="pct"/>
            <w:shd w:val="clear" w:color="auto" w:fill="D7DDE9"/>
            <w:vAlign w:val="center"/>
          </w:tcPr>
          <w:p w:rsidR="000A4343" w:rsidRPr="000A4343" w:rsidRDefault="000A4343" w:rsidP="000A4343">
            <w:pPr>
              <w:spacing w:before="0" w:after="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A4343">
              <w:rPr>
                <w:b/>
                <w:sz w:val="20"/>
                <w:szCs w:val="20"/>
              </w:rPr>
              <w:t xml:space="preserve">-7,355.4 </w:t>
            </w:r>
          </w:p>
        </w:tc>
      </w:tr>
    </w:tbl>
    <w:p w:rsidR="0018705D" w:rsidRPr="0018705D" w:rsidRDefault="0018705D" w:rsidP="0018705D">
      <w:pPr>
        <w:pStyle w:val="Footnotes"/>
        <w:numPr>
          <w:ilvl w:val="0"/>
          <w:numId w:val="22"/>
        </w:numPr>
        <w:ind w:left="284" w:hanging="284"/>
        <w:rPr>
          <w:rFonts w:ascii="Calibri" w:hAnsi="Calibri"/>
        </w:rPr>
      </w:pPr>
      <w:r w:rsidRPr="0018705D">
        <w:t xml:space="preserve">A positive number indicates an increase in revenue or decrease in expenses or net capital investment in accrual and cash terms. A negative number indicates a decrease in revenue or an increase in expenses or net capital investment in accrual and cash terms.  </w:t>
      </w:r>
    </w:p>
    <w:p w:rsidR="00F5529D" w:rsidRDefault="005037F6" w:rsidP="00C50DC9">
      <w:pPr>
        <w:pStyle w:val="Footnotes"/>
        <w:numPr>
          <w:ilvl w:val="0"/>
          <w:numId w:val="22"/>
        </w:numPr>
        <w:ind w:left="284" w:hanging="284"/>
      </w:pPr>
      <w:r>
        <w:t>Figures may not sum to totals due to rounding.</w:t>
      </w:r>
    </w:p>
    <w:p w:rsidR="00485374" w:rsidRPr="00FC6579" w:rsidRDefault="00B8764A" w:rsidP="00842AE0">
      <w:pPr>
        <w:pStyle w:val="Footnotes"/>
        <w:numPr>
          <w:ilvl w:val="0"/>
          <w:numId w:val="28"/>
        </w:numPr>
        <w:ind w:left="284" w:hanging="284"/>
      </w:pPr>
      <w:r w:rsidRPr="00B8764A">
        <w:t>Indicates nil.</w:t>
      </w:r>
    </w:p>
    <w:sectPr w:rsidR="00485374" w:rsidRPr="00FC6579" w:rsidSect="00421F2C">
      <w:headerReference w:type="first" r:id="rId15"/>
      <w:footerReference w:type="first" r:id="rId16"/>
      <w:pgSz w:w="16839" w:h="11907" w:orient="landscape" w:code="9"/>
      <w:pgMar w:top="1797" w:right="1361" w:bottom="179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1E" w:rsidRDefault="0075751E" w:rsidP="008F588A">
      <w:pPr>
        <w:spacing w:line="240" w:lineRule="auto"/>
      </w:pPr>
      <w:r>
        <w:separator/>
      </w:r>
    </w:p>
    <w:p w:rsidR="0075751E" w:rsidRDefault="0075751E"/>
  </w:endnote>
  <w:endnote w:type="continuationSeparator" w:id="0">
    <w:p w:rsidR="0075751E" w:rsidRDefault="0075751E" w:rsidP="008F588A">
      <w:pPr>
        <w:spacing w:line="240" w:lineRule="auto"/>
      </w:pPr>
      <w:r>
        <w:continuationSeparator/>
      </w:r>
    </w:p>
    <w:p w:rsidR="0075751E" w:rsidRDefault="00757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24267" w:rsidRDefault="00485374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273F0C">
      <w:rPr>
        <w:noProof/>
      </w:rPr>
      <w:t>3</w:t>
    </w:r>
    <w:r w:rsidRPr="00C24267">
      <w:fldChar w:fldCharType="end"/>
    </w:r>
    <w:r w:rsidRPr="00C24267">
      <w:t xml:space="preserve"> of </w:t>
    </w:r>
    <w:r w:rsidR="00273F0C">
      <w:fldChar w:fldCharType="begin"/>
    </w:r>
    <w:r w:rsidR="00273F0C">
      <w:instrText xml:space="preserve"> NUMPAGES  \* Arabic  \* MERGEFORMAT </w:instrText>
    </w:r>
    <w:r w:rsidR="00273F0C">
      <w:fldChar w:fldCharType="separate"/>
    </w:r>
    <w:r w:rsidR="00273F0C">
      <w:rPr>
        <w:noProof/>
      </w:rPr>
      <w:t>4</w:t>
    </w:r>
    <w:r w:rsidR="00273F0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24267" w:rsidRDefault="00485374" w:rsidP="00C24267">
    <w:pPr>
      <w:pStyle w:val="Letterfooter"/>
    </w:pPr>
    <w:r w:rsidRPr="00C24267">
      <w:t>Parliamentary Budget Office   PO Box 6010   Parliament House   Canberra ACT 2600</w:t>
    </w:r>
  </w:p>
  <w:p w:rsidR="00485374" w:rsidRPr="00C24267" w:rsidRDefault="00485374" w:rsidP="00C24267">
    <w:pPr>
      <w:pStyle w:val="Letterfooter"/>
    </w:pPr>
    <w:r w:rsidRPr="00C24267">
      <w:t>Tel: 02 6277 9500   Web: www.pbo.gov.au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24267" w:rsidRDefault="00485374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273F0C">
      <w:rPr>
        <w:noProof/>
      </w:rPr>
      <w:t>2</w:t>
    </w:r>
    <w:r w:rsidRPr="00C24267">
      <w:fldChar w:fldCharType="end"/>
    </w:r>
    <w:r w:rsidRPr="00C24267">
      <w:t xml:space="preserve"> of </w:t>
    </w:r>
    <w:r w:rsidR="00273F0C">
      <w:fldChar w:fldCharType="begin"/>
    </w:r>
    <w:r w:rsidR="00273F0C">
      <w:instrText xml:space="preserve"> NUMPAGES  \* Arabic  \* MERGEFORMAT </w:instrText>
    </w:r>
    <w:r w:rsidR="00273F0C">
      <w:fldChar w:fldCharType="separate"/>
    </w:r>
    <w:r w:rsidR="00273F0C">
      <w:rPr>
        <w:noProof/>
      </w:rPr>
      <w:t>4</w:t>
    </w:r>
    <w:r w:rsidR="00273F0C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24267" w:rsidRDefault="00485374" w:rsidP="00C24267">
    <w:pPr>
      <w:pStyle w:val="Footer"/>
    </w:pPr>
    <w:r w:rsidRPr="00C24267">
      <w:t xml:space="preserve">Page </w:t>
    </w:r>
    <w:r w:rsidRPr="00C24267">
      <w:fldChar w:fldCharType="begin"/>
    </w:r>
    <w:r w:rsidRPr="00C24267">
      <w:instrText xml:space="preserve"> PAGE  \* Arabic  \* MERGEFORMAT </w:instrText>
    </w:r>
    <w:r w:rsidRPr="00C24267">
      <w:fldChar w:fldCharType="separate"/>
    </w:r>
    <w:r w:rsidR="00273F0C">
      <w:rPr>
        <w:noProof/>
      </w:rPr>
      <w:t>4</w:t>
    </w:r>
    <w:r w:rsidRPr="00C24267">
      <w:fldChar w:fldCharType="end"/>
    </w:r>
    <w:r w:rsidRPr="00C24267">
      <w:t xml:space="preserve"> of </w:t>
    </w:r>
    <w:r w:rsidR="00273F0C">
      <w:fldChar w:fldCharType="begin"/>
    </w:r>
    <w:r w:rsidR="00273F0C">
      <w:instrText xml:space="preserve"> NUMPAGES  \* Arabic  \* MERGEFORMAT </w:instrText>
    </w:r>
    <w:r w:rsidR="00273F0C">
      <w:fldChar w:fldCharType="separate"/>
    </w:r>
    <w:r w:rsidR="00273F0C">
      <w:rPr>
        <w:noProof/>
      </w:rPr>
      <w:t>4</w:t>
    </w:r>
    <w:r w:rsidR="00273F0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1E" w:rsidRDefault="0075751E" w:rsidP="0007017A">
      <w:pPr>
        <w:spacing w:line="240" w:lineRule="auto"/>
      </w:pPr>
      <w:r>
        <w:separator/>
      </w:r>
    </w:p>
  </w:footnote>
  <w:footnote w:type="continuationSeparator" w:id="0">
    <w:p w:rsidR="0075751E" w:rsidRDefault="0075751E" w:rsidP="008F588A">
      <w:pPr>
        <w:spacing w:line="240" w:lineRule="auto"/>
      </w:pPr>
      <w:r>
        <w:continuationSeparator/>
      </w:r>
    </w:p>
    <w:p w:rsidR="0075751E" w:rsidRDefault="0075751E"/>
  </w:footnote>
  <w:footnote w:id="1">
    <w:p w:rsidR="001C25E8" w:rsidRPr="001C25E8" w:rsidRDefault="001C25E8">
      <w:pPr>
        <w:pStyle w:val="FootnoteText"/>
      </w:pPr>
      <w:r w:rsidRPr="001C25E8">
        <w:rPr>
          <w:rStyle w:val="FootnoteReference"/>
        </w:rPr>
        <w:footnoteRef/>
      </w:r>
      <w:r w:rsidRPr="001C25E8">
        <w:t xml:space="preserve"> Departmental costs for Health to establish the framework for enrolling patients is included in the Parliamentary Budget Office’s costing of GRN044 – Managing Chronic Disease.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Default="00485374" w:rsidP="00CB40E1">
    <w:pPr>
      <w:pStyle w:val="Header"/>
    </w:pPr>
    <w:r>
      <w:rPr>
        <w:noProof/>
        <w:lang w:eastAsia="en-AU"/>
      </w:rPr>
      <w:drawing>
        <wp:inline distT="0" distB="0" distL="0" distR="0" wp14:anchorId="6A9DE491" wp14:editId="46567374">
          <wp:extent cx="2696845" cy="57213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374" w:rsidRPr="00DA1C8A" w:rsidRDefault="00485374" w:rsidP="00002D5D">
    <w:pPr>
      <w:pStyle w:val="PBOheader"/>
      <w:spacing w:before="720"/>
      <w:ind w:left="5783"/>
      <w:rPr>
        <w:b w:val="0"/>
      </w:rPr>
    </w:pPr>
    <w:r>
      <w:t>P</w:t>
    </w:r>
    <w:r w:rsidRPr="009030A0">
      <w:t>hil Bowen PSM FCPA</w:t>
    </w:r>
    <w:r>
      <w:br/>
    </w:r>
    <w:r w:rsidRPr="009030A0">
      <w:t>Parliamentary Budget Officer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17112" w:rsidRDefault="00485374" w:rsidP="00C17112">
    <w:pPr>
      <w:pStyle w:val="Header"/>
    </w:pPr>
    <w:r>
      <w:rPr>
        <w:noProof/>
        <w:lang w:eastAsia="en-AU"/>
      </w:rPr>
      <w:drawing>
        <wp:inline distT="0" distB="0" distL="0" distR="0" wp14:anchorId="3F54FE04" wp14:editId="3AA1B8B2">
          <wp:extent cx="2696845" cy="57213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O Logo inlin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4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74" w:rsidRPr="00C820EE" w:rsidRDefault="00485374" w:rsidP="00C82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905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B37FE"/>
    <w:multiLevelType w:val="multilevel"/>
    <w:tmpl w:val="EB047CC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C5E12A0"/>
    <w:multiLevelType w:val="hybridMultilevel"/>
    <w:tmpl w:val="71E26D08"/>
    <w:lvl w:ilvl="0" w:tplc="003A2C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3A2C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5448"/>
    <w:multiLevelType w:val="multilevel"/>
    <w:tmpl w:val="1CA8BD6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194A695C"/>
    <w:multiLevelType w:val="multilevel"/>
    <w:tmpl w:val="5E16FD12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5">
    <w:nsid w:val="19DE2101"/>
    <w:multiLevelType w:val="hybridMultilevel"/>
    <w:tmpl w:val="0030AC0C"/>
    <w:lvl w:ilvl="0" w:tplc="C5946D62">
      <w:start w:val="1"/>
      <w:numFmt w:val="lowerLetter"/>
      <w:lvlText w:val="(%1)"/>
      <w:lvlJc w:val="left"/>
      <w:pPr>
        <w:ind w:left="8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C5A6BE0"/>
    <w:multiLevelType w:val="hybridMultilevel"/>
    <w:tmpl w:val="7EDAD71E"/>
    <w:lvl w:ilvl="0" w:tplc="C5946D62">
      <w:start w:val="1"/>
      <w:numFmt w:val="lowerLetter"/>
      <w:lvlText w:val="(%1)"/>
      <w:lvlJc w:val="left"/>
      <w:pPr>
        <w:ind w:left="9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66" w:hanging="360"/>
      </w:pPr>
    </w:lvl>
    <w:lvl w:ilvl="2" w:tplc="0C09001B" w:tentative="1">
      <w:start w:val="1"/>
      <w:numFmt w:val="lowerRoman"/>
      <w:lvlText w:val="%3."/>
      <w:lvlJc w:val="right"/>
      <w:pPr>
        <w:ind w:left="2386" w:hanging="180"/>
      </w:pPr>
    </w:lvl>
    <w:lvl w:ilvl="3" w:tplc="0C09000F" w:tentative="1">
      <w:start w:val="1"/>
      <w:numFmt w:val="decimal"/>
      <w:lvlText w:val="%4."/>
      <w:lvlJc w:val="left"/>
      <w:pPr>
        <w:ind w:left="3106" w:hanging="360"/>
      </w:pPr>
    </w:lvl>
    <w:lvl w:ilvl="4" w:tplc="0C090019" w:tentative="1">
      <w:start w:val="1"/>
      <w:numFmt w:val="lowerLetter"/>
      <w:lvlText w:val="%5."/>
      <w:lvlJc w:val="left"/>
      <w:pPr>
        <w:ind w:left="3826" w:hanging="360"/>
      </w:pPr>
    </w:lvl>
    <w:lvl w:ilvl="5" w:tplc="0C09001B" w:tentative="1">
      <w:start w:val="1"/>
      <w:numFmt w:val="lowerRoman"/>
      <w:lvlText w:val="%6."/>
      <w:lvlJc w:val="right"/>
      <w:pPr>
        <w:ind w:left="4546" w:hanging="180"/>
      </w:pPr>
    </w:lvl>
    <w:lvl w:ilvl="6" w:tplc="0C09000F" w:tentative="1">
      <w:start w:val="1"/>
      <w:numFmt w:val="decimal"/>
      <w:lvlText w:val="%7."/>
      <w:lvlJc w:val="left"/>
      <w:pPr>
        <w:ind w:left="5266" w:hanging="360"/>
      </w:pPr>
    </w:lvl>
    <w:lvl w:ilvl="7" w:tplc="0C090019" w:tentative="1">
      <w:start w:val="1"/>
      <w:numFmt w:val="lowerLetter"/>
      <w:lvlText w:val="%8."/>
      <w:lvlJc w:val="left"/>
      <w:pPr>
        <w:ind w:left="5986" w:hanging="360"/>
      </w:pPr>
    </w:lvl>
    <w:lvl w:ilvl="8" w:tplc="0C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23C57801"/>
    <w:multiLevelType w:val="hybridMultilevel"/>
    <w:tmpl w:val="9084C02C"/>
    <w:lvl w:ilvl="0" w:tplc="564CF4F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86573C2"/>
    <w:multiLevelType w:val="hybridMultilevel"/>
    <w:tmpl w:val="325C7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3333B0"/>
    <w:multiLevelType w:val="hybridMultilevel"/>
    <w:tmpl w:val="294A5504"/>
    <w:lvl w:ilvl="0" w:tplc="B93A78C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42E53"/>
    <w:multiLevelType w:val="hybridMultilevel"/>
    <w:tmpl w:val="51F81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45E35"/>
    <w:multiLevelType w:val="hybridMultilevel"/>
    <w:tmpl w:val="10FABF96"/>
    <w:lvl w:ilvl="0" w:tplc="AA4A7A52">
      <w:start w:val="1"/>
      <w:numFmt w:val="lowerLetter"/>
      <w:pStyle w:val="Footnotes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C463DDA"/>
    <w:multiLevelType w:val="hybridMultilevel"/>
    <w:tmpl w:val="627A4A3A"/>
    <w:lvl w:ilvl="0" w:tplc="C41CFB3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B224FB1"/>
    <w:multiLevelType w:val="hybridMultilevel"/>
    <w:tmpl w:val="B9C2D5B6"/>
    <w:lvl w:ilvl="0" w:tplc="871E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2F93"/>
    <w:multiLevelType w:val="multilevel"/>
    <w:tmpl w:val="850CAC36"/>
    <w:lvl w:ilvl="0">
      <w:start w:val="1"/>
      <w:numFmt w:val="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1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>
    <w:nsid w:val="745C3AB2"/>
    <w:multiLevelType w:val="hybridMultilevel"/>
    <w:tmpl w:val="5EB0E89C"/>
    <w:lvl w:ilvl="0" w:tplc="661CA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EA63D9"/>
    <w:multiLevelType w:val="hybridMultilevel"/>
    <w:tmpl w:val="7ADA6986"/>
    <w:lvl w:ilvl="0" w:tplc="7F6A985C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967" w:hanging="360"/>
      </w:pPr>
    </w:lvl>
    <w:lvl w:ilvl="2" w:tplc="0C09001B">
      <w:start w:val="1"/>
      <w:numFmt w:val="lowerRoman"/>
      <w:lvlText w:val="%3."/>
      <w:lvlJc w:val="right"/>
      <w:pPr>
        <w:ind w:left="1687" w:hanging="180"/>
      </w:pPr>
    </w:lvl>
    <w:lvl w:ilvl="3" w:tplc="0C09000F">
      <w:start w:val="1"/>
      <w:numFmt w:val="decimal"/>
      <w:lvlText w:val="%4."/>
      <w:lvlJc w:val="left"/>
      <w:pPr>
        <w:ind w:left="2407" w:hanging="360"/>
      </w:pPr>
    </w:lvl>
    <w:lvl w:ilvl="4" w:tplc="0C090019">
      <w:start w:val="1"/>
      <w:numFmt w:val="lowerLetter"/>
      <w:lvlText w:val="%5."/>
      <w:lvlJc w:val="left"/>
      <w:pPr>
        <w:ind w:left="3127" w:hanging="360"/>
      </w:pPr>
    </w:lvl>
    <w:lvl w:ilvl="5" w:tplc="0C09001B">
      <w:start w:val="1"/>
      <w:numFmt w:val="lowerRoman"/>
      <w:lvlText w:val="%6."/>
      <w:lvlJc w:val="right"/>
      <w:pPr>
        <w:ind w:left="3847" w:hanging="180"/>
      </w:pPr>
    </w:lvl>
    <w:lvl w:ilvl="6" w:tplc="0C09000F">
      <w:start w:val="1"/>
      <w:numFmt w:val="decimal"/>
      <w:lvlText w:val="%7."/>
      <w:lvlJc w:val="left"/>
      <w:pPr>
        <w:ind w:left="4567" w:hanging="360"/>
      </w:pPr>
    </w:lvl>
    <w:lvl w:ilvl="7" w:tplc="0C090019">
      <w:start w:val="1"/>
      <w:numFmt w:val="lowerLetter"/>
      <w:lvlText w:val="%8."/>
      <w:lvlJc w:val="left"/>
      <w:pPr>
        <w:ind w:left="5287" w:hanging="360"/>
      </w:pPr>
    </w:lvl>
    <w:lvl w:ilvl="8" w:tplc="0C09001B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0"/>
  </w:num>
  <w:num w:numId="16">
    <w:abstractNumId w:val="8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"/>
  </w:num>
  <w:num w:numId="21">
    <w:abstractNumId w:val="15"/>
  </w:num>
  <w:num w:numId="22">
    <w:abstractNumId w:val="11"/>
    <w:lvlOverride w:ilvl="0">
      <w:startOverride w:val="1"/>
    </w:lvlOverride>
  </w:num>
  <w:num w:numId="23">
    <w:abstractNumId w:val="13"/>
  </w:num>
  <w:num w:numId="24">
    <w:abstractNumId w:val="7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1E"/>
    <w:rsid w:val="00002D5D"/>
    <w:rsid w:val="00016808"/>
    <w:rsid w:val="00040DCE"/>
    <w:rsid w:val="0007017A"/>
    <w:rsid w:val="00077E7F"/>
    <w:rsid w:val="00096F3A"/>
    <w:rsid w:val="000A4343"/>
    <w:rsid w:val="000C1A75"/>
    <w:rsid w:val="00124A95"/>
    <w:rsid w:val="00124F75"/>
    <w:rsid w:val="001278D0"/>
    <w:rsid w:val="0014239B"/>
    <w:rsid w:val="00146B64"/>
    <w:rsid w:val="00161742"/>
    <w:rsid w:val="0018705D"/>
    <w:rsid w:val="001A02D1"/>
    <w:rsid w:val="001C25E8"/>
    <w:rsid w:val="00220BE5"/>
    <w:rsid w:val="002422A3"/>
    <w:rsid w:val="0025349E"/>
    <w:rsid w:val="00273F0C"/>
    <w:rsid w:val="002E0978"/>
    <w:rsid w:val="002E13AC"/>
    <w:rsid w:val="002E1C24"/>
    <w:rsid w:val="002F62C3"/>
    <w:rsid w:val="00315E34"/>
    <w:rsid w:val="00326DE2"/>
    <w:rsid w:val="00351D1E"/>
    <w:rsid w:val="00383F41"/>
    <w:rsid w:val="00391DFA"/>
    <w:rsid w:val="003F73CA"/>
    <w:rsid w:val="00421F2C"/>
    <w:rsid w:val="00440E32"/>
    <w:rsid w:val="00461597"/>
    <w:rsid w:val="00464D24"/>
    <w:rsid w:val="00485374"/>
    <w:rsid w:val="00497FD5"/>
    <w:rsid w:val="004C283B"/>
    <w:rsid w:val="004D13ED"/>
    <w:rsid w:val="004D5525"/>
    <w:rsid w:val="005035DA"/>
    <w:rsid w:val="005037F6"/>
    <w:rsid w:val="00503AAD"/>
    <w:rsid w:val="00507897"/>
    <w:rsid w:val="00512A8C"/>
    <w:rsid w:val="00515A85"/>
    <w:rsid w:val="005278EF"/>
    <w:rsid w:val="00545F24"/>
    <w:rsid w:val="0054768C"/>
    <w:rsid w:val="0055581F"/>
    <w:rsid w:val="0056229A"/>
    <w:rsid w:val="00570154"/>
    <w:rsid w:val="00570B5A"/>
    <w:rsid w:val="005A02B2"/>
    <w:rsid w:val="005B657E"/>
    <w:rsid w:val="005C6967"/>
    <w:rsid w:val="005E3562"/>
    <w:rsid w:val="005F7DE0"/>
    <w:rsid w:val="00640346"/>
    <w:rsid w:val="00652BB0"/>
    <w:rsid w:val="00660385"/>
    <w:rsid w:val="00662E65"/>
    <w:rsid w:val="0066665A"/>
    <w:rsid w:val="00682372"/>
    <w:rsid w:val="00692DD8"/>
    <w:rsid w:val="006F0CE9"/>
    <w:rsid w:val="007202A8"/>
    <w:rsid w:val="0072658B"/>
    <w:rsid w:val="007515C0"/>
    <w:rsid w:val="0075751E"/>
    <w:rsid w:val="007B029A"/>
    <w:rsid w:val="007D33AA"/>
    <w:rsid w:val="007F7BCF"/>
    <w:rsid w:val="008030EC"/>
    <w:rsid w:val="00811D6D"/>
    <w:rsid w:val="00842AE0"/>
    <w:rsid w:val="00844776"/>
    <w:rsid w:val="00852914"/>
    <w:rsid w:val="008850D9"/>
    <w:rsid w:val="008A4578"/>
    <w:rsid w:val="008C03C3"/>
    <w:rsid w:val="008D3909"/>
    <w:rsid w:val="008D77E9"/>
    <w:rsid w:val="008E223F"/>
    <w:rsid w:val="008F588A"/>
    <w:rsid w:val="00902D2D"/>
    <w:rsid w:val="00904EA2"/>
    <w:rsid w:val="00915804"/>
    <w:rsid w:val="009472C0"/>
    <w:rsid w:val="00957285"/>
    <w:rsid w:val="009573AF"/>
    <w:rsid w:val="009675C4"/>
    <w:rsid w:val="00995DD2"/>
    <w:rsid w:val="009963ED"/>
    <w:rsid w:val="009D4063"/>
    <w:rsid w:val="009E533E"/>
    <w:rsid w:val="00A41BD3"/>
    <w:rsid w:val="00A449C2"/>
    <w:rsid w:val="00A812C3"/>
    <w:rsid w:val="00AA3D6F"/>
    <w:rsid w:val="00AB6F7D"/>
    <w:rsid w:val="00AC7878"/>
    <w:rsid w:val="00AD493E"/>
    <w:rsid w:val="00AE0754"/>
    <w:rsid w:val="00AE0D63"/>
    <w:rsid w:val="00B06055"/>
    <w:rsid w:val="00B22B7C"/>
    <w:rsid w:val="00B41DF7"/>
    <w:rsid w:val="00B44D8A"/>
    <w:rsid w:val="00B73AC8"/>
    <w:rsid w:val="00B747A7"/>
    <w:rsid w:val="00B75D68"/>
    <w:rsid w:val="00B8764A"/>
    <w:rsid w:val="00BC559C"/>
    <w:rsid w:val="00C17112"/>
    <w:rsid w:val="00C24267"/>
    <w:rsid w:val="00C50DC9"/>
    <w:rsid w:val="00C820EE"/>
    <w:rsid w:val="00CA5D42"/>
    <w:rsid w:val="00CB40E1"/>
    <w:rsid w:val="00CF6DB6"/>
    <w:rsid w:val="00D134CA"/>
    <w:rsid w:val="00DA1C8A"/>
    <w:rsid w:val="00DB44F0"/>
    <w:rsid w:val="00DD109E"/>
    <w:rsid w:val="00DD3E18"/>
    <w:rsid w:val="00E12103"/>
    <w:rsid w:val="00E15AAE"/>
    <w:rsid w:val="00E21184"/>
    <w:rsid w:val="00E40B8B"/>
    <w:rsid w:val="00E5742E"/>
    <w:rsid w:val="00EA0BFB"/>
    <w:rsid w:val="00EA265F"/>
    <w:rsid w:val="00ED43FF"/>
    <w:rsid w:val="00EF1D6A"/>
    <w:rsid w:val="00EF2E51"/>
    <w:rsid w:val="00F31E24"/>
    <w:rsid w:val="00F52474"/>
    <w:rsid w:val="00F5529D"/>
    <w:rsid w:val="00F5669E"/>
    <w:rsid w:val="00F75D33"/>
    <w:rsid w:val="00F83E8B"/>
    <w:rsid w:val="00F954CF"/>
    <w:rsid w:val="00FC6579"/>
    <w:rsid w:val="00FD3FB3"/>
    <w:rsid w:val="00FE6904"/>
    <w:rsid w:val="00FE78D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1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7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1E"/>
    <w:pPr>
      <w:spacing w:before="240"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1E"/>
    <w:rPr>
      <w:rFonts w:ascii="Times New Roman" w:hAnsi="Times New Roman" w:cs="Times New Roman"/>
      <w:sz w:val="20"/>
      <w:szCs w:val="20"/>
    </w:rPr>
  </w:style>
  <w:style w:type="character" w:styleId="IntenseReference">
    <w:name w:val="Intense Reference"/>
    <w:aliases w:val="DLM format"/>
    <w:basedOn w:val="DefaultParagraphFont"/>
    <w:uiPriority w:val="32"/>
    <w:qFormat/>
    <w:rsid w:val="0075751E"/>
    <w:rPr>
      <w:rFonts w:ascii="Arial" w:hAnsi="Arial"/>
      <w:b/>
      <w:bCs/>
      <w:color w:val="FF0000"/>
      <w:spacing w:val="5"/>
      <w:sz w:val="28"/>
      <w:szCs w:val="28"/>
    </w:rPr>
  </w:style>
  <w:style w:type="paragraph" w:customStyle="1" w:styleId="Proformatext">
    <w:name w:val="Pro forma text"/>
    <w:basedOn w:val="Normal"/>
    <w:rsid w:val="00F83E8B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E78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D8"/>
    <w:pPr>
      <w:spacing w:before="114" w:after="114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D8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5E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5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25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17112"/>
    <w:pPr>
      <w:spacing w:before="114" w:after="114" w:line="300" w:lineRule="atLeast"/>
    </w:pPr>
  </w:style>
  <w:style w:type="paragraph" w:styleId="Heading1">
    <w:name w:val="heading 1"/>
    <w:basedOn w:val="Normal"/>
    <w:next w:val="BodyText"/>
    <w:link w:val="Heading1Char"/>
    <w:qFormat/>
    <w:rsid w:val="00BC559C"/>
    <w:pPr>
      <w:keepNext/>
      <w:keepLines/>
      <w:numPr>
        <w:numId w:val="1"/>
      </w:numPr>
      <w:tabs>
        <w:tab w:val="right" w:pos="1418"/>
        <w:tab w:val="right" w:pos="1701"/>
        <w:tab w:val="right" w:pos="1985"/>
      </w:tabs>
      <w:spacing w:before="480" w:after="340" w:line="240" w:lineRule="auto"/>
      <w:outlineLvl w:val="0"/>
    </w:pPr>
    <w:rPr>
      <w:rFonts w:ascii="Georgia" w:hAnsi="Georgia"/>
      <w:bCs/>
      <w:color w:val="2B3B5F"/>
      <w:spacing w:val="-6"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030EC"/>
    <w:pPr>
      <w:keepNext/>
      <w:keepLines/>
      <w:numPr>
        <w:ilvl w:val="1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1"/>
    </w:pPr>
    <w:rPr>
      <w:rFonts w:asciiTheme="majorHAnsi" w:hAnsiTheme="majorHAnsi"/>
      <w:bCs/>
      <w:iCs/>
      <w:color w:val="2B3B5F"/>
      <w:kern w:val="20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030EC"/>
    <w:pPr>
      <w:keepNext/>
      <w:keepLines/>
      <w:numPr>
        <w:ilvl w:val="2"/>
        <w:numId w:val="1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b/>
      <w:color w:val="2B3B5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A02D1"/>
    <w:pPr>
      <w:spacing w:before="360"/>
      <w:outlineLvl w:val="3"/>
    </w:pPr>
    <w:rPr>
      <w:b w:val="0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59C"/>
    <w:rPr>
      <w:rFonts w:ascii="Georgia" w:hAnsi="Georgia"/>
      <w:bCs/>
      <w:color w:val="2B3B5F"/>
      <w:spacing w:val="-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30EC"/>
    <w:rPr>
      <w:rFonts w:asciiTheme="majorHAnsi" w:hAnsiTheme="majorHAnsi"/>
      <w:bCs/>
      <w:iCs/>
      <w:color w:val="2B3B5F"/>
      <w:kern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030EC"/>
    <w:rPr>
      <w:b/>
      <w:color w:val="2B3B5F"/>
      <w:sz w:val="24"/>
    </w:rPr>
  </w:style>
  <w:style w:type="table" w:styleId="TableGrid">
    <w:name w:val="Table Grid"/>
    <w:basedOn w:val="TableNormal"/>
    <w:rsid w:val="00662E65"/>
    <w:pPr>
      <w:spacing w:before="70" w:after="70" w:line="260" w:lineRule="atLeast"/>
      <w:ind w:left="113" w:right="113"/>
    </w:pPr>
    <w:rPr>
      <w:rFonts w:eastAsia="Times New Roman" w:cs="Times New Roman"/>
      <w:lang w:eastAsia="en-AU"/>
    </w:rPr>
    <w:tblPr>
      <w:tblStyleRowBandSize w:val="1"/>
      <w:tblStyleColBandSize w:val="1"/>
      <w:tblBorders>
        <w:top w:val="single" w:sz="4" w:space="0" w:color="788184"/>
        <w:left w:val="single" w:sz="4" w:space="0" w:color="788184"/>
        <w:bottom w:val="single" w:sz="4" w:space="0" w:color="788184"/>
        <w:right w:val="single" w:sz="4" w:space="0" w:color="788184"/>
        <w:insideH w:val="single" w:sz="4" w:space="0" w:color="788184"/>
        <w:insideV w:val="single" w:sz="4" w:space="0" w:color="788184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left"/>
      </w:pPr>
      <w:rPr>
        <w:rFonts w:asciiTheme="minorHAnsi" w:hAnsiTheme="minorHAnsi"/>
        <w:b/>
        <w:i w:val="0"/>
        <w:color w:val="auto"/>
        <w:sz w:val="22"/>
      </w:rPr>
      <w:tblPr/>
      <w:tcPr>
        <w:shd w:val="clear" w:color="auto" w:fill="D7DDE9"/>
        <w:vAlign w:val="top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qFormat/>
    <w:rsid w:val="00F52474"/>
    <w:pPr>
      <w:keepNext/>
      <w:keepLines/>
      <w:spacing w:before="70" w:after="70" w:line="260" w:lineRule="atLeast"/>
      <w:ind w:left="113" w:right="113"/>
    </w:pPr>
    <w:rPr>
      <w:rFonts w:cs="Times New Roman"/>
      <w:b/>
      <w:sz w:val="20"/>
    </w:rPr>
  </w:style>
  <w:style w:type="paragraph" w:customStyle="1" w:styleId="TableHeadingCentred">
    <w:name w:val="Table Heading Centred"/>
    <w:basedOn w:val="TableTextRight"/>
    <w:qFormat/>
    <w:rsid w:val="00C24267"/>
    <w:pPr>
      <w:keepNext/>
      <w:keepLines/>
      <w:ind w:left="85" w:right="85"/>
    </w:pPr>
    <w:rPr>
      <w:rFonts w:eastAsia="Times New Roman"/>
      <w:i w:val="0"/>
      <w:lang w:eastAsia="en-AU"/>
    </w:rPr>
  </w:style>
  <w:style w:type="paragraph" w:customStyle="1" w:styleId="TableText">
    <w:name w:val="Table Text"/>
    <w:basedOn w:val="Normal"/>
    <w:link w:val="TableTextChar"/>
    <w:qFormat/>
    <w:rsid w:val="00F52474"/>
    <w:pPr>
      <w:spacing w:before="70" w:after="70" w:line="260" w:lineRule="atLeast"/>
      <w:ind w:left="113" w:right="113"/>
    </w:pPr>
    <w:rPr>
      <w:rFonts w:cs="Times New Roman"/>
      <w:sz w:val="20"/>
    </w:rPr>
  </w:style>
  <w:style w:type="paragraph" w:customStyle="1" w:styleId="TableTextCentred">
    <w:name w:val="Table Text Centred"/>
    <w:basedOn w:val="TableText"/>
    <w:qFormat/>
    <w:rsid w:val="00C24267"/>
    <w:pPr>
      <w:jc w:val="center"/>
    </w:pPr>
    <w:rPr>
      <w:rFonts w:eastAsia="Times New Roman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5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588A"/>
  </w:style>
  <w:style w:type="paragraph" w:styleId="Header">
    <w:name w:val="header"/>
    <w:basedOn w:val="Normal"/>
    <w:link w:val="HeaderChar"/>
    <w:uiPriority w:val="99"/>
    <w:unhideWhenUsed/>
    <w:rsid w:val="008F58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8A"/>
  </w:style>
  <w:style w:type="paragraph" w:styleId="Footer">
    <w:name w:val="footer"/>
    <w:basedOn w:val="Normal"/>
    <w:link w:val="FooterChar"/>
    <w:uiPriority w:val="99"/>
    <w:unhideWhenUsed/>
    <w:qFormat/>
    <w:rsid w:val="00C24267"/>
    <w:pPr>
      <w:tabs>
        <w:tab w:val="center" w:pos="4513"/>
        <w:tab w:val="right" w:pos="9026"/>
      </w:tabs>
      <w:spacing w:before="0" w:after="0" w:line="240" w:lineRule="auto"/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C2426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8A"/>
    <w:rPr>
      <w:rFonts w:ascii="Tahoma" w:hAnsi="Tahoma" w:cs="Tahoma"/>
      <w:sz w:val="16"/>
      <w:szCs w:val="16"/>
    </w:rPr>
  </w:style>
  <w:style w:type="paragraph" w:customStyle="1" w:styleId="TableTextBullet">
    <w:name w:val="Table Text Bullet"/>
    <w:basedOn w:val="TableText"/>
    <w:link w:val="TableTextBulletChar"/>
    <w:rsid w:val="008F588A"/>
    <w:pPr>
      <w:numPr>
        <w:numId w:val="3"/>
      </w:numPr>
    </w:pPr>
  </w:style>
  <w:style w:type="paragraph" w:customStyle="1" w:styleId="TableTextBullet2">
    <w:name w:val="Table Text Bullet 2"/>
    <w:basedOn w:val="TableTextBullet"/>
    <w:link w:val="TableTextBullet2Char"/>
    <w:qFormat/>
    <w:rsid w:val="00F52474"/>
    <w:pPr>
      <w:numPr>
        <w:ilvl w:val="1"/>
      </w:numPr>
      <w:spacing w:before="240" w:after="0" w:line="240" w:lineRule="auto"/>
      <w:ind w:left="681" w:right="0" w:hanging="284"/>
    </w:pPr>
    <w:rPr>
      <w:bCs/>
    </w:rPr>
  </w:style>
  <w:style w:type="paragraph" w:customStyle="1" w:styleId="TableTextBullet3">
    <w:name w:val="Table Text Bullet 3"/>
    <w:basedOn w:val="TableTextBullet2"/>
    <w:link w:val="TableTextBullet3Char"/>
    <w:qFormat/>
    <w:rsid w:val="00F52474"/>
    <w:pPr>
      <w:numPr>
        <w:ilvl w:val="2"/>
      </w:numPr>
      <w:ind w:left="964" w:hanging="284"/>
    </w:pPr>
    <w:rPr>
      <w:bCs w:val="0"/>
    </w:rPr>
  </w:style>
  <w:style w:type="character" w:styleId="Hyperlink">
    <w:name w:val="Hyperlink"/>
    <w:basedOn w:val="DefaultParagraphFont"/>
    <w:uiPriority w:val="99"/>
    <w:unhideWhenUsed/>
    <w:rsid w:val="00CF6DB6"/>
    <w:rPr>
      <w:color w:val="0000FF" w:themeColor="hyperlink"/>
      <w:u w:val="single"/>
    </w:rPr>
  </w:style>
  <w:style w:type="paragraph" w:customStyle="1" w:styleId="TableTextBullet1">
    <w:name w:val="Table Text Bullet 1"/>
    <w:link w:val="TableTextBullet1Char"/>
    <w:qFormat/>
    <w:rsid w:val="00F52474"/>
    <w:pPr>
      <w:numPr>
        <w:ilvl w:val="2"/>
        <w:numId w:val="5"/>
      </w:numPr>
      <w:spacing w:before="240" w:after="0" w:line="240" w:lineRule="auto"/>
      <w:ind w:left="397" w:hanging="284"/>
    </w:pPr>
    <w:rPr>
      <w:rFonts w:eastAsia="Times New Roman" w:cs="Times New Roman"/>
      <w:sz w:val="20"/>
      <w:lang w:eastAsia="en-AU"/>
    </w:rPr>
  </w:style>
  <w:style w:type="table" w:customStyle="1" w:styleId="Style1">
    <w:name w:val="Style1"/>
    <w:basedOn w:val="TableNormal"/>
    <w:uiPriority w:val="99"/>
    <w:rsid w:val="00515A85"/>
    <w:pPr>
      <w:spacing w:after="0" w:line="240" w:lineRule="auto"/>
    </w:pPr>
    <w:tblPr/>
  </w:style>
  <w:style w:type="paragraph" w:customStyle="1" w:styleId="Letterfooter">
    <w:name w:val="Letter footer"/>
    <w:basedOn w:val="Footer"/>
    <w:qFormat/>
    <w:rsid w:val="00C24267"/>
    <w:pPr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paragraph" w:customStyle="1" w:styleId="PBOheader">
    <w:name w:val="PBO header"/>
    <w:basedOn w:val="Header"/>
    <w:qFormat/>
    <w:rsid w:val="00DA1C8A"/>
    <w:pPr>
      <w:tabs>
        <w:tab w:val="clear" w:pos="4513"/>
        <w:tab w:val="clear" w:pos="9026"/>
      </w:tabs>
      <w:spacing w:before="1320"/>
      <w:ind w:left="6521"/>
    </w:pPr>
    <w:rPr>
      <w:rFonts w:ascii="Arial" w:hAnsi="Arial" w:cs="Arial"/>
      <w:b/>
      <w:sz w:val="18"/>
      <w:szCs w:val="18"/>
    </w:rPr>
  </w:style>
  <w:style w:type="paragraph" w:styleId="Caption">
    <w:name w:val="caption"/>
    <w:basedOn w:val="Normal"/>
    <w:next w:val="BodyText"/>
    <w:link w:val="CaptionChar"/>
    <w:rsid w:val="005E3562"/>
    <w:pPr>
      <w:keepNext/>
      <w:spacing w:before="340"/>
    </w:pPr>
    <w:rPr>
      <w:b/>
      <w:bCs/>
      <w:color w:val="1F497D" w:themeColor="text2"/>
      <w:spacing w:val="-4"/>
    </w:rPr>
  </w:style>
  <w:style w:type="paragraph" w:customStyle="1" w:styleId="Captionheading">
    <w:name w:val="Caption heading"/>
    <w:basedOn w:val="Caption"/>
    <w:link w:val="CaptionheadingChar"/>
    <w:qFormat/>
    <w:rsid w:val="00507897"/>
  </w:style>
  <w:style w:type="paragraph" w:styleId="ListParagraph">
    <w:name w:val="List Paragraph"/>
    <w:basedOn w:val="Normal"/>
    <w:link w:val="ListParagraphChar"/>
    <w:uiPriority w:val="1"/>
    <w:qFormat/>
    <w:rsid w:val="005E3562"/>
    <w:pPr>
      <w:ind w:left="720"/>
      <w:contextualSpacing/>
    </w:pPr>
  </w:style>
  <w:style w:type="character" w:customStyle="1" w:styleId="CaptionChar">
    <w:name w:val="Caption Char"/>
    <w:basedOn w:val="DefaultParagraphFont"/>
    <w:link w:val="Caption"/>
    <w:rsid w:val="005E3562"/>
    <w:rPr>
      <w:b/>
      <w:bCs/>
      <w:color w:val="1F497D" w:themeColor="text2"/>
      <w:spacing w:val="-4"/>
    </w:rPr>
  </w:style>
  <w:style w:type="character" w:customStyle="1" w:styleId="CaptionheadingChar">
    <w:name w:val="Caption heading Char"/>
    <w:basedOn w:val="CaptionChar"/>
    <w:link w:val="Captionheading"/>
    <w:rsid w:val="00507897"/>
    <w:rPr>
      <w:b/>
      <w:bCs/>
      <w:color w:val="1F497D" w:themeColor="text2"/>
      <w:spacing w:val="-4"/>
    </w:rPr>
  </w:style>
  <w:style w:type="paragraph" w:customStyle="1" w:styleId="Bullet1">
    <w:name w:val="Bullet 1"/>
    <w:basedOn w:val="ListBullet"/>
    <w:link w:val="Bullet1Char"/>
    <w:qFormat/>
    <w:rsid w:val="00461597"/>
    <w:rPr>
      <w:rFonts w:eastAsia="Times New Roman" w:cs="Times New Roman"/>
      <w:lang w:eastAsia="en-AU"/>
    </w:rPr>
  </w:style>
  <w:style w:type="paragraph" w:customStyle="1" w:styleId="Bullet2">
    <w:name w:val="Bullet 2"/>
    <w:basedOn w:val="ListBullet2"/>
    <w:link w:val="Bullet2Char"/>
    <w:qFormat/>
    <w:rsid w:val="00461597"/>
    <w:pPr>
      <w:ind w:left="908" w:hanging="454"/>
    </w:pPr>
    <w:rPr>
      <w:rFonts w:eastAsia="Times New Roman" w:cs="Times New Roman"/>
      <w:lang w:eastAsia="en-AU"/>
    </w:rPr>
  </w:style>
  <w:style w:type="character" w:customStyle="1" w:styleId="TableTextBullet1Char">
    <w:name w:val="Table Text Bullet 1 Char"/>
    <w:basedOn w:val="DefaultParagraphFont"/>
    <w:link w:val="TableTextBullet1"/>
    <w:rsid w:val="00F52474"/>
    <w:rPr>
      <w:rFonts w:eastAsia="Times New Roman" w:cs="Times New Roman"/>
      <w:sz w:val="20"/>
      <w:lang w:eastAsia="en-AU"/>
    </w:rPr>
  </w:style>
  <w:style w:type="character" w:customStyle="1" w:styleId="Bullet1Char">
    <w:name w:val="Bullet 1 Char"/>
    <w:basedOn w:val="TableTextBullet1Char"/>
    <w:link w:val="Bullet1"/>
    <w:rsid w:val="00461597"/>
    <w:rPr>
      <w:rFonts w:eastAsia="Times New Roman" w:cs="Times New Roman"/>
      <w:spacing w:val="-1"/>
      <w:sz w:val="20"/>
      <w:lang w:eastAsia="en-AU"/>
    </w:rPr>
  </w:style>
  <w:style w:type="paragraph" w:customStyle="1" w:styleId="Bullet3">
    <w:name w:val="Bullet 3"/>
    <w:basedOn w:val="TableTextBullet3"/>
    <w:link w:val="Bullet3Char"/>
    <w:qFormat/>
    <w:rsid w:val="00461597"/>
    <w:pPr>
      <w:spacing w:before="0" w:after="113" w:line="300" w:lineRule="atLeast"/>
      <w:ind w:left="1361" w:hanging="454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F52474"/>
    <w:rPr>
      <w:rFonts w:cs="Times New Roman"/>
      <w:sz w:val="20"/>
    </w:rPr>
  </w:style>
  <w:style w:type="character" w:customStyle="1" w:styleId="TableTextBulletChar">
    <w:name w:val="Table Text Bullet Char"/>
    <w:basedOn w:val="TableTextChar"/>
    <w:link w:val="TableTextBullet"/>
    <w:rsid w:val="001A02D1"/>
    <w:rPr>
      <w:rFonts w:cs="Times New Roman"/>
      <w:sz w:val="20"/>
    </w:rPr>
  </w:style>
  <w:style w:type="character" w:customStyle="1" w:styleId="TableTextBullet2Char">
    <w:name w:val="Table Text Bullet 2 Char"/>
    <w:basedOn w:val="TableTextBulletChar"/>
    <w:link w:val="TableTextBullet2"/>
    <w:rsid w:val="00F52474"/>
    <w:rPr>
      <w:rFonts w:cs="Times New Roman"/>
      <w:bCs/>
      <w:sz w:val="20"/>
    </w:rPr>
  </w:style>
  <w:style w:type="character" w:customStyle="1" w:styleId="Bullet2Char">
    <w:name w:val="Bullet 2 Char"/>
    <w:basedOn w:val="TableTextBullet2Char"/>
    <w:link w:val="Bullet2"/>
    <w:rsid w:val="00461597"/>
    <w:rPr>
      <w:rFonts w:eastAsia="Times New Roman" w:cs="Times New Roman"/>
      <w:bCs w:val="0"/>
      <w:spacing w:val="-1"/>
      <w:sz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A02D1"/>
    <w:rPr>
      <w:i/>
      <w:color w:val="2B3B5F"/>
      <w:sz w:val="24"/>
      <w:szCs w:val="24"/>
    </w:rPr>
  </w:style>
  <w:style w:type="character" w:customStyle="1" w:styleId="TableTextBullet3Char">
    <w:name w:val="Table Text Bullet 3 Char"/>
    <w:basedOn w:val="TableTextBullet2Char"/>
    <w:link w:val="TableTextBullet3"/>
    <w:rsid w:val="00F52474"/>
    <w:rPr>
      <w:rFonts w:cs="Times New Roman"/>
      <w:bCs w:val="0"/>
      <w:sz w:val="20"/>
    </w:rPr>
  </w:style>
  <w:style w:type="character" w:customStyle="1" w:styleId="Bullet3Char">
    <w:name w:val="Bullet 3 Char"/>
    <w:basedOn w:val="TableTextBullet3Char"/>
    <w:link w:val="Bullet3"/>
    <w:rsid w:val="00461597"/>
    <w:rPr>
      <w:rFonts w:cs="Times New Roman"/>
      <w:bCs w:val="0"/>
      <w:sz w:val="20"/>
    </w:rPr>
  </w:style>
  <w:style w:type="paragraph" w:customStyle="1" w:styleId="Footnotes">
    <w:name w:val="Footnotes"/>
    <w:basedOn w:val="ListParagraph"/>
    <w:link w:val="FootnotesChar"/>
    <w:qFormat/>
    <w:rsid w:val="001278D0"/>
    <w:pPr>
      <w:numPr>
        <w:numId w:val="7"/>
      </w:numPr>
      <w:spacing w:before="113" w:after="0" w:line="260" w:lineRule="atLeast"/>
      <w:contextualSpacing w:val="0"/>
    </w:pPr>
    <w:rPr>
      <w:sz w:val="20"/>
      <w:szCs w:val="20"/>
    </w:rPr>
  </w:style>
  <w:style w:type="paragraph" w:customStyle="1" w:styleId="Footnoteheading">
    <w:name w:val="Footnote heading"/>
    <w:basedOn w:val="Normal"/>
    <w:link w:val="FootnoteheadingChar"/>
    <w:rsid w:val="00C17112"/>
    <w:pPr>
      <w:spacing w:before="113" w:after="113"/>
    </w:pPr>
    <w:rPr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D42"/>
  </w:style>
  <w:style w:type="character" w:customStyle="1" w:styleId="FootnotesChar">
    <w:name w:val="Footnotes Char"/>
    <w:basedOn w:val="ListParagraphChar"/>
    <w:link w:val="Footnotes"/>
    <w:rsid w:val="001278D0"/>
    <w:rPr>
      <w:sz w:val="20"/>
      <w:szCs w:val="20"/>
    </w:rPr>
  </w:style>
  <w:style w:type="character" w:customStyle="1" w:styleId="FootnoteheadingChar">
    <w:name w:val="Footnote heading Char"/>
    <w:basedOn w:val="DefaultParagraphFont"/>
    <w:link w:val="Footnoteheading"/>
    <w:rsid w:val="00C17112"/>
    <w:rPr>
      <w:b/>
      <w:sz w:val="20"/>
      <w:szCs w:val="20"/>
    </w:rPr>
  </w:style>
  <w:style w:type="paragraph" w:customStyle="1" w:styleId="Lettertext">
    <w:name w:val="Letter text"/>
    <w:basedOn w:val="Normal"/>
    <w:qFormat/>
    <w:rsid w:val="00C17112"/>
    <w:pPr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C17112"/>
    <w:pPr>
      <w:keepLines/>
      <w:numPr>
        <w:numId w:val="11"/>
      </w:numPr>
      <w:spacing w:before="0" w:after="113"/>
    </w:pPr>
    <w:rPr>
      <w:spacing w:val="-1"/>
    </w:rPr>
  </w:style>
  <w:style w:type="paragraph" w:styleId="ListBullet2">
    <w:name w:val="List Bullet 2"/>
    <w:basedOn w:val="ListBullet"/>
    <w:unhideWhenUsed/>
    <w:rsid w:val="00C17112"/>
    <w:pPr>
      <w:numPr>
        <w:ilvl w:val="1"/>
      </w:numPr>
    </w:pPr>
  </w:style>
  <w:style w:type="paragraph" w:styleId="ListBullet3">
    <w:name w:val="List Bullet 3"/>
    <w:basedOn w:val="ListBullet2"/>
    <w:unhideWhenUsed/>
    <w:rsid w:val="00C17112"/>
    <w:pPr>
      <w:numPr>
        <w:ilvl w:val="2"/>
      </w:numPr>
    </w:pPr>
  </w:style>
  <w:style w:type="paragraph" w:customStyle="1" w:styleId="TableTextRight">
    <w:name w:val="Table Text Right"/>
    <w:basedOn w:val="TableText"/>
    <w:qFormat/>
    <w:rsid w:val="00C24267"/>
    <w:pPr>
      <w:jc w:val="right"/>
    </w:pPr>
    <w:rPr>
      <w:i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51E"/>
    <w:pPr>
      <w:spacing w:before="240"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51E"/>
    <w:rPr>
      <w:rFonts w:ascii="Times New Roman" w:hAnsi="Times New Roman" w:cs="Times New Roman"/>
      <w:sz w:val="20"/>
      <w:szCs w:val="20"/>
    </w:rPr>
  </w:style>
  <w:style w:type="character" w:styleId="IntenseReference">
    <w:name w:val="Intense Reference"/>
    <w:aliases w:val="DLM format"/>
    <w:basedOn w:val="DefaultParagraphFont"/>
    <w:uiPriority w:val="32"/>
    <w:qFormat/>
    <w:rsid w:val="0075751E"/>
    <w:rPr>
      <w:rFonts w:ascii="Arial" w:hAnsi="Arial"/>
      <w:b/>
      <w:bCs/>
      <w:color w:val="FF0000"/>
      <w:spacing w:val="5"/>
      <w:sz w:val="28"/>
      <w:szCs w:val="28"/>
    </w:rPr>
  </w:style>
  <w:style w:type="paragraph" w:customStyle="1" w:styleId="Proformatext">
    <w:name w:val="Pro forma text"/>
    <w:basedOn w:val="Normal"/>
    <w:rsid w:val="00F83E8B"/>
    <w:pPr>
      <w:spacing w:before="80" w:after="80" w:line="260" w:lineRule="exact"/>
    </w:pPr>
    <w:rPr>
      <w:rFonts w:ascii="Book Antiqua" w:eastAsia="Times New Roman" w:hAnsi="Book Antiqua"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E78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8D8"/>
    <w:pPr>
      <w:spacing w:before="114" w:after="114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8D8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5E8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5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2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bo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PBO\CM%20-%20Caretak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1236CA0-D81E-48F7-901F-70B31D70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 - Caretaker.dotm</Template>
  <TotalTime>146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PBO - GRN047 - Primary Health Networks - Funding - 29 June 2016</vt:lpstr>
    </vt:vector>
  </TitlesOfParts>
  <Company>Parliament of Australia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PBO - GRN047 - Primary Health Networks - Funding - 29 June 2016</dc:title>
  <dc:creator>Parliamentary Budget Office</dc:creator>
  <cp:lastModifiedBy>Milligan, Louise (PBO)</cp:lastModifiedBy>
  <cp:revision>53</cp:revision>
  <cp:lastPrinted>2016-06-29T08:25:00Z</cp:lastPrinted>
  <dcterms:created xsi:type="dcterms:W3CDTF">2016-06-21T01:50:00Z</dcterms:created>
  <dcterms:modified xsi:type="dcterms:W3CDTF">2016-06-29T12:40:00Z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