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FB" w:rsidRPr="004343A3" w:rsidRDefault="00EA0BFB" w:rsidP="00695649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 w:rsidRPr="004343A3"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EA0BFB" w:rsidRDefault="00EA0BFB" w:rsidP="00EA0BF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343A3"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EA0BFB" w:rsidRPr="00002D5D" w:rsidRDefault="00040DCE" w:rsidP="00EA0BFB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EA0BFB" w:rsidRPr="004343A3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7F4723" w:rsidRPr="007F4723">
        <w:rPr>
          <w:i/>
        </w:rPr>
        <w:t>Implementing Primary Health Care</w:t>
      </w:r>
      <w:r w:rsidR="007F4723" w:rsidRPr="007F4723" w:rsidDel="007F4723">
        <w:rPr>
          <w:i/>
        </w:rPr>
        <w:t xml:space="preserve"> </w:t>
      </w:r>
      <w:r w:rsidRPr="00002D5D">
        <w:t xml:space="preserve">(letter of </w:t>
      </w:r>
      <w:r w:rsidR="00E576A3">
        <w:t>29 </w:t>
      </w:r>
      <w:r w:rsidR="00A83E34">
        <w:t>June 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>If you have any queries about this costing, please</w:t>
      </w:r>
      <w:r w:rsidR="00F75D33">
        <w:t xml:space="preserve"> contact Colin </w:t>
      </w:r>
      <w:r w:rsidR="00695649">
        <w:t>Brown on (02) 6277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C82C2F" w:rsidP="00C82C2F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EA0BFB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6956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75751E" w:rsidRDefault="0075751E" w:rsidP="0075751E">
      <w:pPr>
        <w:pStyle w:val="Heading1"/>
      </w:pPr>
      <w:r w:rsidRPr="00002D5D">
        <w:lastRenderedPageBreak/>
        <w:t>Policy costing—during the caretaker period for the 2016 general election</w:t>
      </w:r>
    </w:p>
    <w:tbl>
      <w:tblPr>
        <w:tblStyle w:val="TableGrid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75751E" w:rsidTr="0043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:rsidR="0075751E" w:rsidRDefault="0075751E" w:rsidP="003B44DF">
            <w:r>
              <w:t>Name o</w:t>
            </w:r>
            <w:bookmarkStart w:id="0" w:name="_GoBack"/>
            <w:bookmarkEnd w:id="0"/>
            <w:r>
              <w:t>f proposal:</w:t>
            </w:r>
          </w:p>
        </w:tc>
        <w:tc>
          <w:tcPr>
            <w:tcW w:w="5335" w:type="dxa"/>
          </w:tcPr>
          <w:p w:rsidR="0075751E" w:rsidRDefault="007F4723" w:rsidP="003B44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Implementing Primary Health Care</w:t>
            </w:r>
          </w:p>
        </w:tc>
      </w:tr>
      <w:tr w:rsidR="0075751E" w:rsidTr="0043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431DEB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FB7F5D" w:rsidRDefault="0075751E" w:rsidP="00431DE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2CEF">
              <w:t xml:space="preserve">The proposal would </w:t>
            </w:r>
            <w:r>
              <w:t>make a payment</w:t>
            </w:r>
            <w:r w:rsidR="00702BC2">
              <w:t xml:space="preserve"> of</w:t>
            </w:r>
            <w:r>
              <w:t xml:space="preserve"> </w:t>
            </w:r>
            <w:r w:rsidR="00702BC2" w:rsidRPr="00442CEF">
              <w:t>$1,000 per enrolled patient</w:t>
            </w:r>
            <w:r w:rsidR="00702BC2">
              <w:t xml:space="preserve"> </w:t>
            </w:r>
            <w:r>
              <w:t xml:space="preserve">to </w:t>
            </w:r>
            <w:r w:rsidRPr="00442CEF">
              <w:t>doctors on an annual basis in return for enrolling patients who need ongoing management of a chronic disease condition.  The payments would compensate the doctor for time spen</w:t>
            </w:r>
            <w:r>
              <w:t>t</w:t>
            </w:r>
            <w:r w:rsidRPr="00442CEF">
              <w:t xml:space="preserve"> managing, planning and coordinating the care of the patient including with allied health providers, and are conditional on benchmarks (set by the Department of Health </w:t>
            </w:r>
            <w:r w:rsidR="00FF285F">
              <w:t xml:space="preserve">(Health) </w:t>
            </w:r>
            <w:r w:rsidRPr="00442CEF">
              <w:t>and local Primary Health Network</w:t>
            </w:r>
            <w:r w:rsidR="007054D4">
              <w:t>s</w:t>
            </w:r>
            <w:r w:rsidRPr="00442CEF">
              <w:t xml:space="preserve"> ) being met.</w:t>
            </w:r>
          </w:p>
          <w:p w:rsidR="001F4864" w:rsidRPr="006447DE" w:rsidRDefault="001F4864" w:rsidP="001F486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8EF">
              <w:t xml:space="preserve">The number of enrolled patients </w:t>
            </w:r>
            <w:r>
              <w:t xml:space="preserve">would be capped at </w:t>
            </w:r>
            <w:r w:rsidR="00ED137F">
              <w:t>one</w:t>
            </w:r>
            <w:r>
              <w:t> </w:t>
            </w:r>
            <w:r w:rsidRPr="005278EF">
              <w:t>million</w:t>
            </w:r>
            <w:r>
              <w:t xml:space="preserve"> patients</w:t>
            </w:r>
            <w:r w:rsidRPr="005278EF">
              <w:t xml:space="preserve"> per annum</w:t>
            </w:r>
            <w:r>
              <w:t>.</w:t>
            </w:r>
          </w:p>
          <w:p w:rsidR="0075751E" w:rsidRDefault="00FB7F5D" w:rsidP="00431DE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proposal would also phase out </w:t>
            </w:r>
            <w:r w:rsidR="00CC490B">
              <w:t xml:space="preserve">Medicare </w:t>
            </w:r>
            <w:r>
              <w:t>payments</w:t>
            </w:r>
            <w:r w:rsidR="00CC490B">
              <w:t xml:space="preserve"> </w:t>
            </w:r>
            <w:r>
              <w:t>over two years by:</w:t>
            </w:r>
          </w:p>
          <w:p w:rsidR="00FB7F5D" w:rsidRDefault="00FB7F5D" w:rsidP="00E40941">
            <w:pPr>
              <w:pStyle w:val="Bullet1"/>
              <w:tabs>
                <w:tab w:val="clear" w:pos="454"/>
              </w:tabs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Removing 50 per cent </w:t>
            </w:r>
            <w:r w:rsidR="00D53F83">
              <w:t xml:space="preserve">of </w:t>
            </w:r>
            <w:r>
              <w:t xml:space="preserve">chronic disease management </w:t>
            </w:r>
            <w:r w:rsidR="00D53F83">
              <w:t xml:space="preserve">items in the </w:t>
            </w:r>
            <w:r>
              <w:t xml:space="preserve">Medicare Benefits Schedule </w:t>
            </w:r>
            <w:r w:rsidR="00CC5EC7">
              <w:t xml:space="preserve">(MBS) </w:t>
            </w:r>
            <w:r w:rsidR="0051674A">
              <w:t>in 2018-19</w:t>
            </w:r>
          </w:p>
          <w:p w:rsidR="00FB7F5D" w:rsidRPr="00442CEF" w:rsidRDefault="00FB7F5D" w:rsidP="00E40941">
            <w:pPr>
              <w:pStyle w:val="Bullet1"/>
              <w:tabs>
                <w:tab w:val="clear" w:pos="454"/>
              </w:tabs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Removing all chronic disease management items</w:t>
            </w:r>
            <w:r w:rsidR="0051674A">
              <w:t xml:space="preserve"> in 2019-20</w:t>
            </w:r>
            <w:r>
              <w:t>.</w:t>
            </w:r>
          </w:p>
          <w:p w:rsidR="0075751E" w:rsidRDefault="0075751E" w:rsidP="00431DE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2CEF">
              <w:t>The proposal would have effect from 1 July 201</w:t>
            </w:r>
            <w:r w:rsidR="00FB7F5D">
              <w:t>7</w:t>
            </w:r>
            <w:r w:rsidRPr="00442CEF">
              <w:t>.</w:t>
            </w:r>
          </w:p>
        </w:tc>
      </w:tr>
      <w:tr w:rsidR="0075751E" w:rsidTr="0043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3B44DF">
            <w:r>
              <w:t>Person/party requesting costing:</w:t>
            </w:r>
          </w:p>
        </w:tc>
        <w:tc>
          <w:tcPr>
            <w:tcW w:w="5335" w:type="dxa"/>
          </w:tcPr>
          <w:p w:rsidR="0075751E" w:rsidRDefault="0075751E" w:rsidP="003B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48">
              <w:t>Senator Richard Di Natale, Australian Greens</w:t>
            </w:r>
          </w:p>
        </w:tc>
      </w:tr>
      <w:tr w:rsidR="00223C5A" w:rsidTr="000B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223C5A" w:rsidRDefault="00223C5A" w:rsidP="003B44DF">
            <w:r>
              <w:t>Date of public release of policy:</w:t>
            </w:r>
          </w:p>
        </w:tc>
        <w:tc>
          <w:tcPr>
            <w:tcW w:w="5335" w:type="dxa"/>
          </w:tcPr>
          <w:p w:rsidR="00223C5A" w:rsidRDefault="0051674A" w:rsidP="003B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97">
              <w:t>27 May</w:t>
            </w:r>
            <w:r w:rsidR="00223C5A" w:rsidRPr="00D04797">
              <w:t xml:space="preserve"> 2016</w:t>
            </w:r>
          </w:p>
          <w:p w:rsidR="0095014B" w:rsidRPr="0071301C" w:rsidRDefault="00192825" w:rsidP="003B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95014B" w:rsidRPr="001B0A63">
                <w:rPr>
                  <w:rStyle w:val="Hyperlink"/>
                </w:rPr>
                <w:t>http://greens.org.au/primary-care</w:t>
              </w:r>
            </w:hyperlink>
          </w:p>
        </w:tc>
      </w:tr>
      <w:tr w:rsidR="0075751E" w:rsidTr="0043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3B44DF">
            <w:r>
              <w:t>Date costing request received:</w:t>
            </w:r>
          </w:p>
        </w:tc>
        <w:tc>
          <w:tcPr>
            <w:tcW w:w="5335" w:type="dxa"/>
          </w:tcPr>
          <w:p w:rsidR="0075751E" w:rsidRPr="00D04797" w:rsidRDefault="0051674A" w:rsidP="003B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97">
              <w:t xml:space="preserve">29 </w:t>
            </w:r>
            <w:r w:rsidR="0075751E" w:rsidRPr="00D04797">
              <w:t>June 2016</w:t>
            </w:r>
          </w:p>
        </w:tc>
      </w:tr>
      <w:tr w:rsidR="0075751E" w:rsidTr="0043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Default="0075751E" w:rsidP="003B44DF">
            <w:r>
              <w:t>Date costing completed</w:t>
            </w:r>
            <w:r w:rsidR="00E40941">
              <w:t>:</w:t>
            </w:r>
          </w:p>
        </w:tc>
        <w:tc>
          <w:tcPr>
            <w:tcW w:w="5335" w:type="dxa"/>
          </w:tcPr>
          <w:p w:rsidR="0075751E" w:rsidRPr="00D04797" w:rsidRDefault="00953E93" w:rsidP="003B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Pr="00D04797">
              <w:t xml:space="preserve"> </w:t>
            </w:r>
            <w:r w:rsidR="0075751E" w:rsidRPr="00D04797">
              <w:t>June 2016</w:t>
            </w:r>
          </w:p>
        </w:tc>
      </w:tr>
      <w:tr w:rsidR="000228B6" w:rsidRPr="002434ED" w:rsidTr="00A4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0228B6" w:rsidRPr="00220BE5" w:rsidRDefault="000228B6" w:rsidP="003B44DF">
            <w:r>
              <w:t>Additional information requested:</w:t>
            </w:r>
          </w:p>
        </w:tc>
        <w:tc>
          <w:tcPr>
            <w:tcW w:w="5335" w:type="dxa"/>
          </w:tcPr>
          <w:p w:rsidR="000228B6" w:rsidRPr="002434ED" w:rsidRDefault="000228B6" w:rsidP="003B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 29 June 2016 clarification was sought from the office of </w:t>
            </w:r>
            <w:r w:rsidRPr="004261C0">
              <w:t>Senator Di Natale</w:t>
            </w:r>
            <w:r>
              <w:t xml:space="preserve"> (the </w:t>
            </w:r>
            <w:r w:rsidR="00D53F83">
              <w:t>O</w:t>
            </w:r>
            <w:r>
              <w:t>ffice) as to the start date of the policy.</w:t>
            </w:r>
          </w:p>
        </w:tc>
      </w:tr>
      <w:tr w:rsidR="000228B6" w:rsidRPr="004261C0" w:rsidTr="00A4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0228B6" w:rsidRPr="00220BE5" w:rsidRDefault="000228B6" w:rsidP="00B3530D">
            <w:pPr>
              <w:pStyle w:val="BodyText"/>
              <w:keepNext/>
              <w:keepLines/>
              <w:spacing w:after="114"/>
            </w:pPr>
            <w:r>
              <w:lastRenderedPageBreak/>
              <w:t>Additional information received:</w:t>
            </w:r>
          </w:p>
        </w:tc>
        <w:tc>
          <w:tcPr>
            <w:tcW w:w="5335" w:type="dxa"/>
          </w:tcPr>
          <w:p w:rsidR="000228B6" w:rsidRPr="004261C0" w:rsidRDefault="000228B6" w:rsidP="00B3530D">
            <w:pPr>
              <w:pStyle w:val="BodyText"/>
              <w:keepNext/>
              <w:keepLines/>
              <w:spacing w:after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 29 June 2016 the </w:t>
            </w:r>
            <w:r w:rsidR="00D53F83">
              <w:t>O</w:t>
            </w:r>
            <w:r>
              <w:t>ffice advised that the proposal would commence on 1 July 2017.</w:t>
            </w:r>
          </w:p>
        </w:tc>
      </w:tr>
      <w:tr w:rsidR="0075751E" w:rsidTr="0043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75751E" w:rsidRPr="00220BE5" w:rsidRDefault="0075751E" w:rsidP="00431DEB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75751E" w:rsidRPr="00220BE5" w:rsidRDefault="005736CD" w:rsidP="00431DE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of the next economic and fiscal outlook report</w:t>
            </w:r>
          </w:p>
        </w:tc>
      </w:tr>
    </w:tbl>
    <w:p w:rsidR="0075751E" w:rsidRPr="00002D5D" w:rsidRDefault="0075751E" w:rsidP="0075751E">
      <w:pPr>
        <w:pStyle w:val="Heading2"/>
      </w:pPr>
      <w:r w:rsidRPr="00002D5D">
        <w:t>Costing overview</w:t>
      </w:r>
    </w:p>
    <w:p w:rsidR="004D6116" w:rsidRDefault="0075751E" w:rsidP="00961E25">
      <w:r w:rsidRPr="00FA15BC">
        <w:t xml:space="preserve">This </w:t>
      </w:r>
      <w:r>
        <w:t>proposal</w:t>
      </w:r>
      <w:r w:rsidRPr="00FA15BC">
        <w:t xml:space="preserve"> would</w:t>
      </w:r>
      <w:r>
        <w:t xml:space="preserve"> be expected to decrease</w:t>
      </w:r>
      <w:r w:rsidRPr="0026000C">
        <w:t xml:space="preserve"> the </w:t>
      </w:r>
      <w:r>
        <w:t>fiscal</w:t>
      </w:r>
      <w:r w:rsidRPr="0026000C">
        <w:t xml:space="preserve"> </w:t>
      </w:r>
      <w:r>
        <w:t xml:space="preserve">and </w:t>
      </w:r>
      <w:r w:rsidRPr="0026000C">
        <w:t xml:space="preserve">underlying cash </w:t>
      </w:r>
      <w:r>
        <w:t>balances by $</w:t>
      </w:r>
      <w:r w:rsidR="00E31B3D">
        <w:t>1,</w:t>
      </w:r>
      <w:r w:rsidR="00BB7CFE">
        <w:t>057</w:t>
      </w:r>
      <w:r w:rsidR="00E31B3D">
        <w:t>.</w:t>
      </w:r>
      <w:r w:rsidR="00BB7CFE">
        <w:t>7</w:t>
      </w:r>
      <w:r>
        <w:t> </w:t>
      </w:r>
      <w:r w:rsidRPr="0026000C">
        <w:t>million over the 201</w:t>
      </w:r>
      <w:r>
        <w:t>6</w:t>
      </w:r>
      <w:r w:rsidRPr="0026000C">
        <w:t>-1</w:t>
      </w:r>
      <w:r>
        <w:t>7</w:t>
      </w:r>
      <w:r w:rsidRPr="0026000C">
        <w:t xml:space="preserve"> Budget forward estimates period</w:t>
      </w:r>
      <w:r>
        <w:t>.  The impacts are due to an increase in administered expense</w:t>
      </w:r>
      <w:r w:rsidR="007054D4">
        <w:t>s</w:t>
      </w:r>
      <w:r>
        <w:t xml:space="preserve"> of $</w:t>
      </w:r>
      <w:r w:rsidR="00E31B3D">
        <w:t>1</w:t>
      </w:r>
      <w:r>
        <w:t>,</w:t>
      </w:r>
      <w:r w:rsidR="00E31B3D">
        <w:t>044.4</w:t>
      </w:r>
      <w:r>
        <w:t xml:space="preserve"> million and an increase in departmental expense</w:t>
      </w:r>
      <w:r w:rsidR="007054D4">
        <w:t>s</w:t>
      </w:r>
      <w:r>
        <w:t xml:space="preserve"> of $</w:t>
      </w:r>
      <w:r w:rsidR="00BB7CFE">
        <w:t>13</w:t>
      </w:r>
      <w:r w:rsidR="00E31B3D">
        <w:t>.</w:t>
      </w:r>
      <w:r w:rsidR="00BB7CFE">
        <w:t>4</w:t>
      </w:r>
      <w:r>
        <w:t> million.</w:t>
      </w:r>
    </w:p>
    <w:p w:rsidR="004D6116" w:rsidRDefault="004D6116" w:rsidP="00961E25">
      <w:r>
        <w:t xml:space="preserve">The increase in administered expenses over the forward estimates reflects increased expenditure of $2,700 million related to payments for enrolled patients partially offset by reduced expenditure of $1,655.6 million resulting from the phasing out of MBS payments for the specified list of current chronic disease </w:t>
      </w:r>
      <w:r w:rsidR="00CC5EC7">
        <w:t xml:space="preserve">management </w:t>
      </w:r>
      <w:r>
        <w:t xml:space="preserve">items (refer to </w:t>
      </w:r>
      <w:r w:rsidRPr="00B3530D">
        <w:rPr>
          <w:u w:val="single"/>
        </w:rPr>
        <w:t xml:space="preserve">Attachment </w:t>
      </w:r>
      <w:r w:rsidR="00CC5EC7" w:rsidRPr="00B3530D">
        <w:rPr>
          <w:u w:val="single"/>
        </w:rPr>
        <w:t>A</w:t>
      </w:r>
      <w:r>
        <w:t xml:space="preserve"> for specified items).</w:t>
      </w:r>
    </w:p>
    <w:p w:rsidR="0075751E" w:rsidRPr="00B3530D" w:rsidRDefault="00CC5EC7" w:rsidP="00961E25">
      <w:r>
        <w:t xml:space="preserve">This proposal would result in an ongoing </w:t>
      </w:r>
      <w:r w:rsidR="00FC3AC4">
        <w:t>annual improvement</w:t>
      </w:r>
      <w:r>
        <w:t xml:space="preserve"> to the budget</w:t>
      </w:r>
      <w:r w:rsidR="00FC3AC4">
        <w:t>.</w:t>
      </w:r>
      <w:r w:rsidR="00076238">
        <w:t xml:space="preserve"> </w:t>
      </w:r>
      <w:r w:rsidR="00FC3AC4">
        <w:t xml:space="preserve"> I</w:t>
      </w:r>
      <w:r>
        <w:t>n 2019-20 and each year thereafter the savings from remov</w:t>
      </w:r>
      <w:r w:rsidR="00274224">
        <w:t>ing</w:t>
      </w:r>
      <w:r>
        <w:t xml:space="preserve"> items from the MBS </w:t>
      </w:r>
      <w:r w:rsidR="00FC3AC4">
        <w:t xml:space="preserve">would be </w:t>
      </w:r>
      <w:r>
        <w:t xml:space="preserve">greater than </w:t>
      </w:r>
      <w:r w:rsidR="00FC3AC4">
        <w:t xml:space="preserve">the </w:t>
      </w:r>
      <w:r>
        <w:t>cost of payments for enrolled patients and the associated departmental costs.  A</w:t>
      </w:r>
      <w:r w:rsidR="007054D4">
        <w:t xml:space="preserve"> breakdown of </w:t>
      </w:r>
      <w:r w:rsidR="0075751E">
        <w:t xml:space="preserve">the financial impact </w:t>
      </w:r>
      <w:r>
        <w:t>over the period 2016</w:t>
      </w:r>
      <w:r>
        <w:noBreakHyphen/>
        <w:t xml:space="preserve">17 </w:t>
      </w:r>
      <w:r w:rsidR="0075751E">
        <w:t xml:space="preserve">to 2026-27 is provided at </w:t>
      </w:r>
      <w:r w:rsidR="0075751E" w:rsidRPr="00692EBC">
        <w:rPr>
          <w:u w:val="single"/>
        </w:rPr>
        <w:t xml:space="preserve">Attachment </w:t>
      </w:r>
      <w:r>
        <w:rPr>
          <w:u w:val="single"/>
        </w:rPr>
        <w:t>B</w:t>
      </w:r>
      <w:r w:rsidR="0075751E" w:rsidRPr="00692EBC">
        <w:rPr>
          <w:u w:val="single"/>
        </w:rPr>
        <w:t>.</w:t>
      </w:r>
    </w:p>
    <w:p w:rsidR="0075751E" w:rsidRPr="00752791" w:rsidRDefault="0075751E" w:rsidP="00961E25">
      <w:r w:rsidRPr="00752791">
        <w:t xml:space="preserve">This costing is considered to </w:t>
      </w:r>
      <w:r w:rsidR="00CF21C5">
        <w:t xml:space="preserve">be </w:t>
      </w:r>
      <w:r w:rsidR="005F4A67">
        <w:t xml:space="preserve">of </w:t>
      </w:r>
      <w:r w:rsidR="00D53F83">
        <w:t xml:space="preserve">medium </w:t>
      </w:r>
      <w:r w:rsidR="005F4A67" w:rsidRPr="00752791">
        <w:t xml:space="preserve">reliability </w:t>
      </w:r>
      <w:r w:rsidR="00D53F83">
        <w:t xml:space="preserve">due to uncertainty surrounding </w:t>
      </w:r>
      <w:r w:rsidR="00CC5EC7">
        <w:t xml:space="preserve">the growth rate of the </w:t>
      </w:r>
      <w:r w:rsidR="00D53F83">
        <w:t>chron</w:t>
      </w:r>
      <w:r w:rsidR="00CF21C5">
        <w:t>ic disease management items</w:t>
      </w:r>
      <w:r w:rsidR="00D53F83">
        <w:t xml:space="preserve"> </w:t>
      </w:r>
      <w:r w:rsidR="00CC5EC7">
        <w:t xml:space="preserve">being </w:t>
      </w:r>
      <w:r w:rsidR="00CF21C5">
        <w:t xml:space="preserve">removed </w:t>
      </w:r>
      <w:r w:rsidR="00CC5EC7">
        <w:t>from</w:t>
      </w:r>
      <w:r w:rsidR="00CF21C5">
        <w:t xml:space="preserve"> 2018-19 </w:t>
      </w:r>
      <w:r w:rsidR="00D53F83">
        <w:t>under this proposal</w:t>
      </w:r>
      <w:r w:rsidR="005F4A67">
        <w:rPr>
          <w:rFonts w:eastAsia="Times New Roman"/>
        </w:rPr>
        <w:t>.</w:t>
      </w:r>
    </w:p>
    <w:p w:rsidR="0075751E" w:rsidRPr="00FC6579" w:rsidRDefault="0075751E" w:rsidP="0075751E">
      <w:pPr>
        <w:pStyle w:val="Captionheading"/>
      </w:pPr>
      <w:r w:rsidRPr="00FC6579">
        <w:t>Table 1: Financial implications (outturn prices)</w:t>
      </w:r>
      <w:r w:rsidRPr="00844776">
        <w:rPr>
          <w:vertAlign w:val="superscript"/>
        </w:rPr>
        <w:t>(a)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75751E" w:rsidRPr="00B73AC8" w:rsidTr="003B4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75751E" w:rsidRPr="003825D6" w:rsidRDefault="0075751E" w:rsidP="003B44DF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 w:val="0"/>
                <w:szCs w:val="20"/>
              </w:rPr>
            </w:pPr>
            <w:r w:rsidRPr="003825D6">
              <w:rPr>
                <w:rFonts w:ascii="Calibri" w:hAnsi="Calibri"/>
                <w:b w:val="0"/>
                <w:szCs w:val="20"/>
              </w:rPr>
              <w:t>Impact on ($m)</w:t>
            </w:r>
          </w:p>
        </w:tc>
        <w:tc>
          <w:tcPr>
            <w:tcW w:w="682" w:type="pct"/>
            <w:vAlign w:val="center"/>
          </w:tcPr>
          <w:p w:rsidR="0075751E" w:rsidRPr="003825D6" w:rsidRDefault="0075751E" w:rsidP="003B44DF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3825D6">
              <w:rPr>
                <w:rFonts w:ascii="Calibri" w:hAnsi="Calibri"/>
                <w:b w:val="0"/>
                <w:sz w:val="20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75751E" w:rsidRPr="003825D6" w:rsidRDefault="0075751E" w:rsidP="003B44DF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3825D6">
              <w:rPr>
                <w:rFonts w:ascii="Calibri" w:hAnsi="Calibri"/>
                <w:b w:val="0"/>
                <w:sz w:val="20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75751E" w:rsidRPr="003825D6" w:rsidRDefault="0075751E" w:rsidP="003B44DF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3825D6">
              <w:rPr>
                <w:rFonts w:ascii="Calibri" w:hAnsi="Calibri"/>
                <w:b w:val="0"/>
                <w:sz w:val="20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75751E" w:rsidRPr="003825D6" w:rsidRDefault="0075751E" w:rsidP="003B44DF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3825D6">
              <w:rPr>
                <w:rFonts w:ascii="Calibri" w:hAnsi="Calibri"/>
                <w:b w:val="0"/>
                <w:sz w:val="20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75751E" w:rsidRPr="00B73AC8" w:rsidRDefault="0075751E" w:rsidP="003B44DF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73AC8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BB7CFE" w:rsidRPr="00B73AC8" w:rsidTr="003B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BB7CFE" w:rsidRPr="00B73AC8" w:rsidRDefault="00BB7CFE" w:rsidP="003B44DF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Fiscal balance</w:t>
            </w:r>
          </w:p>
        </w:tc>
        <w:tc>
          <w:tcPr>
            <w:tcW w:w="682" w:type="pct"/>
            <w:vAlign w:val="center"/>
          </w:tcPr>
          <w:p w:rsidR="00BB7CFE" w:rsidRPr="00BB7CFE" w:rsidRDefault="00BB7CFE" w:rsidP="003B44DF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530D">
              <w:rPr>
                <w:sz w:val="20"/>
                <w:szCs w:val="20"/>
              </w:rPr>
              <w:t>-</w:t>
            </w:r>
          </w:p>
        </w:tc>
        <w:tc>
          <w:tcPr>
            <w:tcW w:w="682" w:type="pct"/>
            <w:vAlign w:val="center"/>
          </w:tcPr>
          <w:p w:rsidR="00BB7CFE" w:rsidRPr="00BB7CFE" w:rsidRDefault="00BB7CFE" w:rsidP="003B44DF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530D">
              <w:rPr>
                <w:sz w:val="20"/>
                <w:szCs w:val="20"/>
              </w:rPr>
              <w:t>-706.7</w:t>
            </w:r>
          </w:p>
        </w:tc>
        <w:tc>
          <w:tcPr>
            <w:tcW w:w="682" w:type="pct"/>
            <w:vAlign w:val="center"/>
          </w:tcPr>
          <w:p w:rsidR="00BB7CFE" w:rsidRPr="00BB7CFE" w:rsidRDefault="00BB7CFE" w:rsidP="003B44DF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530D">
              <w:rPr>
                <w:sz w:val="20"/>
                <w:szCs w:val="20"/>
              </w:rPr>
              <w:t>-471.0</w:t>
            </w:r>
          </w:p>
        </w:tc>
        <w:tc>
          <w:tcPr>
            <w:tcW w:w="682" w:type="pct"/>
            <w:vAlign w:val="center"/>
          </w:tcPr>
          <w:p w:rsidR="00BB7CFE" w:rsidRPr="00BB7CFE" w:rsidRDefault="00BB7CFE" w:rsidP="003B44DF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3530D">
              <w:rPr>
                <w:sz w:val="20"/>
                <w:szCs w:val="20"/>
              </w:rPr>
              <w:t>120.0</w:t>
            </w:r>
          </w:p>
        </w:tc>
        <w:tc>
          <w:tcPr>
            <w:tcW w:w="681" w:type="pct"/>
            <w:vAlign w:val="center"/>
          </w:tcPr>
          <w:p w:rsidR="00BB7CFE" w:rsidRPr="00BB7CFE" w:rsidRDefault="00BB7CFE" w:rsidP="003B44DF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  <w:sz w:val="20"/>
                <w:szCs w:val="20"/>
              </w:rPr>
              <w:t>-1,057.7</w:t>
            </w:r>
          </w:p>
        </w:tc>
      </w:tr>
      <w:tr w:rsidR="00BB7CFE" w:rsidRPr="00B73AC8" w:rsidTr="003B4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BB7CFE" w:rsidRPr="00B73AC8" w:rsidRDefault="00BB7CFE" w:rsidP="003B44DF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Underlying cash balance</w:t>
            </w:r>
          </w:p>
        </w:tc>
        <w:tc>
          <w:tcPr>
            <w:tcW w:w="682" w:type="pct"/>
            <w:vAlign w:val="center"/>
          </w:tcPr>
          <w:p w:rsidR="00BB7CFE" w:rsidRPr="00146FE0" w:rsidRDefault="00BB7CFE" w:rsidP="003B44DF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3332">
              <w:rPr>
                <w:sz w:val="20"/>
                <w:szCs w:val="20"/>
              </w:rPr>
              <w:t>-</w:t>
            </w:r>
          </w:p>
        </w:tc>
        <w:tc>
          <w:tcPr>
            <w:tcW w:w="682" w:type="pct"/>
            <w:vAlign w:val="center"/>
          </w:tcPr>
          <w:p w:rsidR="00BB7CFE" w:rsidRPr="00146FE0" w:rsidRDefault="00BB7CFE" w:rsidP="003B44DF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3332">
              <w:rPr>
                <w:sz w:val="20"/>
                <w:szCs w:val="20"/>
              </w:rPr>
              <w:t>-706.7</w:t>
            </w:r>
          </w:p>
        </w:tc>
        <w:tc>
          <w:tcPr>
            <w:tcW w:w="682" w:type="pct"/>
            <w:vAlign w:val="center"/>
          </w:tcPr>
          <w:p w:rsidR="00BB7CFE" w:rsidRPr="00146FE0" w:rsidRDefault="00BB7CFE" w:rsidP="003B44DF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3332">
              <w:rPr>
                <w:sz w:val="20"/>
                <w:szCs w:val="20"/>
              </w:rPr>
              <w:t>-471.0</w:t>
            </w:r>
          </w:p>
        </w:tc>
        <w:tc>
          <w:tcPr>
            <w:tcW w:w="682" w:type="pct"/>
            <w:vAlign w:val="center"/>
          </w:tcPr>
          <w:p w:rsidR="00BB7CFE" w:rsidRPr="00146FE0" w:rsidRDefault="00BB7CFE" w:rsidP="003B44DF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3332">
              <w:rPr>
                <w:sz w:val="20"/>
                <w:szCs w:val="20"/>
              </w:rPr>
              <w:t>120.0</w:t>
            </w:r>
          </w:p>
        </w:tc>
        <w:tc>
          <w:tcPr>
            <w:tcW w:w="681" w:type="pct"/>
            <w:vAlign w:val="center"/>
          </w:tcPr>
          <w:p w:rsidR="00BB7CFE" w:rsidRPr="00BB7CFE" w:rsidRDefault="00BB7CFE" w:rsidP="003B44DF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  <w:sz w:val="20"/>
                <w:szCs w:val="20"/>
              </w:rPr>
              <w:t>-1,057.7</w:t>
            </w:r>
          </w:p>
        </w:tc>
      </w:tr>
    </w:tbl>
    <w:p w:rsidR="00692EBC" w:rsidRPr="00692EBC" w:rsidRDefault="00692EBC" w:rsidP="003B44DF">
      <w:pPr>
        <w:pStyle w:val="Footnotes"/>
        <w:keepNext/>
        <w:numPr>
          <w:ilvl w:val="0"/>
          <w:numId w:val="22"/>
        </w:numPr>
        <w:ind w:left="284" w:hanging="284"/>
        <w:rPr>
          <w:rFonts w:ascii="Calibri" w:hAnsi="Calibri"/>
        </w:rPr>
      </w:pPr>
      <w:r w:rsidRPr="00692EBC">
        <w:t>A positive number indicates an increase in the relevant budget balance, a negative number a decrease.</w:t>
      </w:r>
    </w:p>
    <w:p w:rsidR="00692EBC" w:rsidRPr="00D04797" w:rsidRDefault="00692EBC" w:rsidP="003B44DF">
      <w:pPr>
        <w:pStyle w:val="Footnotes"/>
        <w:keepNext/>
        <w:numPr>
          <w:ilvl w:val="0"/>
          <w:numId w:val="22"/>
        </w:numPr>
        <w:ind w:left="284" w:hanging="284"/>
        <w:rPr>
          <w:rFonts w:ascii="Times New Roman" w:eastAsia="Times New Roman" w:hAnsi="Times New Roman"/>
          <w:lang w:eastAsia="en-AU"/>
        </w:rPr>
      </w:pPr>
      <w:r w:rsidRPr="00692EBC">
        <w:t>Figures may not sum to totals due to rounding.</w:t>
      </w:r>
    </w:p>
    <w:p w:rsidR="005363BE" w:rsidRDefault="005363BE" w:rsidP="003B44DF">
      <w:pPr>
        <w:pStyle w:val="Footnotes"/>
        <w:numPr>
          <w:ilvl w:val="0"/>
          <w:numId w:val="24"/>
        </w:numPr>
        <w:ind w:left="284" w:hanging="284"/>
      </w:pPr>
      <w:r w:rsidRPr="00B8764A">
        <w:t>Indicates nil.</w:t>
      </w:r>
    </w:p>
    <w:p w:rsidR="0075751E" w:rsidRPr="00FC6579" w:rsidRDefault="0075751E" w:rsidP="00961E25">
      <w:pPr>
        <w:pStyle w:val="Heading2"/>
      </w:pPr>
      <w:r w:rsidRPr="00FC6579">
        <w:lastRenderedPageBreak/>
        <w:t>Key assumptions</w:t>
      </w:r>
    </w:p>
    <w:p w:rsidR="0075751E" w:rsidRDefault="0075751E" w:rsidP="00961E25">
      <w:pPr>
        <w:keepNext/>
        <w:keepLines/>
      </w:pPr>
      <w:r w:rsidRPr="00055012">
        <w:t xml:space="preserve">In </w:t>
      </w:r>
      <w:r>
        <w:t>costing the proposal, it has been assumed that:</w:t>
      </w:r>
    </w:p>
    <w:p w:rsidR="009406BC" w:rsidRPr="00961E25" w:rsidRDefault="009406BC" w:rsidP="00961E25">
      <w:pPr>
        <w:pStyle w:val="Bullet1"/>
      </w:pPr>
      <w:r w:rsidRPr="00961E25">
        <w:t>the chronic disease management items removed in 2018</w:t>
      </w:r>
      <w:r w:rsidRPr="00961E25">
        <w:noBreakHyphen/>
        <w:t>19 would represent 50 per cent of the costs of all of the items specified to be removed from 2019</w:t>
      </w:r>
      <w:r w:rsidRPr="00961E25">
        <w:noBreakHyphen/>
        <w:t xml:space="preserve">20 onwards.  This is due to the uncertainty </w:t>
      </w:r>
      <w:r w:rsidR="004D6116" w:rsidRPr="00961E25">
        <w:t xml:space="preserve">regarding </w:t>
      </w:r>
      <w:r w:rsidRPr="00961E25">
        <w:t>which chronic disease management items would be removed in 2018</w:t>
      </w:r>
      <w:r w:rsidRPr="00961E25">
        <w:noBreakHyphen/>
        <w:t>19, which is subject to consultation as specified in the proposal.</w:t>
      </w:r>
    </w:p>
    <w:p w:rsidR="0075751E" w:rsidRPr="00961E25" w:rsidRDefault="0075751E" w:rsidP="00961E25">
      <w:pPr>
        <w:pStyle w:val="Bullet1"/>
      </w:pPr>
      <w:r w:rsidRPr="00961E25">
        <w:t>70 per</w:t>
      </w:r>
      <w:r w:rsidR="009406BC" w:rsidRPr="00961E25">
        <w:t xml:space="preserve"> </w:t>
      </w:r>
      <w:r w:rsidRPr="00961E25">
        <w:t xml:space="preserve">cent of </w:t>
      </w:r>
      <w:r w:rsidR="00064641" w:rsidRPr="00961E25">
        <w:t>the capped one million</w:t>
      </w:r>
      <w:r w:rsidRPr="00961E25">
        <w:t xml:space="preserve"> patients with a chronic disease condition would enrol with doctors in the second half of 201</w:t>
      </w:r>
      <w:r w:rsidR="00064641" w:rsidRPr="00961E25">
        <w:t>7</w:t>
      </w:r>
      <w:r w:rsidRPr="00961E25">
        <w:t>-1</w:t>
      </w:r>
      <w:r w:rsidR="00064641" w:rsidRPr="00961E25">
        <w:t>8</w:t>
      </w:r>
      <w:r w:rsidRPr="00961E25">
        <w:t xml:space="preserve"> and the remaining 30 per</w:t>
      </w:r>
      <w:r w:rsidR="009406BC" w:rsidRPr="00961E25">
        <w:t xml:space="preserve"> </w:t>
      </w:r>
      <w:r w:rsidRPr="00961E25">
        <w:t>cent would enrol with doctors in 201</w:t>
      </w:r>
      <w:r w:rsidR="00064641" w:rsidRPr="00961E25">
        <w:t>8</w:t>
      </w:r>
      <w:r w:rsidR="00802DC2" w:rsidRPr="00961E25">
        <w:t>-</w:t>
      </w:r>
      <w:r w:rsidRPr="00961E25">
        <w:t>1</w:t>
      </w:r>
      <w:r w:rsidR="00064641" w:rsidRPr="00961E25">
        <w:t>9.</w:t>
      </w:r>
    </w:p>
    <w:p w:rsidR="00011E08" w:rsidRDefault="0075751E" w:rsidP="009406BC">
      <w:pPr>
        <w:pStyle w:val="Heading2"/>
      </w:pPr>
      <w:r w:rsidRPr="00FC6579">
        <w:t>Methodology</w:t>
      </w:r>
    </w:p>
    <w:p w:rsidR="00011E08" w:rsidRPr="00023848" w:rsidRDefault="00011E08" w:rsidP="00D04797">
      <w:pPr>
        <w:pStyle w:val="Heading4"/>
      </w:pPr>
      <w:r w:rsidRPr="00023848">
        <w:t>Administered expenses</w:t>
      </w:r>
    </w:p>
    <w:p w:rsidR="0075751E" w:rsidRDefault="0075751E" w:rsidP="0075751E">
      <w:pPr>
        <w:pStyle w:val="BodyText"/>
      </w:pPr>
      <w:r>
        <w:t xml:space="preserve">The </w:t>
      </w:r>
      <w:r w:rsidR="00FF285F">
        <w:t xml:space="preserve">costs </w:t>
      </w:r>
      <w:r>
        <w:t xml:space="preserve">of </w:t>
      </w:r>
      <w:r w:rsidR="00A27789">
        <w:t>additional</w:t>
      </w:r>
      <w:r>
        <w:t xml:space="preserve"> </w:t>
      </w:r>
      <w:r w:rsidR="00011E08">
        <w:t>payments to doctors</w:t>
      </w:r>
      <w:r>
        <w:t xml:space="preserve"> w</w:t>
      </w:r>
      <w:r w:rsidR="00FF285F">
        <w:t>ere</w:t>
      </w:r>
      <w:r>
        <w:t xml:space="preserve"> derived by multiplying the</w:t>
      </w:r>
      <w:r w:rsidR="009406BC">
        <w:t xml:space="preserve"> </w:t>
      </w:r>
      <w:r w:rsidR="004C2F22">
        <w:t>specified</w:t>
      </w:r>
      <w:r w:rsidR="00064641">
        <w:t xml:space="preserve"> </w:t>
      </w:r>
      <w:r>
        <w:t>number of enrolled patients with a chronic disease condition by the specified annual payments to doctors per enrolled patient ($1,000).</w:t>
      </w:r>
    </w:p>
    <w:p w:rsidR="00E71BCF" w:rsidRDefault="00011E08" w:rsidP="00E71BCF">
      <w:r>
        <w:t xml:space="preserve">The </w:t>
      </w:r>
      <w:r w:rsidR="00FF285F">
        <w:t xml:space="preserve">savings </w:t>
      </w:r>
      <w:r w:rsidR="00A27789">
        <w:t>from reduced</w:t>
      </w:r>
      <w:r w:rsidR="002F612C">
        <w:t xml:space="preserve"> Medicare</w:t>
      </w:r>
      <w:r w:rsidR="00E71BCF">
        <w:t xml:space="preserve"> payments for chronic disease management items were calculated</w:t>
      </w:r>
      <w:r w:rsidR="00E71BCF" w:rsidRPr="004A6F54">
        <w:t xml:space="preserve"> based on</w:t>
      </w:r>
      <w:r w:rsidR="00E71BCF">
        <w:t xml:space="preserve"> applying the</w:t>
      </w:r>
      <w:r w:rsidR="00E71BCF" w:rsidRPr="004A6F54">
        <w:t xml:space="preserve"> </w:t>
      </w:r>
      <w:r w:rsidR="00E71BCF">
        <w:t xml:space="preserve">appropriate </w:t>
      </w:r>
      <w:r w:rsidR="00FF285F">
        <w:t xml:space="preserve">growth </w:t>
      </w:r>
      <w:r w:rsidR="00E71BCF">
        <w:t>rate</w:t>
      </w:r>
      <w:r w:rsidR="004D6116">
        <w:t xml:space="preserve"> (based on the historical trend in MBS benefits paid) </w:t>
      </w:r>
      <w:r w:rsidR="00E71BCF">
        <w:t xml:space="preserve">to </w:t>
      </w:r>
      <w:r w:rsidR="004D6116">
        <w:t xml:space="preserve">expenditure </w:t>
      </w:r>
      <w:r w:rsidR="00CC5EC7">
        <w:t xml:space="preserve">of </w:t>
      </w:r>
      <w:r w:rsidR="009406BC">
        <w:t>these items</w:t>
      </w:r>
      <w:r w:rsidR="00FF285F">
        <w:t xml:space="preserve"> in 2014</w:t>
      </w:r>
      <w:r w:rsidR="00FF285F">
        <w:noBreakHyphen/>
        <w:t>15</w:t>
      </w:r>
      <w:r>
        <w:t>.</w:t>
      </w:r>
    </w:p>
    <w:p w:rsidR="00011E08" w:rsidRPr="00023848" w:rsidRDefault="00011E08" w:rsidP="00D04797">
      <w:pPr>
        <w:pStyle w:val="Heading4"/>
      </w:pPr>
      <w:r w:rsidRPr="00023848">
        <w:t>Departmental expenses</w:t>
      </w:r>
    </w:p>
    <w:p w:rsidR="0075751E" w:rsidRDefault="0075751E" w:rsidP="0075751E">
      <w:pPr>
        <w:pStyle w:val="BodyText"/>
      </w:pPr>
      <w:r>
        <w:t xml:space="preserve">The </w:t>
      </w:r>
      <w:r w:rsidR="00FC3AC4">
        <w:t xml:space="preserve">additional </w:t>
      </w:r>
      <w:r>
        <w:t xml:space="preserve">departmental </w:t>
      </w:r>
      <w:r w:rsidR="00BB7CFE">
        <w:t>expenses</w:t>
      </w:r>
      <w:r>
        <w:t xml:space="preserve"> for the Department of Human Services (DHS)</w:t>
      </w:r>
      <w:r w:rsidR="00BB7CFE">
        <w:t xml:space="preserve"> </w:t>
      </w:r>
      <w:r w:rsidR="00FC3AC4">
        <w:t xml:space="preserve">related to payments for enrolled patients </w:t>
      </w:r>
      <w:r>
        <w:t xml:space="preserve">were derived by multiplying the </w:t>
      </w:r>
      <w:r w:rsidR="009406BC">
        <w:t xml:space="preserve">specified </w:t>
      </w:r>
      <w:r>
        <w:t>number of enrolled patients by the estimated processing cost per transaction with additional funding for the development of the payment system in 2016-17.</w:t>
      </w:r>
    </w:p>
    <w:p w:rsidR="00BB7CFE" w:rsidRDefault="00BB7CFE" w:rsidP="00BB7CFE">
      <w:pPr>
        <w:pStyle w:val="BodyText"/>
      </w:pPr>
      <w:r>
        <w:t xml:space="preserve">The savings </w:t>
      </w:r>
      <w:r w:rsidR="00A27789">
        <w:t xml:space="preserve">in </w:t>
      </w:r>
      <w:r>
        <w:t xml:space="preserve">departmental costs for </w:t>
      </w:r>
      <w:r w:rsidR="00C70862">
        <w:t>DHS</w:t>
      </w:r>
      <w:r>
        <w:t xml:space="preserve"> were derived by multiplying the estimated number of services for MBS items</w:t>
      </w:r>
      <w:r w:rsidR="00FC3AC4">
        <w:t xml:space="preserve"> that would be removed under this proposal</w:t>
      </w:r>
      <w:r>
        <w:t xml:space="preserve"> by the estimated processing cost per transaction.</w:t>
      </w:r>
    </w:p>
    <w:p w:rsidR="0075751E" w:rsidRDefault="0075751E" w:rsidP="0075751E">
      <w:pPr>
        <w:pStyle w:val="BodyText"/>
      </w:pPr>
      <w:r>
        <w:t xml:space="preserve">The departmental costs for </w:t>
      </w:r>
      <w:r w:rsidR="004C2F22">
        <w:t>Health</w:t>
      </w:r>
      <w:r>
        <w:t xml:space="preserve"> were calculated based on similar sized programs</w:t>
      </w:r>
      <w:r w:rsidR="00CF21C5">
        <w:rPr>
          <w:rStyle w:val="FootnoteReference"/>
        </w:rPr>
        <w:footnoteReference w:id="1"/>
      </w:r>
      <w:r>
        <w:t>.</w:t>
      </w:r>
    </w:p>
    <w:p w:rsidR="0075751E" w:rsidRPr="00FC6579" w:rsidRDefault="0075751E" w:rsidP="00D85FFD">
      <w:pPr>
        <w:pStyle w:val="Heading2"/>
      </w:pPr>
      <w:r w:rsidRPr="00FC6579">
        <w:lastRenderedPageBreak/>
        <w:t>Data sources</w:t>
      </w:r>
    </w:p>
    <w:p w:rsidR="0075751E" w:rsidRPr="003B44DF" w:rsidRDefault="0075751E" w:rsidP="00D85FFD">
      <w:pPr>
        <w:pStyle w:val="Bullet1"/>
        <w:keepNext/>
      </w:pPr>
      <w:r w:rsidRPr="003B44DF">
        <w:t>The Department of Finance - indexation and efficiency dividend parameters.</w:t>
      </w:r>
    </w:p>
    <w:p w:rsidR="00064641" w:rsidRPr="003B44DF" w:rsidRDefault="00064641" w:rsidP="00D85FFD">
      <w:pPr>
        <w:pStyle w:val="Bullet1"/>
        <w:keepNext/>
      </w:pPr>
      <w:r w:rsidRPr="003B44DF">
        <w:t xml:space="preserve">Medicare statistics, </w:t>
      </w:r>
      <w:hyperlink r:id="rId17" w:history="1">
        <w:r w:rsidRPr="003B44DF">
          <w:rPr>
            <w:rStyle w:val="Hyperlink"/>
            <w:color w:val="auto"/>
            <w:u w:val="none"/>
          </w:rPr>
          <w:t>http://medicarestatistics.humanservices.gov.au/statistics/mbs_item.jsp</w:t>
        </w:r>
      </w:hyperlink>
      <w:r w:rsidRPr="003B44DF">
        <w:t>.</w:t>
      </w:r>
    </w:p>
    <w:p w:rsidR="00064641" w:rsidRPr="003B44DF" w:rsidRDefault="00064641" w:rsidP="003B44DF">
      <w:pPr>
        <w:pStyle w:val="Bullet1"/>
        <w:keepLines w:val="0"/>
      </w:pPr>
      <w:r w:rsidRPr="003B44DF">
        <w:t>Department of Human Services provided the 2016-17 Budget Funding Model on Unit Prices for National Policy Proposals.</w:t>
      </w:r>
    </w:p>
    <w:p w:rsidR="003B44DF" w:rsidRPr="003B44DF" w:rsidRDefault="003B44DF" w:rsidP="003B44DF">
      <w:pPr>
        <w:pStyle w:val="Bullet1"/>
        <w:keepLines w:val="0"/>
        <w:sectPr w:rsidR="003B44DF" w:rsidRPr="003B44DF" w:rsidSect="00002D5D">
          <w:headerReference w:type="first" r:id="rId18"/>
          <w:footerReference w:type="first" r:id="rId19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CC5EC7" w:rsidRPr="00FC6579" w:rsidRDefault="00CC5EC7" w:rsidP="00CC5EC7">
      <w:pPr>
        <w:pStyle w:val="Heading1"/>
      </w:pPr>
      <w:r w:rsidRPr="00FC6579">
        <w:lastRenderedPageBreak/>
        <w:t xml:space="preserve">Attachment </w:t>
      </w:r>
      <w:r>
        <w:t>A</w:t>
      </w:r>
      <w:r w:rsidRPr="00FC6579">
        <w:t>:</w:t>
      </w:r>
      <w:r>
        <w:t xml:space="preserve"> </w:t>
      </w:r>
      <w:r w:rsidR="008B7A0B">
        <w:t>L</w:t>
      </w:r>
      <w:r w:rsidRPr="00CC5EC7">
        <w:t>ist of current chronic disease management items</w:t>
      </w:r>
      <w:r w:rsidR="008B7A0B">
        <w:t xml:space="preserve"> being removed from 2018</w:t>
      </w:r>
      <w:r w:rsidR="008B7A0B">
        <w:noBreakHyphen/>
        <w:t>19 under the proposal</w:t>
      </w:r>
    </w:p>
    <w:p w:rsidR="008B7A0B" w:rsidRPr="00006340" w:rsidRDefault="008B7A0B" w:rsidP="00006340">
      <w:pPr>
        <w:pStyle w:val="Bullet1"/>
      </w:pPr>
      <w:r w:rsidRPr="00006340">
        <w:t xml:space="preserve">10986 Health assessment kids check </w:t>
      </w:r>
    </w:p>
    <w:p w:rsidR="008B7A0B" w:rsidRPr="00006340" w:rsidRDefault="008B7A0B" w:rsidP="00006340">
      <w:pPr>
        <w:pStyle w:val="Bullet1"/>
      </w:pPr>
      <w:r w:rsidRPr="00006340">
        <w:t xml:space="preserve">701 Health assessment brief </w:t>
      </w:r>
    </w:p>
    <w:p w:rsidR="008B7A0B" w:rsidRPr="00006340" w:rsidRDefault="008B7A0B" w:rsidP="00006340">
      <w:pPr>
        <w:pStyle w:val="Bullet1"/>
      </w:pPr>
      <w:r w:rsidRPr="00006340">
        <w:t xml:space="preserve">703 Health assessment standard </w:t>
      </w:r>
    </w:p>
    <w:p w:rsidR="008B7A0B" w:rsidRPr="00006340" w:rsidRDefault="008B7A0B" w:rsidP="00006340">
      <w:pPr>
        <w:pStyle w:val="Bullet1"/>
      </w:pPr>
      <w:r w:rsidRPr="00006340">
        <w:t xml:space="preserve">705 Health assessment long </w:t>
      </w:r>
    </w:p>
    <w:p w:rsidR="008B7A0B" w:rsidRPr="00006340" w:rsidRDefault="008B7A0B" w:rsidP="00006340">
      <w:pPr>
        <w:pStyle w:val="Bullet1"/>
      </w:pPr>
      <w:r w:rsidRPr="00006340">
        <w:t xml:space="preserve">707 Health assessment prolonged </w:t>
      </w:r>
    </w:p>
    <w:p w:rsidR="008B7A0B" w:rsidRPr="00006340" w:rsidRDefault="008B7A0B" w:rsidP="00006340">
      <w:pPr>
        <w:pStyle w:val="Bullet1"/>
      </w:pPr>
      <w:r w:rsidRPr="00006340">
        <w:t xml:space="preserve">715 Health assessment ATSI </w:t>
      </w:r>
    </w:p>
    <w:p w:rsidR="008B7A0B" w:rsidRPr="00006340" w:rsidRDefault="008B7A0B" w:rsidP="00006340">
      <w:pPr>
        <w:pStyle w:val="Bullet1"/>
      </w:pPr>
      <w:r w:rsidRPr="00006340">
        <w:t xml:space="preserve">721 Chronic disease plan </w:t>
      </w:r>
    </w:p>
    <w:p w:rsidR="008B7A0B" w:rsidRPr="00006340" w:rsidRDefault="008B7A0B" w:rsidP="00006340">
      <w:pPr>
        <w:pStyle w:val="Bullet1"/>
      </w:pPr>
      <w:r w:rsidRPr="00006340">
        <w:t xml:space="preserve">723 Team care coordination </w:t>
      </w:r>
    </w:p>
    <w:p w:rsidR="008B7A0B" w:rsidRPr="00006340" w:rsidRDefault="008B7A0B" w:rsidP="00006340">
      <w:pPr>
        <w:pStyle w:val="Bullet1"/>
      </w:pPr>
      <w:r w:rsidRPr="00006340">
        <w:t xml:space="preserve">729 Contribution to team care (health) </w:t>
      </w:r>
    </w:p>
    <w:p w:rsidR="008B7A0B" w:rsidRPr="00006340" w:rsidRDefault="008B7A0B" w:rsidP="00006340">
      <w:pPr>
        <w:pStyle w:val="Bullet1"/>
      </w:pPr>
      <w:r w:rsidRPr="00006340">
        <w:t xml:space="preserve">731 Contribution to team care (aged) </w:t>
      </w:r>
    </w:p>
    <w:p w:rsidR="00CC5EC7" w:rsidRPr="00006340" w:rsidRDefault="008B7A0B" w:rsidP="00006340">
      <w:pPr>
        <w:pStyle w:val="Bullet1"/>
      </w:pPr>
      <w:r w:rsidRPr="00006340">
        <w:t xml:space="preserve">732 Review of GP management plan </w:t>
      </w:r>
    </w:p>
    <w:p w:rsidR="00064641" w:rsidRPr="00006340" w:rsidRDefault="00064641" w:rsidP="00006340">
      <w:pPr>
        <w:pStyle w:val="Bullet1"/>
        <w:rPr>
          <w:highlight w:val="yellow"/>
        </w:rPr>
        <w:sectPr w:rsidR="00064641" w:rsidRPr="00006340" w:rsidSect="00002D5D">
          <w:headerReference w:type="first" r:id="rId20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>
      <w:pPr>
        <w:pStyle w:val="Heading1"/>
      </w:pPr>
      <w:r w:rsidRPr="00FC6579">
        <w:lastRenderedPageBreak/>
        <w:t xml:space="preserve">Attachment </w:t>
      </w:r>
      <w:r w:rsidR="00CC5EC7">
        <w:t>B</w:t>
      </w:r>
      <w:r w:rsidRPr="00FC6579">
        <w:t>:</w:t>
      </w:r>
      <w:r w:rsidR="00497FD5">
        <w:t xml:space="preserve"> </w:t>
      </w:r>
      <w:r w:rsidR="00B22B7C">
        <w:t xml:space="preserve">Implementing </w:t>
      </w:r>
      <w:r w:rsidR="00EA5BE3">
        <w:t>Primary Health C</w:t>
      </w:r>
      <w:r w:rsidR="00B22B7C">
        <w:t>are</w:t>
      </w:r>
      <w:r w:rsidR="00440E32">
        <w:t>—financial implications</w:t>
      </w:r>
    </w:p>
    <w:p w:rsidR="00F52474" w:rsidRPr="00497FD5" w:rsidRDefault="00F52474">
      <w:pPr>
        <w:pStyle w:val="Captionheading"/>
        <w:rPr>
          <w:vertAlign w:val="superscript"/>
        </w:rPr>
      </w:pPr>
      <w:r w:rsidRPr="00FC6579">
        <w:t xml:space="preserve">Table </w:t>
      </w:r>
      <w:r w:rsidR="008E7A78">
        <w:t>B</w:t>
      </w:r>
      <w:r w:rsidR="00497FD5">
        <w:t>1</w:t>
      </w:r>
      <w:r w:rsidRPr="00FC6579">
        <w:t xml:space="preserve">: </w:t>
      </w:r>
      <w:r w:rsidR="00FF285F" w:rsidRPr="00FF285F">
        <w:t>Implementing Primary Health Care</w:t>
      </w:r>
      <w:r w:rsidR="003B44DF">
        <w:t>—</w:t>
      </w:r>
      <w:r w:rsidR="00497FD5">
        <w:t>Financial implications</w:t>
      </w:r>
      <w:r w:rsidR="00C60924">
        <w:rPr>
          <w:vertAlign w:val="superscript"/>
        </w:rPr>
        <w:t>(a)(b)</w:t>
      </w:r>
    </w:p>
    <w:tbl>
      <w:tblPr>
        <w:tblStyle w:val="TableGrid"/>
        <w:tblW w:w="5414" w:type="pct"/>
        <w:tblInd w:w="-562" w:type="dxa"/>
        <w:tblLook w:val="0680" w:firstRow="0" w:lastRow="0" w:firstColumn="1" w:lastColumn="0" w:noHBand="1" w:noVBand="1"/>
      </w:tblPr>
      <w:tblGrid>
        <w:gridCol w:w="3688"/>
        <w:gridCol w:w="884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9"/>
      </w:tblGrid>
      <w:tr w:rsidR="00AC6B4F" w:rsidRPr="00B31810" w:rsidTr="008E7A7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shd w:val="clear" w:color="auto" w:fill="D7DDE9"/>
            <w:vAlign w:val="center"/>
          </w:tcPr>
          <w:p w:rsidR="00957285" w:rsidRPr="00883351" w:rsidRDefault="00957285" w:rsidP="00006340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883351">
              <w:rPr>
                <w:sz w:val="20"/>
                <w:szCs w:val="20"/>
              </w:rPr>
              <w:t>($m)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4552CE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552CE">
              <w:rPr>
                <w:b/>
              </w:rPr>
              <w:t>Total to 2019–20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291" w:type="pct"/>
            <w:shd w:val="clear" w:color="auto" w:fill="D7DDE9"/>
            <w:vAlign w:val="center"/>
          </w:tcPr>
          <w:p w:rsidR="00957285" w:rsidRPr="00C24267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293" w:type="pct"/>
            <w:shd w:val="clear" w:color="auto" w:fill="D7DDE9"/>
            <w:vAlign w:val="center"/>
          </w:tcPr>
          <w:p w:rsidR="00957285" w:rsidRPr="004552CE" w:rsidRDefault="00957285" w:rsidP="00006340">
            <w:pPr>
              <w:pStyle w:val="TableHeadingCentred"/>
              <w:spacing w:line="240" w:lineRule="auto"/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552CE">
              <w:rPr>
                <w:b/>
              </w:rPr>
              <w:t>Total to 2026–27</w:t>
            </w:r>
          </w:p>
        </w:tc>
      </w:tr>
      <w:tr w:rsidR="00883351" w:rsidTr="00B353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883351" w:rsidRPr="00883351" w:rsidRDefault="00FF285F" w:rsidP="00006340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 on fiscal and underlying cash balances</w:t>
            </w:r>
          </w:p>
        </w:tc>
      </w:tr>
      <w:tr w:rsidR="00FC3AC4" w:rsidTr="00B353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FC3AC4" w:rsidRDefault="00FC3AC4" w:rsidP="00006340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Administered</w:t>
            </w:r>
          </w:p>
        </w:tc>
      </w:tr>
      <w:tr w:rsidR="008E7A78" w:rsidTr="0095014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</w:tcPr>
          <w:p w:rsidR="003F34BF" w:rsidRPr="000C40BD" w:rsidRDefault="003F34BF" w:rsidP="00006340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Payments </w:t>
            </w:r>
            <w:r w:rsidR="008E7A78">
              <w:rPr>
                <w:sz w:val="20"/>
                <w:szCs w:val="20"/>
              </w:rPr>
              <w:t>for enrolled patients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-2,700.0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-1,000.0</w:t>
            </w:r>
          </w:p>
        </w:tc>
        <w:tc>
          <w:tcPr>
            <w:tcW w:w="293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-9,700.0</w:t>
            </w:r>
          </w:p>
        </w:tc>
      </w:tr>
      <w:tr w:rsidR="008E7A78" w:rsidTr="0095014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Align w:val="center"/>
          </w:tcPr>
          <w:p w:rsidR="003F34BF" w:rsidRPr="000C40BD" w:rsidRDefault="00A03481" w:rsidP="00006340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Savings from removed MBS items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 xml:space="preserve"> 534.0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1,121.6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 xml:space="preserve"> 1,655.6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1,178.0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1,237.2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1,299.4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1,364.6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1,433.2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1,505.2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1,580.8</w:t>
            </w:r>
          </w:p>
        </w:tc>
        <w:tc>
          <w:tcPr>
            <w:tcW w:w="293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11,254.1</w:t>
            </w:r>
          </w:p>
        </w:tc>
      </w:tr>
      <w:tr w:rsidR="00AC6B4F" w:rsidRPr="003F6028" w:rsidTr="008E7A7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Total administered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-700.0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-466.0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121.6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-1,044.4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178.0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237.2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299.4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364.6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433.2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505.2</w:t>
            </w:r>
          </w:p>
        </w:tc>
        <w:tc>
          <w:tcPr>
            <w:tcW w:w="291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580.8</w:t>
            </w:r>
          </w:p>
        </w:tc>
        <w:tc>
          <w:tcPr>
            <w:tcW w:w="293" w:type="pct"/>
            <w:shd w:val="clear" w:color="auto" w:fill="E9ECF3"/>
          </w:tcPr>
          <w:p w:rsidR="003F34BF" w:rsidRPr="003F6028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1,554.1</w:t>
            </w:r>
          </w:p>
        </w:tc>
      </w:tr>
      <w:tr w:rsidR="003F34BF" w:rsidTr="00B353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3F34BF" w:rsidRPr="00D04797" w:rsidRDefault="003F34BF" w:rsidP="00006340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Departmental</w:t>
            </w:r>
          </w:p>
        </w:tc>
      </w:tr>
      <w:tr w:rsidR="008E7A78" w:rsidTr="008E7A7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</w:tcPr>
          <w:p w:rsidR="003F34BF" w:rsidRPr="000C40BD" w:rsidRDefault="00A03481" w:rsidP="00006340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Payments </w:t>
            </w:r>
            <w:r w:rsidR="008E7A78">
              <w:rPr>
                <w:sz w:val="20"/>
                <w:szCs w:val="20"/>
              </w:rPr>
              <w:t xml:space="preserve">for enrolled patients </w:t>
            </w:r>
            <w:r>
              <w:rPr>
                <w:sz w:val="20"/>
                <w:szCs w:val="20"/>
              </w:rPr>
              <w:t>(DHS)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-5.8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-7.1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-7.1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-20.0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-7.2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-7.2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-7.3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-7.3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-7.4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-7.4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-7.4</w:t>
            </w:r>
          </w:p>
        </w:tc>
        <w:tc>
          <w:tcPr>
            <w:tcW w:w="291" w:type="pct"/>
            <w:vAlign w:val="center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-71.1</w:t>
            </w:r>
          </w:p>
        </w:tc>
      </w:tr>
      <w:tr w:rsidR="008E7A78" w:rsidTr="008E7A7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</w:tcPr>
          <w:p w:rsidR="00A03481" w:rsidRDefault="00A03481" w:rsidP="00006340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Savings from removed MBS items (DHS)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 xml:space="preserve"> 3.0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6.3</w:t>
            </w:r>
          </w:p>
        </w:tc>
        <w:tc>
          <w:tcPr>
            <w:tcW w:w="291" w:type="pct"/>
            <w:vAlign w:val="center"/>
          </w:tcPr>
          <w:p w:rsidR="00A03481" w:rsidRPr="00B3530D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B3530D">
              <w:rPr>
                <w:b/>
                <w:i/>
                <w:sz w:val="20"/>
                <w:szCs w:val="20"/>
              </w:rPr>
              <w:t>9.4</w:t>
            </w:r>
          </w:p>
        </w:tc>
        <w:tc>
          <w:tcPr>
            <w:tcW w:w="291" w:type="pct"/>
            <w:vAlign w:val="center"/>
          </w:tcPr>
          <w:p w:rsidR="00A03481" w:rsidRPr="00B3530D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6.7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7.5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7.9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8.4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8.9</w:t>
            </w:r>
          </w:p>
        </w:tc>
        <w:tc>
          <w:tcPr>
            <w:tcW w:w="291" w:type="pct"/>
            <w:vAlign w:val="center"/>
          </w:tcPr>
          <w:p w:rsidR="00A03481" w:rsidRPr="00A03481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B3530D">
              <w:rPr>
                <w:i/>
                <w:sz w:val="20"/>
                <w:szCs w:val="20"/>
              </w:rPr>
              <w:t>9.4</w:t>
            </w:r>
          </w:p>
        </w:tc>
        <w:tc>
          <w:tcPr>
            <w:tcW w:w="291" w:type="pct"/>
            <w:vAlign w:val="center"/>
          </w:tcPr>
          <w:p w:rsidR="00A03481" w:rsidRPr="00B3530D" w:rsidRDefault="00A03481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B3530D">
              <w:rPr>
                <w:b/>
                <w:i/>
                <w:sz w:val="20"/>
                <w:szCs w:val="20"/>
              </w:rPr>
              <w:t>65.2</w:t>
            </w:r>
          </w:p>
        </w:tc>
      </w:tr>
      <w:tr w:rsidR="008E7A78" w:rsidTr="008E7A7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</w:tcPr>
          <w:p w:rsidR="003F34BF" w:rsidRPr="000C40BD" w:rsidRDefault="003F34BF" w:rsidP="00006340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-2.7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04797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291" w:type="pct"/>
          </w:tcPr>
          <w:p w:rsidR="003F34BF" w:rsidRPr="003F34BF" w:rsidRDefault="003F34BF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D04797">
              <w:rPr>
                <w:b/>
                <w:i/>
                <w:sz w:val="20"/>
                <w:szCs w:val="20"/>
              </w:rPr>
              <w:t>-9.2</w:t>
            </w:r>
          </w:p>
        </w:tc>
      </w:tr>
      <w:tr w:rsidR="00AC6B4F" w:rsidRPr="003F6028" w:rsidTr="0095014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3F6028">
              <w:rPr>
                <w:b/>
                <w:sz w:val="20"/>
                <w:szCs w:val="20"/>
              </w:rPr>
              <w:t>Total departmental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-6.7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-5.0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-1.7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-13.4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-1.4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-1.0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-0.7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-0.3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0.1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0.5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1.0</w:t>
            </w:r>
          </w:p>
        </w:tc>
        <w:tc>
          <w:tcPr>
            <w:tcW w:w="291" w:type="pct"/>
            <w:shd w:val="clear" w:color="auto" w:fill="E9ECF3"/>
          </w:tcPr>
          <w:p w:rsidR="0013223D" w:rsidRPr="003F6028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F6028">
              <w:rPr>
                <w:b/>
              </w:rPr>
              <w:t>-15.2</w:t>
            </w:r>
          </w:p>
        </w:tc>
      </w:tr>
      <w:tr w:rsidR="00AC6B4F" w:rsidTr="0095014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shd w:val="clear" w:color="auto" w:fill="D7DDE9"/>
          </w:tcPr>
          <w:p w:rsidR="0013223D" w:rsidRPr="000C40BD" w:rsidRDefault="0013223D" w:rsidP="00006340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0C40B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-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-706.7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-471.0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120.0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-1,057.7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176.6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236.2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298.7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364.3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433.3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505.7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581.8</w:t>
            </w:r>
          </w:p>
        </w:tc>
        <w:tc>
          <w:tcPr>
            <w:tcW w:w="291" w:type="pct"/>
            <w:shd w:val="clear" w:color="auto" w:fill="D7DDE9"/>
          </w:tcPr>
          <w:p w:rsidR="0013223D" w:rsidRPr="0013223D" w:rsidRDefault="0013223D" w:rsidP="00006340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3530D">
              <w:rPr>
                <w:b/>
              </w:rPr>
              <w:t>1,538.9</w:t>
            </w:r>
          </w:p>
        </w:tc>
      </w:tr>
    </w:tbl>
    <w:p w:rsidR="00843520" w:rsidRDefault="00843520" w:rsidP="003B44DF">
      <w:pPr>
        <w:pStyle w:val="Footnotes"/>
        <w:numPr>
          <w:ilvl w:val="0"/>
          <w:numId w:val="23"/>
        </w:numPr>
        <w:spacing w:before="80"/>
        <w:ind w:left="284" w:hanging="284"/>
      </w:pPr>
      <w:r w:rsidRPr="00843520">
        <w:t xml:space="preserve">A positive number indicates an increase in revenue or decrease in expenses or net capital investment in accrual and cash terms. A negative number indicates a decrease in revenue or an increase in expenses or net capital investment in accrual and cash terms.  </w:t>
      </w:r>
    </w:p>
    <w:p w:rsidR="00682372" w:rsidRPr="00CA5D42" w:rsidRDefault="00C60924" w:rsidP="003B44DF">
      <w:pPr>
        <w:pStyle w:val="Footnotes"/>
        <w:numPr>
          <w:ilvl w:val="0"/>
          <w:numId w:val="23"/>
        </w:numPr>
        <w:spacing w:before="80"/>
        <w:ind w:left="284" w:hanging="284"/>
      </w:pPr>
      <w:r>
        <w:t>Figures may not sum to totals due to rounding.</w:t>
      </w:r>
    </w:p>
    <w:p w:rsidR="00485374" w:rsidRPr="00FC6579" w:rsidRDefault="00A84EB0" w:rsidP="003B44DF">
      <w:pPr>
        <w:pStyle w:val="Footnotes"/>
        <w:numPr>
          <w:ilvl w:val="0"/>
          <w:numId w:val="24"/>
        </w:numPr>
        <w:spacing w:before="80"/>
        <w:ind w:left="284" w:hanging="284"/>
      </w:pPr>
      <w:r w:rsidRPr="00B8764A">
        <w:t>Indicates nil.</w:t>
      </w:r>
    </w:p>
    <w:sectPr w:rsidR="00485374" w:rsidRPr="00FC6579" w:rsidSect="00A53A4E">
      <w:headerReference w:type="first" r:id="rId21"/>
      <w:footerReference w:type="first" r:id="rId22"/>
      <w:pgSz w:w="16839" w:h="11907" w:orient="landscape" w:code="9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1E" w:rsidRDefault="0075751E" w:rsidP="008F588A">
      <w:pPr>
        <w:spacing w:line="240" w:lineRule="auto"/>
      </w:pPr>
      <w:r>
        <w:separator/>
      </w:r>
    </w:p>
    <w:p w:rsidR="0075751E" w:rsidRDefault="0075751E"/>
  </w:endnote>
  <w:endnote w:type="continuationSeparator" w:id="0">
    <w:p w:rsidR="0075751E" w:rsidRDefault="0075751E" w:rsidP="008F588A">
      <w:pPr>
        <w:spacing w:line="240" w:lineRule="auto"/>
      </w:pPr>
      <w:r>
        <w:continuationSeparator/>
      </w:r>
    </w:p>
    <w:p w:rsidR="0075751E" w:rsidRDefault="00757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5B" w:rsidRDefault="009F74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Pr="00C24267" w:rsidRDefault="00485374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192825">
      <w:rPr>
        <w:noProof/>
      </w:rPr>
      <w:t>4</w:t>
    </w:r>
    <w:r w:rsidRPr="00C24267">
      <w:fldChar w:fldCharType="end"/>
    </w:r>
    <w:r w:rsidRPr="00C24267">
      <w:t xml:space="preserve"> of </w:t>
    </w:r>
    <w:r w:rsidR="00192825">
      <w:fldChar w:fldCharType="begin"/>
    </w:r>
    <w:r w:rsidR="00192825">
      <w:instrText xml:space="preserve"> NUMPAGES  \* Arabic  \* MERGEFORMAT </w:instrText>
    </w:r>
    <w:r w:rsidR="00192825">
      <w:fldChar w:fldCharType="separate"/>
    </w:r>
    <w:r w:rsidR="00192825">
      <w:rPr>
        <w:noProof/>
      </w:rPr>
      <w:t>7</w:t>
    </w:r>
    <w:r w:rsidR="0019282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Pr="00C24267" w:rsidRDefault="00485374" w:rsidP="00C24267">
    <w:pPr>
      <w:pStyle w:val="Letterfooter"/>
    </w:pPr>
    <w:r w:rsidRPr="00C24267">
      <w:t>Parliamentary Budget Office   PO Box 6010   Parliament House   Canberra ACT 2600</w:t>
    </w:r>
  </w:p>
  <w:p w:rsidR="00485374" w:rsidRPr="00C24267" w:rsidRDefault="00485374" w:rsidP="00C24267">
    <w:pPr>
      <w:pStyle w:val="Letterfooter"/>
    </w:pPr>
    <w:r w:rsidRPr="00C24267">
      <w:t>Tel: 02 6277 9500   Web: www.pbo.gov.au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Pr="00C24267" w:rsidRDefault="00485374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192825">
      <w:rPr>
        <w:noProof/>
      </w:rPr>
      <w:t>2</w:t>
    </w:r>
    <w:r w:rsidRPr="00C24267">
      <w:fldChar w:fldCharType="end"/>
    </w:r>
    <w:r w:rsidRPr="00C24267">
      <w:t xml:space="preserve"> of </w:t>
    </w:r>
    <w:r w:rsidR="00192825">
      <w:fldChar w:fldCharType="begin"/>
    </w:r>
    <w:r w:rsidR="00192825">
      <w:instrText xml:space="preserve"> NUMPAGES  \* Ara</w:instrText>
    </w:r>
    <w:r w:rsidR="00192825">
      <w:instrText xml:space="preserve">bic  \* MERGEFORMAT </w:instrText>
    </w:r>
    <w:r w:rsidR="00192825">
      <w:fldChar w:fldCharType="separate"/>
    </w:r>
    <w:r w:rsidR="00192825">
      <w:rPr>
        <w:noProof/>
      </w:rPr>
      <w:t>7</w:t>
    </w:r>
    <w:r w:rsidR="00192825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Pr="00C24267" w:rsidRDefault="00485374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192825">
      <w:rPr>
        <w:noProof/>
      </w:rPr>
      <w:t>7</w:t>
    </w:r>
    <w:r w:rsidRPr="00C24267">
      <w:fldChar w:fldCharType="end"/>
    </w:r>
    <w:r w:rsidRPr="00C24267">
      <w:t xml:space="preserve"> of </w:t>
    </w:r>
    <w:r w:rsidR="00192825">
      <w:fldChar w:fldCharType="begin"/>
    </w:r>
    <w:r w:rsidR="00192825">
      <w:instrText xml:space="preserve"> NUMPAGES  \* Arabic  \* MERGEFORMAT </w:instrText>
    </w:r>
    <w:r w:rsidR="00192825">
      <w:fldChar w:fldCharType="separate"/>
    </w:r>
    <w:r w:rsidR="00192825">
      <w:rPr>
        <w:noProof/>
      </w:rPr>
      <w:t>7</w:t>
    </w:r>
    <w:r w:rsidR="001928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1E" w:rsidRDefault="0075751E" w:rsidP="00961E25">
      <w:pPr>
        <w:spacing w:line="240" w:lineRule="auto"/>
      </w:pPr>
      <w:r>
        <w:separator/>
      </w:r>
    </w:p>
  </w:footnote>
  <w:footnote w:type="continuationSeparator" w:id="0">
    <w:p w:rsidR="0075751E" w:rsidRDefault="0075751E" w:rsidP="008F588A">
      <w:pPr>
        <w:spacing w:line="240" w:lineRule="auto"/>
      </w:pPr>
      <w:r>
        <w:continuationSeparator/>
      </w:r>
    </w:p>
    <w:p w:rsidR="0075751E" w:rsidRDefault="0075751E"/>
  </w:footnote>
  <w:footnote w:id="1">
    <w:p w:rsidR="00CF21C5" w:rsidRDefault="00CF21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25E8">
        <w:t>Departmental costs for Health to establish the framework for enrolling patients is included in the Parliamentary Budget Office’s costing of GRN044 – Managing Chronic Disease.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5B" w:rsidRDefault="009F74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5B" w:rsidRDefault="009F74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Default="00485374" w:rsidP="00CB40E1">
    <w:pPr>
      <w:pStyle w:val="Header"/>
    </w:pPr>
    <w:r>
      <w:rPr>
        <w:noProof/>
        <w:lang w:eastAsia="en-AU"/>
      </w:rPr>
      <w:drawing>
        <wp:inline distT="0" distB="0" distL="0" distR="0" wp14:anchorId="534B9F6C" wp14:editId="172FD07F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5374" w:rsidRPr="00DA1C8A" w:rsidRDefault="00485374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Pr="00C17112" w:rsidRDefault="00485374" w:rsidP="00C17112">
    <w:pPr>
      <w:pStyle w:val="Header"/>
    </w:pPr>
    <w:r>
      <w:rPr>
        <w:noProof/>
        <w:lang w:eastAsia="en-AU"/>
      </w:rPr>
      <w:drawing>
        <wp:inline distT="0" distB="0" distL="0" distR="0" wp14:anchorId="320905E2" wp14:editId="1F336AAC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DF" w:rsidRPr="000456D1" w:rsidRDefault="003B44DF" w:rsidP="000456D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74" w:rsidRPr="00006340" w:rsidRDefault="00485374" w:rsidP="00006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858408E"/>
    <w:multiLevelType w:val="hybridMultilevel"/>
    <w:tmpl w:val="84AAE3EC"/>
    <w:lvl w:ilvl="0" w:tplc="5A528C36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286573C2"/>
    <w:multiLevelType w:val="hybridMultilevel"/>
    <w:tmpl w:val="325C7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E42E53"/>
    <w:multiLevelType w:val="hybridMultilevel"/>
    <w:tmpl w:val="51F81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45E35"/>
    <w:multiLevelType w:val="hybridMultilevel"/>
    <w:tmpl w:val="10FABF96"/>
    <w:lvl w:ilvl="0" w:tplc="AA4A7A52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7A77C5A"/>
    <w:multiLevelType w:val="hybridMultilevel"/>
    <w:tmpl w:val="BA26E72C"/>
    <w:lvl w:ilvl="0" w:tplc="6E3A00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2">
    <w:nsid w:val="79EA63D9"/>
    <w:multiLevelType w:val="hybridMultilevel"/>
    <w:tmpl w:val="7ADA6986"/>
    <w:lvl w:ilvl="0" w:tplc="7F6A985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8"/>
  </w:num>
  <w:num w:numId="16">
    <w:abstractNumId w:val="7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ttachedTemplate r:id="rId1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1E"/>
    <w:rsid w:val="00001E40"/>
    <w:rsid w:val="00002D5D"/>
    <w:rsid w:val="00006340"/>
    <w:rsid w:val="00011E08"/>
    <w:rsid w:val="00016808"/>
    <w:rsid w:val="000228B6"/>
    <w:rsid w:val="00040DCE"/>
    <w:rsid w:val="000456D1"/>
    <w:rsid w:val="00064641"/>
    <w:rsid w:val="00076238"/>
    <w:rsid w:val="00080D1C"/>
    <w:rsid w:val="00096F3A"/>
    <w:rsid w:val="000C1A75"/>
    <w:rsid w:val="000C40BD"/>
    <w:rsid w:val="001278D0"/>
    <w:rsid w:val="0013223D"/>
    <w:rsid w:val="0014239B"/>
    <w:rsid w:val="00146B64"/>
    <w:rsid w:val="00152B91"/>
    <w:rsid w:val="00161F37"/>
    <w:rsid w:val="00192825"/>
    <w:rsid w:val="001A02D1"/>
    <w:rsid w:val="001B3481"/>
    <w:rsid w:val="001C4B61"/>
    <w:rsid w:val="001F4864"/>
    <w:rsid w:val="00220BE5"/>
    <w:rsid w:val="00222403"/>
    <w:rsid w:val="00223C5A"/>
    <w:rsid w:val="002247AF"/>
    <w:rsid w:val="0023716C"/>
    <w:rsid w:val="002422A3"/>
    <w:rsid w:val="0025349E"/>
    <w:rsid w:val="00274224"/>
    <w:rsid w:val="002962FB"/>
    <w:rsid w:val="002C074D"/>
    <w:rsid w:val="002F558C"/>
    <w:rsid w:val="002F612C"/>
    <w:rsid w:val="00315E34"/>
    <w:rsid w:val="00322E11"/>
    <w:rsid w:val="00326DE2"/>
    <w:rsid w:val="003825D6"/>
    <w:rsid w:val="003B44DF"/>
    <w:rsid w:val="003C4829"/>
    <w:rsid w:val="003F34BF"/>
    <w:rsid w:val="003F6028"/>
    <w:rsid w:val="003F73CA"/>
    <w:rsid w:val="00440E32"/>
    <w:rsid w:val="004552CE"/>
    <w:rsid w:val="00455422"/>
    <w:rsid w:val="00461597"/>
    <w:rsid w:val="00485374"/>
    <w:rsid w:val="00497FD5"/>
    <w:rsid w:val="004C283B"/>
    <w:rsid w:val="004C2F22"/>
    <w:rsid w:val="004D13ED"/>
    <w:rsid w:val="004D5525"/>
    <w:rsid w:val="004D6116"/>
    <w:rsid w:val="005035DA"/>
    <w:rsid w:val="005046B7"/>
    <w:rsid w:val="00507897"/>
    <w:rsid w:val="00515A85"/>
    <w:rsid w:val="0051674A"/>
    <w:rsid w:val="005363BE"/>
    <w:rsid w:val="00545F24"/>
    <w:rsid w:val="0055581F"/>
    <w:rsid w:val="0056229A"/>
    <w:rsid w:val="00570154"/>
    <w:rsid w:val="00570B5A"/>
    <w:rsid w:val="005736CD"/>
    <w:rsid w:val="005C6967"/>
    <w:rsid w:val="005E3562"/>
    <w:rsid w:val="005F4A67"/>
    <w:rsid w:val="005F7DE0"/>
    <w:rsid w:val="00640346"/>
    <w:rsid w:val="0064582B"/>
    <w:rsid w:val="00660385"/>
    <w:rsid w:val="0066278D"/>
    <w:rsid w:val="00662E65"/>
    <w:rsid w:val="0066665A"/>
    <w:rsid w:val="00682372"/>
    <w:rsid w:val="00692DD8"/>
    <w:rsid w:val="00692EBC"/>
    <w:rsid w:val="00695649"/>
    <w:rsid w:val="006B4AEA"/>
    <w:rsid w:val="006F0CE9"/>
    <w:rsid w:val="00702BC2"/>
    <w:rsid w:val="007054D4"/>
    <w:rsid w:val="0071301C"/>
    <w:rsid w:val="007202A8"/>
    <w:rsid w:val="0075751E"/>
    <w:rsid w:val="0077701E"/>
    <w:rsid w:val="007B029A"/>
    <w:rsid w:val="007D33AA"/>
    <w:rsid w:val="007F4723"/>
    <w:rsid w:val="007F7BCF"/>
    <w:rsid w:val="00802DC2"/>
    <w:rsid w:val="008030EC"/>
    <w:rsid w:val="00811D6D"/>
    <w:rsid w:val="00843520"/>
    <w:rsid w:val="00844776"/>
    <w:rsid w:val="00883351"/>
    <w:rsid w:val="008850D9"/>
    <w:rsid w:val="008A4578"/>
    <w:rsid w:val="008B7A0B"/>
    <w:rsid w:val="008C03C3"/>
    <w:rsid w:val="008D3909"/>
    <w:rsid w:val="008E6FC2"/>
    <w:rsid w:val="008E7A78"/>
    <w:rsid w:val="008F588A"/>
    <w:rsid w:val="00902D2D"/>
    <w:rsid w:val="00915804"/>
    <w:rsid w:val="009406BC"/>
    <w:rsid w:val="0095014B"/>
    <w:rsid w:val="00953E93"/>
    <w:rsid w:val="00957285"/>
    <w:rsid w:val="009573AF"/>
    <w:rsid w:val="00961E25"/>
    <w:rsid w:val="00963020"/>
    <w:rsid w:val="009963ED"/>
    <w:rsid w:val="009A3729"/>
    <w:rsid w:val="009B4EBB"/>
    <w:rsid w:val="009D4063"/>
    <w:rsid w:val="009F745B"/>
    <w:rsid w:val="00A03481"/>
    <w:rsid w:val="00A27789"/>
    <w:rsid w:val="00A41BD3"/>
    <w:rsid w:val="00A449C2"/>
    <w:rsid w:val="00A53A4E"/>
    <w:rsid w:val="00A56C03"/>
    <w:rsid w:val="00A83E34"/>
    <w:rsid w:val="00A84EB0"/>
    <w:rsid w:val="00AA3D6F"/>
    <w:rsid w:val="00AB4544"/>
    <w:rsid w:val="00AB6F7D"/>
    <w:rsid w:val="00AC6B4F"/>
    <w:rsid w:val="00AC7878"/>
    <w:rsid w:val="00AD493E"/>
    <w:rsid w:val="00B06055"/>
    <w:rsid w:val="00B22B7C"/>
    <w:rsid w:val="00B3530D"/>
    <w:rsid w:val="00B44D8A"/>
    <w:rsid w:val="00B508E4"/>
    <w:rsid w:val="00B5617D"/>
    <w:rsid w:val="00B73AC8"/>
    <w:rsid w:val="00B747A7"/>
    <w:rsid w:val="00B97CF4"/>
    <w:rsid w:val="00BB7CFE"/>
    <w:rsid w:val="00BC559C"/>
    <w:rsid w:val="00BE05CC"/>
    <w:rsid w:val="00C17112"/>
    <w:rsid w:val="00C24267"/>
    <w:rsid w:val="00C35F38"/>
    <w:rsid w:val="00C60924"/>
    <w:rsid w:val="00C64167"/>
    <w:rsid w:val="00C70862"/>
    <w:rsid w:val="00C82C2F"/>
    <w:rsid w:val="00CA5D42"/>
    <w:rsid w:val="00CB40E1"/>
    <w:rsid w:val="00CC490B"/>
    <w:rsid w:val="00CC5EC7"/>
    <w:rsid w:val="00CD40B5"/>
    <w:rsid w:val="00CE4FFA"/>
    <w:rsid w:val="00CF21C5"/>
    <w:rsid w:val="00CF6DB6"/>
    <w:rsid w:val="00D04797"/>
    <w:rsid w:val="00D07CDA"/>
    <w:rsid w:val="00D134CA"/>
    <w:rsid w:val="00D164F8"/>
    <w:rsid w:val="00D17562"/>
    <w:rsid w:val="00D53F83"/>
    <w:rsid w:val="00D85FFD"/>
    <w:rsid w:val="00DA1C8A"/>
    <w:rsid w:val="00DB44F0"/>
    <w:rsid w:val="00DD109E"/>
    <w:rsid w:val="00DD3E18"/>
    <w:rsid w:val="00E12103"/>
    <w:rsid w:val="00E15AAE"/>
    <w:rsid w:val="00E21184"/>
    <w:rsid w:val="00E31B3D"/>
    <w:rsid w:val="00E40941"/>
    <w:rsid w:val="00E40B8B"/>
    <w:rsid w:val="00E5742E"/>
    <w:rsid w:val="00E576A3"/>
    <w:rsid w:val="00E71BCF"/>
    <w:rsid w:val="00E9584C"/>
    <w:rsid w:val="00EA0BFB"/>
    <w:rsid w:val="00EA0F4B"/>
    <w:rsid w:val="00EA265F"/>
    <w:rsid w:val="00EA5BE3"/>
    <w:rsid w:val="00EA72AB"/>
    <w:rsid w:val="00ED137F"/>
    <w:rsid w:val="00ED43FF"/>
    <w:rsid w:val="00EF1D6A"/>
    <w:rsid w:val="00EF2E51"/>
    <w:rsid w:val="00F31E24"/>
    <w:rsid w:val="00F52474"/>
    <w:rsid w:val="00F5529D"/>
    <w:rsid w:val="00F5669E"/>
    <w:rsid w:val="00F75D33"/>
    <w:rsid w:val="00F954CF"/>
    <w:rsid w:val="00FB7F5D"/>
    <w:rsid w:val="00FC33C5"/>
    <w:rsid w:val="00FC3AC4"/>
    <w:rsid w:val="00FC6579"/>
    <w:rsid w:val="00FD3FB3"/>
    <w:rsid w:val="00FE6904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1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E40941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3B44DF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E40941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3B44DF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7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51E"/>
    <w:pPr>
      <w:spacing w:before="24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51E"/>
    <w:rPr>
      <w:rFonts w:ascii="Times New Roman" w:hAnsi="Times New Roman" w:cs="Times New Roman"/>
      <w:sz w:val="20"/>
      <w:szCs w:val="20"/>
    </w:rPr>
  </w:style>
  <w:style w:type="character" w:styleId="IntenseReference">
    <w:name w:val="Intense Reference"/>
    <w:aliases w:val="DLM format"/>
    <w:basedOn w:val="DefaultParagraphFont"/>
    <w:uiPriority w:val="32"/>
    <w:qFormat/>
    <w:rsid w:val="0075751E"/>
    <w:rPr>
      <w:rFonts w:ascii="Arial" w:hAnsi="Arial"/>
      <w:b/>
      <w:bCs/>
      <w:color w:val="FF0000"/>
      <w:spacing w:val="5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054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4D4"/>
    <w:pPr>
      <w:spacing w:before="114" w:after="114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4D4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1C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1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1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E40941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3B44DF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E40941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3B44DF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7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51E"/>
    <w:pPr>
      <w:spacing w:before="240"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51E"/>
    <w:rPr>
      <w:rFonts w:ascii="Times New Roman" w:hAnsi="Times New Roman" w:cs="Times New Roman"/>
      <w:sz w:val="20"/>
      <w:szCs w:val="20"/>
    </w:rPr>
  </w:style>
  <w:style w:type="character" w:styleId="IntenseReference">
    <w:name w:val="Intense Reference"/>
    <w:aliases w:val="DLM format"/>
    <w:basedOn w:val="DefaultParagraphFont"/>
    <w:uiPriority w:val="32"/>
    <w:qFormat/>
    <w:rsid w:val="0075751E"/>
    <w:rPr>
      <w:rFonts w:ascii="Arial" w:hAnsi="Arial"/>
      <w:b/>
      <w:bCs/>
      <w:color w:val="FF0000"/>
      <w:spacing w:val="5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054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4D4"/>
    <w:pPr>
      <w:spacing w:before="114" w:after="114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4D4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1C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1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medicarestatistics.humanservices.gov.au/statistics/mbs_item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eens.org.au/primary-care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DEBAC3-94D7-422B-B4CB-CC69691E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291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GRN046 - Implementing Primary Health Care - 30 June 2016</vt:lpstr>
    </vt:vector>
  </TitlesOfParts>
  <Company>Parliament of Australia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GRN046 - Implementing Primary Health Care - 30 June 2016</dc:title>
  <dc:creator>Parliamentary Budget Office</dc:creator>
  <cp:lastModifiedBy>Milligan, Louise (PBO)</cp:lastModifiedBy>
  <cp:revision>78</cp:revision>
  <cp:lastPrinted>2016-06-30T01:47:00Z</cp:lastPrinted>
  <dcterms:created xsi:type="dcterms:W3CDTF">2016-06-29T06:28:00Z</dcterms:created>
  <dcterms:modified xsi:type="dcterms:W3CDTF">2016-06-30T02:49:00Z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