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6C29A7" w:rsidP="00C17112">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 Richard Di Natale</w:t>
      </w:r>
      <w:r>
        <w:rPr>
          <w:rFonts w:ascii="Times New Roman" w:hAnsi="Times New Roman" w:cs="Times New Roman"/>
          <w:sz w:val="24"/>
          <w:szCs w:val="24"/>
        </w:rPr>
        <w:tab/>
      </w:r>
    </w:p>
    <w:p w:rsidR="00040DCE" w:rsidRDefault="006C29A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C5543E">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7F4733">
        <w:rPr>
          <w:i/>
        </w:rPr>
        <w:t xml:space="preserve">Harm Reduction </w:t>
      </w:r>
      <w:r w:rsidR="003B493B">
        <w:rPr>
          <w:i/>
        </w:rPr>
        <w:t xml:space="preserve">in Health: </w:t>
      </w:r>
      <w:r w:rsidR="007F4733">
        <w:rPr>
          <w:i/>
        </w:rPr>
        <w:t>Innovation F</w:t>
      </w:r>
      <w:r w:rsidR="005E6687">
        <w:rPr>
          <w:i/>
        </w:rPr>
        <w:t xml:space="preserve">und </w:t>
      </w:r>
      <w:r w:rsidRPr="00002D5D">
        <w:t xml:space="preserve">(letter of </w:t>
      </w:r>
      <w:r w:rsidR="008C3962">
        <w:t>28</w:t>
      </w:r>
      <w:r w:rsidR="005E6687">
        <w:t xml:space="preserve"> June </w:t>
      </w:r>
      <w:r w:rsidRPr="00002D5D">
        <w:t>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AB6CC3" w:rsidP="00AB6CC3">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5E6687">
        <w:rPr>
          <w:rFonts w:ascii="Times New Roman" w:hAnsi="Times New Roman" w:cs="Times New Roman"/>
          <w:sz w:val="24"/>
          <w:szCs w:val="24"/>
        </w:rPr>
        <w:t xml:space="preserve">June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DB7423"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DB7423" w:rsidRDefault="004D5525" w:rsidP="004D5525">
            <w:pPr>
              <w:pStyle w:val="BodyText"/>
              <w:rPr>
                <w:sz w:val="22"/>
              </w:rPr>
            </w:pPr>
            <w:r w:rsidRPr="00DB7423">
              <w:rPr>
                <w:sz w:val="22"/>
              </w:rPr>
              <w:t>Name of proposal:</w:t>
            </w:r>
          </w:p>
        </w:tc>
        <w:tc>
          <w:tcPr>
            <w:tcW w:w="5335" w:type="dxa"/>
          </w:tcPr>
          <w:p w:rsidR="004D5525" w:rsidRPr="00DB7423" w:rsidRDefault="00E97B8E" w:rsidP="004D5525">
            <w:pPr>
              <w:pStyle w:val="BodyText"/>
              <w:rPr>
                <w:sz w:val="22"/>
              </w:rPr>
            </w:pPr>
            <w:r w:rsidRPr="00DB7423">
              <w:rPr>
                <w:sz w:val="22"/>
              </w:rPr>
              <w:t>Harm Reduction</w:t>
            </w:r>
            <w:r w:rsidR="003B493B" w:rsidRPr="00DB7423">
              <w:rPr>
                <w:sz w:val="22"/>
              </w:rPr>
              <w:t xml:space="preserve"> in Health:</w:t>
            </w:r>
            <w:r w:rsidRPr="00DB7423">
              <w:rPr>
                <w:sz w:val="22"/>
              </w:rPr>
              <w:t xml:space="preserve"> Innovation Fund</w:t>
            </w:r>
          </w:p>
        </w:tc>
      </w:tr>
      <w:tr w:rsidR="004D5525" w:rsidTr="00D52D5F">
        <w:tc>
          <w:tcPr>
            <w:tcW w:w="3005" w:type="dxa"/>
          </w:tcPr>
          <w:p w:rsidR="004D5525" w:rsidRDefault="004D5525" w:rsidP="004D5525">
            <w:pPr>
              <w:pStyle w:val="BodyText"/>
            </w:pPr>
            <w:r>
              <w:t>Summary of proposal:</w:t>
            </w:r>
          </w:p>
        </w:tc>
        <w:tc>
          <w:tcPr>
            <w:tcW w:w="5335" w:type="dxa"/>
          </w:tcPr>
          <w:p w:rsidR="002F617B" w:rsidRDefault="002F617B" w:rsidP="002F617B">
            <w:r>
              <w:t>The proposal would establish a Harm Reduction Innovation Fund (the Fund), committin</w:t>
            </w:r>
            <w:r w:rsidR="006652FC">
              <w:t>g $10</w:t>
            </w:r>
            <w:r w:rsidR="00DA5204">
              <w:t> </w:t>
            </w:r>
            <w:r w:rsidR="006652FC">
              <w:t>million</w:t>
            </w:r>
            <w:r w:rsidR="00DA5204">
              <w:t> </w:t>
            </w:r>
            <w:r w:rsidR="006652FC">
              <w:t>per</w:t>
            </w:r>
            <w:r w:rsidR="00DA5204">
              <w:t> </w:t>
            </w:r>
            <w:r w:rsidR="006652FC">
              <w:t>annum over four years from 2016</w:t>
            </w:r>
            <w:r w:rsidR="00556E43">
              <w:noBreakHyphen/>
            </w:r>
            <w:r w:rsidR="006652FC">
              <w:t>17</w:t>
            </w:r>
            <w:r w:rsidR="00E25B41">
              <w:t xml:space="preserve"> to 2019</w:t>
            </w:r>
            <w:r w:rsidR="00370EDD">
              <w:noBreakHyphen/>
            </w:r>
            <w:r w:rsidR="00E25B41">
              <w:t>20.</w:t>
            </w:r>
          </w:p>
          <w:p w:rsidR="002F617B" w:rsidRDefault="002F617B" w:rsidP="002F617B">
            <w:r>
              <w:t>The Fund would</w:t>
            </w:r>
            <w:r w:rsidR="00587C5A">
              <w:t xml:space="preserve"> foster the implementation of innovative harm reduction strategies in Australia by</w:t>
            </w:r>
            <w:r>
              <w:t>:</w:t>
            </w:r>
          </w:p>
          <w:p w:rsidR="002F617B" w:rsidRDefault="002F617B" w:rsidP="002F617B">
            <w:pPr>
              <w:ind w:left="284" w:hanging="284"/>
            </w:pPr>
            <w:r>
              <w:t>•</w:t>
            </w:r>
            <w:r>
              <w:tab/>
              <w:t>prioritis</w:t>
            </w:r>
            <w:r w:rsidR="00587C5A">
              <w:t>ing</w:t>
            </w:r>
            <w:r>
              <w:t xml:space="preserve"> investment in harm reduction measures that assist in building an evidence base for wider implementation of effective strategies</w:t>
            </w:r>
          </w:p>
          <w:p w:rsidR="00B736C6" w:rsidRDefault="002F617B" w:rsidP="00B736C6">
            <w:pPr>
              <w:ind w:left="284" w:hanging="284"/>
            </w:pPr>
            <w:r>
              <w:t>•</w:t>
            </w:r>
            <w:r>
              <w:tab/>
              <w:t>explor</w:t>
            </w:r>
            <w:r w:rsidR="00587C5A">
              <w:t>ing</w:t>
            </w:r>
            <w:r>
              <w:t xml:space="preserve"> and review</w:t>
            </w:r>
            <w:r w:rsidR="00587C5A">
              <w:t>ing</w:t>
            </w:r>
            <w:r>
              <w:t xml:space="preserve"> global harm reduction initiatives to keep up with international best practice, and restore our reputation as a leader in innovation in drug policy</w:t>
            </w:r>
          </w:p>
          <w:p w:rsidR="00B736C6" w:rsidRDefault="002F617B" w:rsidP="00091915">
            <w:pPr>
              <w:ind w:left="284" w:hanging="284"/>
            </w:pPr>
            <w:r>
              <w:t>•</w:t>
            </w:r>
            <w:r>
              <w:tab/>
              <w:t>ensur</w:t>
            </w:r>
            <w:r w:rsidR="00587C5A">
              <w:t>ing</w:t>
            </w:r>
            <w:r>
              <w:t xml:space="preserve"> initiatives are evaluated and have safety</w:t>
            </w:r>
            <w:r w:rsidR="006652FC">
              <w:t xml:space="preserve"> controls and ethical approvals</w:t>
            </w:r>
            <w:r w:rsidR="00DA5204">
              <w:t>.</w:t>
            </w:r>
          </w:p>
          <w:p w:rsidR="006652FC" w:rsidRDefault="006652FC" w:rsidP="006652FC">
            <w:r>
              <w:t xml:space="preserve">Departmental expenses </w:t>
            </w:r>
            <w:r w:rsidR="00587C5A">
              <w:t>would be</w:t>
            </w:r>
            <w:r>
              <w:t xml:space="preserve"> additional to the proposed annual spending commitments.</w:t>
            </w:r>
          </w:p>
          <w:p w:rsidR="004D5525" w:rsidRDefault="002F617B" w:rsidP="002F617B">
            <w:pPr>
              <w:pStyle w:val="BodyText"/>
            </w:pPr>
            <w:r>
              <w:t>The proposal would have effect from 1 September 2016.</w:t>
            </w:r>
          </w:p>
        </w:tc>
      </w:tr>
      <w:tr w:rsidR="004D5525" w:rsidTr="00D52D5F">
        <w:tc>
          <w:tcPr>
            <w:tcW w:w="3005" w:type="dxa"/>
          </w:tcPr>
          <w:p w:rsidR="004D5525" w:rsidRDefault="004D5525" w:rsidP="004D5525">
            <w:pPr>
              <w:pStyle w:val="BodyText"/>
            </w:pPr>
            <w:r>
              <w:t>Person/party requesting costing:</w:t>
            </w:r>
          </w:p>
        </w:tc>
        <w:tc>
          <w:tcPr>
            <w:tcW w:w="5335" w:type="dxa"/>
          </w:tcPr>
          <w:p w:rsidR="004D5525" w:rsidRDefault="006652FC" w:rsidP="004D5525">
            <w:pPr>
              <w:pStyle w:val="BodyText"/>
            </w:pPr>
            <w:r>
              <w:t>Senator Richard Di Natale, Australian Greens</w:t>
            </w:r>
          </w:p>
        </w:tc>
      </w:tr>
      <w:tr w:rsidR="007D3577" w:rsidTr="00060F22">
        <w:tc>
          <w:tcPr>
            <w:tcW w:w="3005" w:type="dxa"/>
          </w:tcPr>
          <w:p w:rsidR="007D3577" w:rsidRDefault="007D3577" w:rsidP="00060F22">
            <w:pPr>
              <w:pStyle w:val="BodyText"/>
            </w:pPr>
            <w:r>
              <w:t>Date of public release of policy:</w:t>
            </w:r>
          </w:p>
        </w:tc>
        <w:tc>
          <w:tcPr>
            <w:tcW w:w="5335" w:type="dxa"/>
          </w:tcPr>
          <w:p w:rsidR="007D3577" w:rsidRDefault="0029210E" w:rsidP="00060F22">
            <w:pPr>
              <w:pStyle w:val="BodyText"/>
            </w:pPr>
            <w:r w:rsidRPr="0029210E">
              <w:t>18 May 2016</w:t>
            </w:r>
          </w:p>
          <w:p w:rsidR="0029210E" w:rsidRPr="00C17112" w:rsidRDefault="00950F77">
            <w:pPr>
              <w:pStyle w:val="BodyText"/>
            </w:pPr>
            <w:hyperlink r:id="rId13" w:history="1">
              <w:r w:rsidR="0029210E" w:rsidRPr="006C43F9">
                <w:rPr>
                  <w:rStyle w:val="Hyperlink"/>
                </w:rPr>
                <w:t>http://greens.org.au/harm-reduction</w:t>
              </w:r>
            </w:hyperlink>
          </w:p>
        </w:tc>
      </w:tr>
      <w:tr w:rsidR="004D5525" w:rsidTr="00D52D5F">
        <w:tc>
          <w:tcPr>
            <w:tcW w:w="3005" w:type="dxa"/>
          </w:tcPr>
          <w:p w:rsidR="004D5525" w:rsidRDefault="004D5525" w:rsidP="004D5525">
            <w:pPr>
              <w:pStyle w:val="BodyText"/>
            </w:pPr>
            <w:r>
              <w:t>Date costing request received:</w:t>
            </w:r>
          </w:p>
        </w:tc>
        <w:tc>
          <w:tcPr>
            <w:tcW w:w="5335" w:type="dxa"/>
          </w:tcPr>
          <w:p w:rsidR="004D5525" w:rsidRDefault="00923B23" w:rsidP="004D5525">
            <w:pPr>
              <w:pStyle w:val="BodyText"/>
            </w:pPr>
            <w:r>
              <w:t>28</w:t>
            </w:r>
            <w:r w:rsidR="006652FC">
              <w:t xml:space="preserve"> June 2016</w:t>
            </w:r>
          </w:p>
        </w:tc>
      </w:tr>
      <w:tr w:rsidR="004D5525" w:rsidTr="00D52D5F">
        <w:tc>
          <w:tcPr>
            <w:tcW w:w="3005" w:type="dxa"/>
          </w:tcPr>
          <w:p w:rsidR="004D5525" w:rsidRDefault="004D5525" w:rsidP="004D5525">
            <w:pPr>
              <w:pStyle w:val="BodyText"/>
            </w:pPr>
            <w:r>
              <w:t>Date costing completed</w:t>
            </w:r>
            <w:r w:rsidR="00AB6CC3">
              <w:t>:</w:t>
            </w:r>
          </w:p>
        </w:tc>
        <w:tc>
          <w:tcPr>
            <w:tcW w:w="5335" w:type="dxa"/>
          </w:tcPr>
          <w:p w:rsidR="004D5525" w:rsidRPr="00C17112" w:rsidRDefault="00923B23" w:rsidP="004D5525">
            <w:pPr>
              <w:pStyle w:val="BodyText"/>
            </w:pPr>
            <w:r>
              <w:t>29</w:t>
            </w:r>
            <w:r w:rsidR="006652FC">
              <w:t xml:space="preserve"> June 2016</w:t>
            </w:r>
          </w:p>
        </w:tc>
      </w:tr>
      <w:tr w:rsidR="004D5525" w:rsidTr="00D52D5F">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F4535C" w:rsidP="00220BE5">
            <w:pPr>
              <w:pStyle w:val="BodyText"/>
            </w:pPr>
            <w:r>
              <w:t>Release of the next economic and fiscal outlook report</w:t>
            </w:r>
          </w:p>
        </w:tc>
      </w:tr>
    </w:tbl>
    <w:p w:rsidR="0055581F" w:rsidRPr="00002D5D" w:rsidRDefault="008030EC" w:rsidP="00AB6CC3">
      <w:pPr>
        <w:pStyle w:val="Heading2"/>
      </w:pPr>
      <w:r w:rsidRPr="00002D5D">
        <w:lastRenderedPageBreak/>
        <w:t>Costing overview</w:t>
      </w:r>
    </w:p>
    <w:p w:rsidR="003C7BCA" w:rsidRPr="00091915" w:rsidRDefault="003C7BCA" w:rsidP="00AB6CC3">
      <w:pPr>
        <w:keepNext/>
        <w:keepLines/>
      </w:pPr>
      <w:r w:rsidRPr="003C7BCA">
        <w:t xml:space="preserve">This proposal </w:t>
      </w:r>
      <w:r w:rsidR="003B493B" w:rsidRPr="00091915">
        <w:t>w</w:t>
      </w:r>
      <w:r w:rsidR="003B493B" w:rsidRPr="004668DA">
        <w:t>ould be</w:t>
      </w:r>
      <w:r w:rsidR="003B493B" w:rsidRPr="003C7BCA">
        <w:t xml:space="preserve"> </w:t>
      </w:r>
      <w:r w:rsidRPr="003C7BCA">
        <w:t xml:space="preserve">expected to decrease both the </w:t>
      </w:r>
      <w:r w:rsidR="0029210E" w:rsidRPr="003C7BCA">
        <w:t xml:space="preserve">fiscal and </w:t>
      </w:r>
      <w:r w:rsidRPr="003C7BCA">
        <w:t>underlying cash balances by $41.</w:t>
      </w:r>
      <w:r w:rsidR="0029210E" w:rsidRPr="003C7BCA">
        <w:t>8</w:t>
      </w:r>
      <w:r w:rsidR="0029210E">
        <w:t> </w:t>
      </w:r>
      <w:r w:rsidRPr="003C7BCA">
        <w:t>million over the 2016-17 Budget forward estimates period.  This impact reflects an increase in administered expen</w:t>
      </w:r>
      <w:r w:rsidR="00587C5A">
        <w:t>ses</w:t>
      </w:r>
      <w:r w:rsidRPr="003C7BCA">
        <w:t xml:space="preserve"> of $40.0 million and an increase in departmental expen</w:t>
      </w:r>
      <w:r w:rsidR="00587C5A">
        <w:t>ses</w:t>
      </w:r>
      <w:r w:rsidRPr="003C7BCA">
        <w:t xml:space="preserve"> of $1.8 million over this period.</w:t>
      </w:r>
    </w:p>
    <w:p w:rsidR="003C7BCA" w:rsidRPr="003C7BCA" w:rsidRDefault="003C7BCA" w:rsidP="000E6C3D">
      <w:r w:rsidRPr="003C7BCA">
        <w:t xml:space="preserve">The proposal would not have an impact beyond the forward estimates </w:t>
      </w:r>
      <w:r w:rsidR="0029210E">
        <w:t xml:space="preserve">period </w:t>
      </w:r>
      <w:r w:rsidRPr="003C7BCA">
        <w:t xml:space="preserve">as the proposal would terminate in 2019-20.  </w:t>
      </w:r>
      <w:r w:rsidR="00587C5A">
        <w:t>Detailed</w:t>
      </w:r>
      <w:r w:rsidRPr="003C7BCA">
        <w:t xml:space="preserve"> financial implications </w:t>
      </w:r>
      <w:r w:rsidR="00587C5A">
        <w:t xml:space="preserve">are </w:t>
      </w:r>
      <w:r w:rsidRPr="003C7BCA">
        <w:t xml:space="preserve">provided at </w:t>
      </w:r>
      <w:r w:rsidRPr="004668DA">
        <w:rPr>
          <w:u w:val="single"/>
        </w:rPr>
        <w:t>Attachment A</w:t>
      </w:r>
      <w:r w:rsidRPr="003C7BCA">
        <w:t>.</w:t>
      </w:r>
    </w:p>
    <w:p w:rsidR="003E6C52" w:rsidRPr="004668DA" w:rsidRDefault="003C7BCA" w:rsidP="000E6C3D">
      <w:pPr>
        <w:rPr>
          <w:b/>
          <w:bCs/>
        </w:rPr>
      </w:pPr>
      <w:r w:rsidRPr="003C7BCA">
        <w:t xml:space="preserve">This costing is considered to be of high reliability as it is based on specified capped amounts and the application of administrative costs based on similar programs. </w:t>
      </w:r>
      <w:r w:rsidR="00091915" w:rsidRPr="004668DA">
        <w:t xml:space="preserve"> </w:t>
      </w:r>
      <w:r w:rsidR="00091915" w:rsidRPr="000E6C3D">
        <w:t>However, no analysis has been undertaken to determine the adequacy of the prescribed funding amounts to achieve the objective</w:t>
      </w:r>
      <w:r w:rsidR="00346B32">
        <w:t>s</w:t>
      </w:r>
      <w:r w:rsidR="00091915" w:rsidRPr="000E6C3D">
        <w:t xml:space="preserve"> of the proposal.</w:t>
      </w:r>
    </w:p>
    <w:p w:rsidR="005E3562" w:rsidRPr="00FC6579" w:rsidRDefault="005E3562" w:rsidP="003C7BCA">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AB6C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AB6CC3" w:rsidRPr="00B73AC8" w:rsidRDefault="00CA5D42" w:rsidP="00AB6CC3">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vAlign w:val="center"/>
          </w:tcPr>
          <w:p w:rsidR="00CA5D42" w:rsidRPr="00B73AC8" w:rsidRDefault="00CA5D42" w:rsidP="00AB6CC3">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vAlign w:val="center"/>
          </w:tcPr>
          <w:p w:rsidR="00CA5D42" w:rsidRPr="00B73AC8" w:rsidRDefault="00CA5D42" w:rsidP="00AB6CC3">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vAlign w:val="center"/>
          </w:tcPr>
          <w:p w:rsidR="00CA5D42" w:rsidRPr="00B73AC8" w:rsidRDefault="00CA5D42" w:rsidP="00AB6CC3">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vAlign w:val="center"/>
          </w:tcPr>
          <w:p w:rsidR="00CA5D42" w:rsidRPr="00C066FF" w:rsidRDefault="00CA5D42" w:rsidP="00AB6CC3">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C066FF">
              <w:rPr>
                <w:rFonts w:ascii="Calibri" w:hAnsi="Calibri"/>
                <w:szCs w:val="20"/>
              </w:rPr>
              <w:t>2019–20</w:t>
            </w:r>
          </w:p>
        </w:tc>
        <w:tc>
          <w:tcPr>
            <w:tcW w:w="681" w:type="pct"/>
            <w:vAlign w:val="center"/>
          </w:tcPr>
          <w:p w:rsidR="00CA5D42" w:rsidRPr="00F97DFF" w:rsidRDefault="00CA5D42" w:rsidP="00AB6CC3">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3E6C52" w:rsidRPr="00B73AC8" w:rsidTr="00AB6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3E6C52" w:rsidRPr="00B73AC8" w:rsidRDefault="003E6C52" w:rsidP="00AB6CC3">
            <w:pPr>
              <w:pStyle w:val="TableTextCentred"/>
              <w:keepNext/>
              <w:keepLines/>
              <w:jc w:val="left"/>
              <w:rPr>
                <w:szCs w:val="20"/>
              </w:rPr>
            </w:pPr>
            <w:r w:rsidRPr="00B73AC8">
              <w:rPr>
                <w:szCs w:val="20"/>
              </w:rPr>
              <w:t>Fiscal balance</w:t>
            </w:r>
          </w:p>
        </w:tc>
        <w:tc>
          <w:tcPr>
            <w:tcW w:w="682" w:type="pct"/>
          </w:tcPr>
          <w:p w:rsidR="003E6C52" w:rsidRPr="00523075" w:rsidRDefault="003E6C52" w:rsidP="00AB6CC3">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523075">
              <w:t>-10.4</w:t>
            </w:r>
          </w:p>
        </w:tc>
        <w:tc>
          <w:tcPr>
            <w:tcW w:w="682" w:type="pct"/>
          </w:tcPr>
          <w:p w:rsidR="003E6C52" w:rsidRPr="00523075" w:rsidRDefault="003E6C52" w:rsidP="00AB6CC3">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523075">
              <w:t>-10.5</w:t>
            </w:r>
          </w:p>
        </w:tc>
        <w:tc>
          <w:tcPr>
            <w:tcW w:w="682" w:type="pct"/>
          </w:tcPr>
          <w:p w:rsidR="003E6C52" w:rsidRPr="00523075" w:rsidRDefault="003E6C52" w:rsidP="00AB6CC3">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523075">
              <w:t>-10.5</w:t>
            </w:r>
          </w:p>
        </w:tc>
        <w:tc>
          <w:tcPr>
            <w:tcW w:w="682" w:type="pct"/>
          </w:tcPr>
          <w:p w:rsidR="003E6C52" w:rsidRPr="00523075" w:rsidRDefault="003E6C52" w:rsidP="00AB6CC3">
            <w:pPr>
              <w:spacing w:before="70" w:after="70" w:line="240" w:lineRule="auto"/>
              <w:jc w:val="right"/>
              <w:cnfStyle w:val="000000100000" w:firstRow="0" w:lastRow="0" w:firstColumn="0" w:lastColumn="0" w:oddVBand="0" w:evenVBand="0" w:oddHBand="1" w:evenHBand="0" w:firstRowFirstColumn="0" w:firstRowLastColumn="0" w:lastRowFirstColumn="0" w:lastRowLastColumn="0"/>
            </w:pPr>
            <w:r w:rsidRPr="00523075">
              <w:t>-10.5</w:t>
            </w:r>
          </w:p>
        </w:tc>
        <w:tc>
          <w:tcPr>
            <w:tcW w:w="681" w:type="pct"/>
          </w:tcPr>
          <w:p w:rsidR="003E6C52" w:rsidRPr="003E6C52" w:rsidRDefault="003E6C52" w:rsidP="00AB6CC3">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rPr>
            </w:pPr>
            <w:r w:rsidRPr="003E6C52">
              <w:rPr>
                <w:b/>
              </w:rPr>
              <w:t>-41.8</w:t>
            </w:r>
          </w:p>
        </w:tc>
      </w:tr>
      <w:tr w:rsidR="003E6C52" w:rsidRPr="00B73AC8" w:rsidTr="00AB6CC3">
        <w:tc>
          <w:tcPr>
            <w:cnfStyle w:val="001000000000" w:firstRow="0" w:lastRow="0" w:firstColumn="1" w:lastColumn="0" w:oddVBand="0" w:evenVBand="0" w:oddHBand="0" w:evenHBand="0" w:firstRowFirstColumn="0" w:firstRowLastColumn="0" w:lastRowFirstColumn="0" w:lastRowLastColumn="0"/>
            <w:tcW w:w="1591" w:type="pct"/>
          </w:tcPr>
          <w:p w:rsidR="003E6C52" w:rsidRPr="00B73AC8" w:rsidRDefault="003E6C52" w:rsidP="00AB6CC3">
            <w:pPr>
              <w:pStyle w:val="TableTextCentred"/>
              <w:keepNext/>
              <w:keepLines/>
              <w:jc w:val="left"/>
              <w:rPr>
                <w:szCs w:val="20"/>
              </w:rPr>
            </w:pPr>
            <w:r w:rsidRPr="00B73AC8">
              <w:rPr>
                <w:szCs w:val="20"/>
              </w:rPr>
              <w:t>Underlying cash balance</w:t>
            </w:r>
          </w:p>
        </w:tc>
        <w:tc>
          <w:tcPr>
            <w:tcW w:w="682" w:type="pct"/>
          </w:tcPr>
          <w:p w:rsidR="003E6C52" w:rsidRPr="00523075" w:rsidRDefault="003E6C52" w:rsidP="00AB6CC3">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523075">
              <w:t>-10.4</w:t>
            </w:r>
          </w:p>
        </w:tc>
        <w:tc>
          <w:tcPr>
            <w:tcW w:w="682" w:type="pct"/>
          </w:tcPr>
          <w:p w:rsidR="003E6C52" w:rsidRPr="00523075" w:rsidRDefault="003E6C52" w:rsidP="00AB6CC3">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523075">
              <w:t>-10.5</w:t>
            </w:r>
          </w:p>
        </w:tc>
        <w:tc>
          <w:tcPr>
            <w:tcW w:w="682" w:type="pct"/>
          </w:tcPr>
          <w:p w:rsidR="003E6C52" w:rsidRPr="00523075" w:rsidRDefault="003E6C52" w:rsidP="00AB6CC3">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523075">
              <w:t>-10.5</w:t>
            </w:r>
          </w:p>
        </w:tc>
        <w:tc>
          <w:tcPr>
            <w:tcW w:w="682" w:type="pct"/>
          </w:tcPr>
          <w:p w:rsidR="003E6C52" w:rsidRPr="00523075" w:rsidRDefault="003E6C52" w:rsidP="00AB6CC3">
            <w:pPr>
              <w:spacing w:before="70" w:after="70" w:line="240" w:lineRule="auto"/>
              <w:jc w:val="right"/>
              <w:cnfStyle w:val="000000000000" w:firstRow="0" w:lastRow="0" w:firstColumn="0" w:lastColumn="0" w:oddVBand="0" w:evenVBand="0" w:oddHBand="0" w:evenHBand="0" w:firstRowFirstColumn="0" w:firstRowLastColumn="0" w:lastRowFirstColumn="0" w:lastRowLastColumn="0"/>
            </w:pPr>
            <w:r w:rsidRPr="00523075">
              <w:t>-10.5</w:t>
            </w:r>
          </w:p>
        </w:tc>
        <w:tc>
          <w:tcPr>
            <w:tcW w:w="681" w:type="pct"/>
          </w:tcPr>
          <w:p w:rsidR="003E6C52" w:rsidRPr="003E6C52" w:rsidRDefault="003E6C52" w:rsidP="00AB6CC3">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rPr>
            </w:pPr>
            <w:r w:rsidRPr="003E6C52">
              <w:rPr>
                <w:b/>
              </w:rPr>
              <w:t>-41.8</w:t>
            </w:r>
          </w:p>
        </w:tc>
      </w:tr>
    </w:tbl>
    <w:p w:rsidR="009D4063" w:rsidRDefault="007B0022" w:rsidP="009D4063">
      <w:pPr>
        <w:pStyle w:val="Footnotes"/>
        <w:keepNext/>
        <w:keepLines/>
        <w:numPr>
          <w:ilvl w:val="0"/>
          <w:numId w:val="7"/>
        </w:numPr>
        <w:ind w:left="284" w:hanging="284"/>
      </w:pPr>
      <w:r>
        <w:t>A negative number indicates</w:t>
      </w:r>
      <w:r w:rsidR="00D805AE">
        <w:t xml:space="preserve"> a decrease</w:t>
      </w:r>
      <w:r w:rsidR="003E6C52">
        <w:t xml:space="preserve"> in the relevant budget balance</w:t>
      </w:r>
      <w:r w:rsidR="00D805AE">
        <w:t>.</w:t>
      </w:r>
    </w:p>
    <w:p w:rsidR="00D747D2" w:rsidRDefault="00D747D2" w:rsidP="009D4063">
      <w:pPr>
        <w:pStyle w:val="Footnotes"/>
        <w:keepNext/>
        <w:keepLines/>
        <w:numPr>
          <w:ilvl w:val="0"/>
          <w:numId w:val="7"/>
        </w:numPr>
        <w:ind w:left="284" w:hanging="284"/>
      </w:pPr>
      <w:r>
        <w:t>Figures may not sum to totals due to rounding.</w:t>
      </w:r>
    </w:p>
    <w:p w:rsidR="008D3909" w:rsidRPr="00FC6579" w:rsidRDefault="005E3562" w:rsidP="00E40B8B">
      <w:pPr>
        <w:pStyle w:val="Heading2"/>
      </w:pPr>
      <w:r w:rsidRPr="00FC6579">
        <w:t>Key assumptions</w:t>
      </w:r>
    </w:p>
    <w:p w:rsidR="000A7CCC" w:rsidRPr="004668DA" w:rsidRDefault="000A7CCC" w:rsidP="000E6C3D">
      <w:pPr>
        <w:rPr>
          <w:b/>
          <w:bCs/>
        </w:rPr>
      </w:pPr>
      <w:r w:rsidRPr="000A7CCC">
        <w:t>It has been assumed that, despite the implementation date of 1 September 2016, $</w:t>
      </w:r>
      <w:r w:rsidR="0029210E" w:rsidRPr="000A7CCC">
        <w:t>10</w:t>
      </w:r>
      <w:r w:rsidR="0029210E">
        <w:t> </w:t>
      </w:r>
      <w:r w:rsidRPr="000A7CCC">
        <w:t>million in grant funding would be delivered in 2016-17.</w:t>
      </w:r>
    </w:p>
    <w:p w:rsidR="005E3562" w:rsidRPr="00FC6579" w:rsidRDefault="005E3562" w:rsidP="000A7CCC">
      <w:pPr>
        <w:pStyle w:val="Heading2"/>
      </w:pPr>
      <w:r w:rsidRPr="00FC6579">
        <w:t>Methodology</w:t>
      </w:r>
    </w:p>
    <w:p w:rsidR="000A7CCC" w:rsidRPr="000A7CCC" w:rsidRDefault="000A7CCC" w:rsidP="000E6C3D">
      <w:r w:rsidRPr="000A7CCC">
        <w:t>Administered expenditure estimates for the Harm Reduction Innovation Fund are as specified in the request.  Departmental expenditure estimates are based on other like initiatives and the net effect of indexation parameters and the efficiency dividend</w:t>
      </w:r>
      <w:r w:rsidR="00E81083">
        <w:t xml:space="preserve"> is accounted for</w:t>
      </w:r>
      <w:r w:rsidRPr="000A7CCC">
        <w:t>, in accordance with the Department of Finance’s costing practices.</w:t>
      </w:r>
    </w:p>
    <w:p w:rsidR="005E3562" w:rsidRPr="00FC6579" w:rsidRDefault="005E3562" w:rsidP="000A7CCC">
      <w:pPr>
        <w:pStyle w:val="Heading2"/>
      </w:pPr>
      <w:r w:rsidRPr="00FC6579">
        <w:t>Data sources</w:t>
      </w:r>
    </w:p>
    <w:p w:rsidR="00AB6CC3" w:rsidRDefault="000A7CCC" w:rsidP="000E6C3D">
      <w:pPr>
        <w:sectPr w:rsidR="00AB6CC3" w:rsidSect="00453B27">
          <w:headerReference w:type="first" r:id="rId14"/>
          <w:footerReference w:type="first" r:id="rId15"/>
          <w:pgSz w:w="11906" w:h="16838"/>
          <w:pgMar w:top="1361" w:right="1797" w:bottom="1474" w:left="1797" w:header="709" w:footer="709" w:gutter="0"/>
          <w:cols w:space="708"/>
          <w:titlePg/>
          <w:docGrid w:linePitch="360"/>
        </w:sectPr>
      </w:pPr>
      <w:r w:rsidRPr="000A7CCC">
        <w:t xml:space="preserve">The Department of Finance provided indexation </w:t>
      </w:r>
      <w:r w:rsidR="003B493B" w:rsidRPr="004668DA">
        <w:t xml:space="preserve">and efficiency dividend </w:t>
      </w:r>
      <w:r w:rsidRPr="000A7CCC">
        <w:t>parameters.</w:t>
      </w:r>
    </w:p>
    <w:p w:rsidR="001A02D1" w:rsidRPr="00FC6579" w:rsidRDefault="000A7CCC" w:rsidP="00FC6579">
      <w:pPr>
        <w:pStyle w:val="Heading1"/>
      </w:pPr>
      <w:r>
        <w:lastRenderedPageBreak/>
        <w:t>Attachment A</w:t>
      </w:r>
      <w:r w:rsidR="00453B27">
        <w:t xml:space="preserve">: </w:t>
      </w:r>
      <w:r>
        <w:t>Harm Reduction</w:t>
      </w:r>
      <w:r w:rsidR="00DF4EA9">
        <w:t xml:space="preserve"> in Health:</w:t>
      </w:r>
      <w:r>
        <w:t xml:space="preserve"> Innovation Fund</w:t>
      </w:r>
      <w:r w:rsidR="00AB6CC3">
        <w:br/>
      </w:r>
      <w:r w:rsidR="00440E32">
        <w:t>—financial</w:t>
      </w:r>
      <w:r w:rsidR="00841C3A">
        <w:t> </w:t>
      </w:r>
      <w:r w:rsidR="00D0572A">
        <w:t>implications</w:t>
      </w:r>
    </w:p>
    <w:p w:rsidR="00EA265F" w:rsidRPr="00AB6CC3" w:rsidRDefault="00EA265F" w:rsidP="00EA265F">
      <w:pPr>
        <w:pStyle w:val="Captionheading"/>
        <w:rPr>
          <w:vertAlign w:val="superscript"/>
        </w:rPr>
      </w:pPr>
      <w:r w:rsidRPr="00FC5643">
        <w:t xml:space="preserve">Table </w:t>
      </w:r>
      <w:r>
        <w:t>A1</w:t>
      </w:r>
      <w:r w:rsidRPr="00FC5643">
        <w:t xml:space="preserve">: </w:t>
      </w:r>
      <w:r w:rsidR="00453B27">
        <w:t>Harm Reduction</w:t>
      </w:r>
      <w:r w:rsidR="00DF4EA9">
        <w:t xml:space="preserve"> in Health:</w:t>
      </w:r>
      <w:r w:rsidR="00453B27">
        <w:t xml:space="preserve"> Innovation Fund</w:t>
      </w:r>
      <w:r w:rsidR="00EA5685">
        <w:t>—</w:t>
      </w:r>
      <w:r w:rsidR="001156ED" w:rsidRPr="001156ED">
        <w:t>Impac</w:t>
      </w:r>
      <w:r w:rsidR="00C066FF">
        <w:t>t on fiscal and underlying cash </w:t>
      </w:r>
      <w:proofErr w:type="gramStart"/>
      <w:r w:rsidR="001156ED" w:rsidRPr="001156ED">
        <w:t>balances</w:t>
      </w:r>
      <w:r w:rsidR="00AB6CC3">
        <w:rPr>
          <w:vertAlign w:val="superscript"/>
        </w:rPr>
        <w:t>(</w:t>
      </w:r>
      <w:proofErr w:type="gramEnd"/>
      <w:r w:rsidR="00AB6CC3">
        <w:rPr>
          <w:vertAlign w:val="superscript"/>
        </w:rPr>
        <w:t>a)(b)</w:t>
      </w:r>
    </w:p>
    <w:tbl>
      <w:tblPr>
        <w:tblStyle w:val="TableGrid"/>
        <w:tblW w:w="4995" w:type="pct"/>
        <w:tblLook w:val="04A0" w:firstRow="1" w:lastRow="0" w:firstColumn="1" w:lastColumn="0" w:noHBand="0" w:noVBand="1"/>
      </w:tblPr>
      <w:tblGrid>
        <w:gridCol w:w="2644"/>
        <w:gridCol w:w="1134"/>
        <w:gridCol w:w="1134"/>
        <w:gridCol w:w="1134"/>
        <w:gridCol w:w="1134"/>
        <w:gridCol w:w="1134"/>
      </w:tblGrid>
      <w:tr w:rsidR="00EA265F" w:rsidRPr="00EF1D6A" w:rsidTr="00CF7D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pct"/>
            <w:vAlign w:val="center"/>
          </w:tcPr>
          <w:p w:rsidR="00EA265F" w:rsidRPr="00AB6CC3" w:rsidRDefault="00EA265F" w:rsidP="00AB6CC3">
            <w:pPr>
              <w:pStyle w:val="TableText"/>
              <w:keepNext/>
              <w:keepLines/>
              <w:rPr>
                <w:szCs w:val="20"/>
              </w:rPr>
            </w:pPr>
            <w:r w:rsidRPr="00AB6CC3">
              <w:rPr>
                <w:szCs w:val="20"/>
              </w:rPr>
              <w:t>($m)</w:t>
            </w:r>
          </w:p>
        </w:tc>
        <w:tc>
          <w:tcPr>
            <w:tcW w:w="682" w:type="pct"/>
            <w:vAlign w:val="center"/>
          </w:tcPr>
          <w:p w:rsidR="00EA265F" w:rsidRPr="00AB6CC3" w:rsidRDefault="00EA265F" w:rsidP="00AB6CC3">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AB6CC3">
              <w:t>2016–17</w:t>
            </w:r>
          </w:p>
        </w:tc>
        <w:tc>
          <w:tcPr>
            <w:tcW w:w="682" w:type="pct"/>
            <w:vAlign w:val="center"/>
          </w:tcPr>
          <w:p w:rsidR="00EA265F" w:rsidRPr="00AB6CC3" w:rsidRDefault="00EA265F" w:rsidP="00AB6CC3">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AB6CC3">
              <w:t>2017–18</w:t>
            </w:r>
          </w:p>
        </w:tc>
        <w:tc>
          <w:tcPr>
            <w:tcW w:w="682" w:type="pct"/>
            <w:vAlign w:val="center"/>
          </w:tcPr>
          <w:p w:rsidR="00EA265F" w:rsidRPr="00AB6CC3" w:rsidRDefault="00EA265F" w:rsidP="00AB6CC3">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AB6CC3">
              <w:t>2018–19</w:t>
            </w:r>
          </w:p>
        </w:tc>
        <w:tc>
          <w:tcPr>
            <w:tcW w:w="682" w:type="pct"/>
            <w:vAlign w:val="center"/>
          </w:tcPr>
          <w:p w:rsidR="00EA265F" w:rsidRPr="00AB6CC3" w:rsidRDefault="00EA265F" w:rsidP="00AB6CC3">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AB6CC3">
              <w:t>2019–20</w:t>
            </w:r>
          </w:p>
        </w:tc>
        <w:tc>
          <w:tcPr>
            <w:tcW w:w="682" w:type="pct"/>
            <w:vAlign w:val="center"/>
          </w:tcPr>
          <w:p w:rsidR="00EA265F" w:rsidRPr="00AE30B5" w:rsidRDefault="00EA265F" w:rsidP="00AB6CC3">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 to 2019–20</w:t>
            </w:r>
          </w:p>
        </w:tc>
      </w:tr>
      <w:tr w:rsidR="00453B27" w:rsidRPr="0066665A" w:rsidTr="00453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453B27" w:rsidRPr="008E0860" w:rsidRDefault="00453B27" w:rsidP="00AB6CC3">
            <w:pPr>
              <w:spacing w:before="70" w:after="70" w:line="240" w:lineRule="auto"/>
              <w:ind w:left="57" w:right="57"/>
            </w:pPr>
            <w:r w:rsidRPr="008E0860">
              <w:t>Administered</w:t>
            </w:r>
            <w:r w:rsidR="000E6C3D">
              <w:t xml:space="preserve"> expenses</w:t>
            </w:r>
          </w:p>
        </w:tc>
        <w:tc>
          <w:tcPr>
            <w:tcW w:w="682" w:type="pct"/>
          </w:tcPr>
          <w:p w:rsidR="00453B27" w:rsidRPr="008E0860" w:rsidRDefault="00453B27" w:rsidP="00AB6CC3">
            <w:pPr>
              <w:pStyle w:val="TableTextRight"/>
              <w:cnfStyle w:val="000000100000" w:firstRow="0" w:lastRow="0" w:firstColumn="0" w:lastColumn="0" w:oddVBand="0" w:evenVBand="0" w:oddHBand="1" w:evenHBand="0" w:firstRowFirstColumn="0" w:firstRowLastColumn="0" w:lastRowFirstColumn="0" w:lastRowLastColumn="0"/>
            </w:pPr>
            <w:r w:rsidRPr="008E0860">
              <w:t>-10.0</w:t>
            </w:r>
          </w:p>
        </w:tc>
        <w:tc>
          <w:tcPr>
            <w:tcW w:w="682" w:type="pct"/>
          </w:tcPr>
          <w:p w:rsidR="00453B27" w:rsidRPr="008E0860" w:rsidRDefault="00453B27" w:rsidP="00AB6CC3">
            <w:pPr>
              <w:pStyle w:val="TableTextRight"/>
              <w:cnfStyle w:val="000000100000" w:firstRow="0" w:lastRow="0" w:firstColumn="0" w:lastColumn="0" w:oddVBand="0" w:evenVBand="0" w:oddHBand="1" w:evenHBand="0" w:firstRowFirstColumn="0" w:firstRowLastColumn="0" w:lastRowFirstColumn="0" w:lastRowLastColumn="0"/>
            </w:pPr>
            <w:r w:rsidRPr="008E0860">
              <w:t>-10.0</w:t>
            </w:r>
          </w:p>
        </w:tc>
        <w:tc>
          <w:tcPr>
            <w:tcW w:w="682" w:type="pct"/>
          </w:tcPr>
          <w:p w:rsidR="00453B27" w:rsidRPr="008E0860" w:rsidRDefault="00453B27" w:rsidP="00AB6CC3">
            <w:pPr>
              <w:pStyle w:val="TableTextRight"/>
              <w:cnfStyle w:val="000000100000" w:firstRow="0" w:lastRow="0" w:firstColumn="0" w:lastColumn="0" w:oddVBand="0" w:evenVBand="0" w:oddHBand="1" w:evenHBand="0" w:firstRowFirstColumn="0" w:firstRowLastColumn="0" w:lastRowFirstColumn="0" w:lastRowLastColumn="0"/>
            </w:pPr>
            <w:r w:rsidRPr="008E0860">
              <w:t>-10.0</w:t>
            </w:r>
          </w:p>
        </w:tc>
        <w:tc>
          <w:tcPr>
            <w:tcW w:w="682" w:type="pct"/>
          </w:tcPr>
          <w:p w:rsidR="00453B27" w:rsidRPr="008E0860" w:rsidRDefault="00453B27" w:rsidP="00AB6CC3">
            <w:pPr>
              <w:pStyle w:val="TableTextRight"/>
              <w:cnfStyle w:val="000000100000" w:firstRow="0" w:lastRow="0" w:firstColumn="0" w:lastColumn="0" w:oddVBand="0" w:evenVBand="0" w:oddHBand="1" w:evenHBand="0" w:firstRowFirstColumn="0" w:firstRowLastColumn="0" w:lastRowFirstColumn="0" w:lastRowLastColumn="0"/>
            </w:pPr>
            <w:r w:rsidRPr="008E0860">
              <w:t>-10.0</w:t>
            </w:r>
          </w:p>
        </w:tc>
        <w:tc>
          <w:tcPr>
            <w:tcW w:w="682" w:type="pct"/>
          </w:tcPr>
          <w:p w:rsidR="00453B27" w:rsidRPr="00453B27" w:rsidRDefault="00453B27" w:rsidP="00AB6CC3">
            <w:pPr>
              <w:pStyle w:val="TableTextRight"/>
              <w:cnfStyle w:val="000000100000" w:firstRow="0" w:lastRow="0" w:firstColumn="0" w:lastColumn="0" w:oddVBand="0" w:evenVBand="0" w:oddHBand="1" w:evenHBand="0" w:firstRowFirstColumn="0" w:firstRowLastColumn="0" w:lastRowFirstColumn="0" w:lastRowLastColumn="0"/>
              <w:rPr>
                <w:b/>
              </w:rPr>
            </w:pPr>
            <w:r w:rsidRPr="00453B27">
              <w:rPr>
                <w:b/>
              </w:rPr>
              <w:t>-40.0</w:t>
            </w:r>
          </w:p>
        </w:tc>
      </w:tr>
      <w:tr w:rsidR="00453B27" w:rsidRPr="0066665A" w:rsidTr="00453B27">
        <w:tc>
          <w:tcPr>
            <w:cnfStyle w:val="001000000000" w:firstRow="0" w:lastRow="0" w:firstColumn="1" w:lastColumn="0" w:oddVBand="0" w:evenVBand="0" w:oddHBand="0" w:evenHBand="0" w:firstRowFirstColumn="0" w:firstRowLastColumn="0" w:lastRowFirstColumn="0" w:lastRowLastColumn="0"/>
            <w:tcW w:w="1590" w:type="pct"/>
          </w:tcPr>
          <w:p w:rsidR="00453B27" w:rsidRPr="008E0860" w:rsidRDefault="00453B27" w:rsidP="00AB6CC3">
            <w:pPr>
              <w:spacing w:before="70" w:after="70" w:line="240" w:lineRule="auto"/>
              <w:ind w:left="57" w:right="57"/>
            </w:pPr>
            <w:r w:rsidRPr="008E0860">
              <w:t>Departmental</w:t>
            </w:r>
            <w:r w:rsidR="00DF4EA9">
              <w:t xml:space="preserve"> </w:t>
            </w:r>
            <w:r w:rsidR="000E6C3D">
              <w:t>expenses</w:t>
            </w:r>
            <w:r w:rsidR="00AB6CC3">
              <w:t>—</w:t>
            </w:r>
            <w:r w:rsidR="00DF4EA9">
              <w:t>Department of Health</w:t>
            </w:r>
          </w:p>
        </w:tc>
        <w:tc>
          <w:tcPr>
            <w:tcW w:w="682" w:type="pct"/>
          </w:tcPr>
          <w:p w:rsidR="00453B27" w:rsidRPr="008E0860" w:rsidRDefault="00453B27" w:rsidP="00AB6CC3">
            <w:pPr>
              <w:pStyle w:val="TableTextRight"/>
              <w:cnfStyle w:val="000000000000" w:firstRow="0" w:lastRow="0" w:firstColumn="0" w:lastColumn="0" w:oddVBand="0" w:evenVBand="0" w:oddHBand="0" w:evenHBand="0" w:firstRowFirstColumn="0" w:firstRowLastColumn="0" w:lastRowFirstColumn="0" w:lastRowLastColumn="0"/>
            </w:pPr>
            <w:r w:rsidRPr="008E0860">
              <w:t>-0.4</w:t>
            </w:r>
          </w:p>
        </w:tc>
        <w:tc>
          <w:tcPr>
            <w:tcW w:w="682" w:type="pct"/>
          </w:tcPr>
          <w:p w:rsidR="00453B27" w:rsidRPr="008E0860" w:rsidRDefault="00453B27" w:rsidP="00AB6CC3">
            <w:pPr>
              <w:pStyle w:val="TableTextRight"/>
              <w:cnfStyle w:val="000000000000" w:firstRow="0" w:lastRow="0" w:firstColumn="0" w:lastColumn="0" w:oddVBand="0" w:evenVBand="0" w:oddHBand="0" w:evenHBand="0" w:firstRowFirstColumn="0" w:firstRowLastColumn="0" w:lastRowFirstColumn="0" w:lastRowLastColumn="0"/>
            </w:pPr>
            <w:r w:rsidRPr="008E0860">
              <w:t>-0.5</w:t>
            </w:r>
          </w:p>
        </w:tc>
        <w:tc>
          <w:tcPr>
            <w:tcW w:w="682" w:type="pct"/>
          </w:tcPr>
          <w:p w:rsidR="00453B27" w:rsidRPr="008E0860" w:rsidRDefault="00453B27" w:rsidP="00AB6CC3">
            <w:pPr>
              <w:pStyle w:val="TableTextRight"/>
              <w:cnfStyle w:val="000000000000" w:firstRow="0" w:lastRow="0" w:firstColumn="0" w:lastColumn="0" w:oddVBand="0" w:evenVBand="0" w:oddHBand="0" w:evenHBand="0" w:firstRowFirstColumn="0" w:firstRowLastColumn="0" w:lastRowFirstColumn="0" w:lastRowLastColumn="0"/>
            </w:pPr>
            <w:r w:rsidRPr="008E0860">
              <w:t>-0.5</w:t>
            </w:r>
          </w:p>
        </w:tc>
        <w:tc>
          <w:tcPr>
            <w:tcW w:w="682" w:type="pct"/>
          </w:tcPr>
          <w:p w:rsidR="00453B27" w:rsidRPr="008E0860" w:rsidRDefault="00453B27" w:rsidP="00AB6CC3">
            <w:pPr>
              <w:pStyle w:val="TableTextRight"/>
              <w:cnfStyle w:val="000000000000" w:firstRow="0" w:lastRow="0" w:firstColumn="0" w:lastColumn="0" w:oddVBand="0" w:evenVBand="0" w:oddHBand="0" w:evenHBand="0" w:firstRowFirstColumn="0" w:firstRowLastColumn="0" w:lastRowFirstColumn="0" w:lastRowLastColumn="0"/>
            </w:pPr>
            <w:r w:rsidRPr="008E0860">
              <w:t>-0.5</w:t>
            </w:r>
          </w:p>
        </w:tc>
        <w:tc>
          <w:tcPr>
            <w:tcW w:w="682" w:type="pct"/>
          </w:tcPr>
          <w:p w:rsidR="00453B27" w:rsidRPr="00453B27" w:rsidRDefault="00453B27" w:rsidP="00AB6CC3">
            <w:pPr>
              <w:pStyle w:val="TableTextRight"/>
              <w:cnfStyle w:val="000000000000" w:firstRow="0" w:lastRow="0" w:firstColumn="0" w:lastColumn="0" w:oddVBand="0" w:evenVBand="0" w:oddHBand="0" w:evenHBand="0" w:firstRowFirstColumn="0" w:firstRowLastColumn="0" w:lastRowFirstColumn="0" w:lastRowLastColumn="0"/>
              <w:rPr>
                <w:b/>
              </w:rPr>
            </w:pPr>
            <w:r w:rsidRPr="00453B27">
              <w:rPr>
                <w:b/>
              </w:rPr>
              <w:t>-1.8</w:t>
            </w:r>
          </w:p>
        </w:tc>
      </w:tr>
      <w:tr w:rsidR="00453B27" w:rsidRPr="0055406D" w:rsidTr="00453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shd w:val="clear" w:color="auto" w:fill="D7DDE9"/>
          </w:tcPr>
          <w:p w:rsidR="00453B27" w:rsidRPr="00453B27" w:rsidRDefault="00453B27" w:rsidP="00AB6CC3">
            <w:pPr>
              <w:spacing w:before="70" w:after="70" w:line="240" w:lineRule="auto"/>
              <w:ind w:left="57" w:right="57"/>
              <w:rPr>
                <w:b/>
              </w:rPr>
            </w:pPr>
            <w:r w:rsidRPr="00453B27">
              <w:rPr>
                <w:b/>
              </w:rPr>
              <w:t>Total</w:t>
            </w:r>
          </w:p>
        </w:tc>
        <w:tc>
          <w:tcPr>
            <w:tcW w:w="682" w:type="pct"/>
            <w:shd w:val="clear" w:color="auto" w:fill="D7DDE9"/>
          </w:tcPr>
          <w:p w:rsidR="00453B27" w:rsidRPr="005743A5" w:rsidRDefault="00453B27" w:rsidP="00AB6CC3">
            <w:pPr>
              <w:pStyle w:val="TableTextRight"/>
              <w:cnfStyle w:val="000000100000" w:firstRow="0" w:lastRow="0" w:firstColumn="0" w:lastColumn="0" w:oddVBand="0" w:evenVBand="0" w:oddHBand="1" w:evenHBand="0" w:firstRowFirstColumn="0" w:firstRowLastColumn="0" w:lastRowFirstColumn="0" w:lastRowLastColumn="0"/>
              <w:rPr>
                <w:b/>
              </w:rPr>
            </w:pPr>
            <w:r w:rsidRPr="005743A5">
              <w:rPr>
                <w:b/>
                <w:i w:val="0"/>
              </w:rPr>
              <w:t>-10.4</w:t>
            </w:r>
          </w:p>
        </w:tc>
        <w:tc>
          <w:tcPr>
            <w:tcW w:w="682" w:type="pct"/>
            <w:shd w:val="clear" w:color="auto" w:fill="D7DDE9"/>
          </w:tcPr>
          <w:p w:rsidR="00453B27" w:rsidRPr="005743A5" w:rsidRDefault="00453B27" w:rsidP="00AB6CC3">
            <w:pPr>
              <w:pStyle w:val="TableTextRight"/>
              <w:cnfStyle w:val="000000100000" w:firstRow="0" w:lastRow="0" w:firstColumn="0" w:lastColumn="0" w:oddVBand="0" w:evenVBand="0" w:oddHBand="1" w:evenHBand="0" w:firstRowFirstColumn="0" w:firstRowLastColumn="0" w:lastRowFirstColumn="0" w:lastRowLastColumn="0"/>
              <w:rPr>
                <w:b/>
              </w:rPr>
            </w:pPr>
            <w:r w:rsidRPr="005743A5">
              <w:rPr>
                <w:b/>
                <w:i w:val="0"/>
              </w:rPr>
              <w:t>-10.5</w:t>
            </w:r>
          </w:p>
        </w:tc>
        <w:tc>
          <w:tcPr>
            <w:tcW w:w="682" w:type="pct"/>
            <w:shd w:val="clear" w:color="auto" w:fill="D7DDE9"/>
          </w:tcPr>
          <w:p w:rsidR="00453B27" w:rsidRPr="005743A5" w:rsidRDefault="00453B27" w:rsidP="00AB6CC3">
            <w:pPr>
              <w:pStyle w:val="TableTextRight"/>
              <w:cnfStyle w:val="000000100000" w:firstRow="0" w:lastRow="0" w:firstColumn="0" w:lastColumn="0" w:oddVBand="0" w:evenVBand="0" w:oddHBand="1" w:evenHBand="0" w:firstRowFirstColumn="0" w:firstRowLastColumn="0" w:lastRowFirstColumn="0" w:lastRowLastColumn="0"/>
              <w:rPr>
                <w:b/>
              </w:rPr>
            </w:pPr>
            <w:r w:rsidRPr="005743A5">
              <w:rPr>
                <w:b/>
                <w:i w:val="0"/>
              </w:rPr>
              <w:t>-10.5</w:t>
            </w:r>
          </w:p>
        </w:tc>
        <w:tc>
          <w:tcPr>
            <w:tcW w:w="682" w:type="pct"/>
            <w:shd w:val="clear" w:color="auto" w:fill="D7DDE9"/>
          </w:tcPr>
          <w:p w:rsidR="00453B27" w:rsidRPr="005743A5" w:rsidRDefault="00453B27" w:rsidP="00AB6CC3">
            <w:pPr>
              <w:pStyle w:val="TableTextRight"/>
              <w:cnfStyle w:val="000000100000" w:firstRow="0" w:lastRow="0" w:firstColumn="0" w:lastColumn="0" w:oddVBand="0" w:evenVBand="0" w:oddHBand="1" w:evenHBand="0" w:firstRowFirstColumn="0" w:firstRowLastColumn="0" w:lastRowFirstColumn="0" w:lastRowLastColumn="0"/>
              <w:rPr>
                <w:b/>
              </w:rPr>
            </w:pPr>
            <w:r w:rsidRPr="005743A5">
              <w:rPr>
                <w:b/>
                <w:i w:val="0"/>
              </w:rPr>
              <w:t>-10.5</w:t>
            </w:r>
          </w:p>
        </w:tc>
        <w:tc>
          <w:tcPr>
            <w:tcW w:w="682" w:type="pct"/>
            <w:shd w:val="clear" w:color="auto" w:fill="D7DDE9"/>
          </w:tcPr>
          <w:p w:rsidR="00453B27" w:rsidRPr="005743A5" w:rsidRDefault="00453B27" w:rsidP="00AB6CC3">
            <w:pPr>
              <w:pStyle w:val="TableTextRight"/>
              <w:cnfStyle w:val="000000100000" w:firstRow="0" w:lastRow="0" w:firstColumn="0" w:lastColumn="0" w:oddVBand="0" w:evenVBand="0" w:oddHBand="1" w:evenHBand="0" w:firstRowFirstColumn="0" w:firstRowLastColumn="0" w:lastRowFirstColumn="0" w:lastRowLastColumn="0"/>
              <w:rPr>
                <w:b/>
              </w:rPr>
            </w:pPr>
            <w:r w:rsidRPr="005743A5">
              <w:rPr>
                <w:b/>
                <w:i w:val="0"/>
              </w:rPr>
              <w:t>-41.8</w:t>
            </w:r>
          </w:p>
        </w:tc>
      </w:tr>
    </w:tbl>
    <w:p w:rsidR="00EA265F" w:rsidRDefault="00453B27" w:rsidP="00EA265F">
      <w:pPr>
        <w:pStyle w:val="Footnotes"/>
        <w:numPr>
          <w:ilvl w:val="0"/>
          <w:numId w:val="9"/>
        </w:numPr>
        <w:ind w:left="284" w:hanging="284"/>
      </w:pPr>
      <w:r>
        <w:t>A negative number indicates an increase in expenses in</w:t>
      </w:r>
      <w:r w:rsidR="001605D6">
        <w:t xml:space="preserve"> both accrual and</w:t>
      </w:r>
      <w:r>
        <w:t xml:space="preserve"> cash terms.</w:t>
      </w:r>
    </w:p>
    <w:p w:rsidR="00AD5692" w:rsidRPr="00CA5D42" w:rsidRDefault="00F4535C" w:rsidP="00AB6CC3">
      <w:pPr>
        <w:pStyle w:val="Footnotes"/>
      </w:pPr>
      <w:r>
        <w:t>Figures may not sum to totals due to rounding.</w:t>
      </w:r>
    </w:p>
    <w:sectPr w:rsidR="00AD5692" w:rsidRPr="00CA5D42" w:rsidSect="00453B27">
      <w:headerReference w:type="first" r:id="rId16"/>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CA" w:rsidRDefault="003C7BCA" w:rsidP="008F588A">
      <w:pPr>
        <w:spacing w:line="240" w:lineRule="auto"/>
      </w:pPr>
      <w:r>
        <w:separator/>
      </w:r>
    </w:p>
    <w:p w:rsidR="003C7BCA" w:rsidRDefault="003C7BCA"/>
  </w:endnote>
  <w:endnote w:type="continuationSeparator" w:id="0">
    <w:p w:rsidR="003C7BCA" w:rsidRDefault="003C7BCA" w:rsidP="008F588A">
      <w:pPr>
        <w:spacing w:line="240" w:lineRule="auto"/>
      </w:pPr>
      <w:r>
        <w:continuationSeparator/>
      </w:r>
    </w:p>
    <w:p w:rsidR="003C7BCA" w:rsidRDefault="003C7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CA" w:rsidRPr="00C24267" w:rsidRDefault="003C7BCA"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950F77">
      <w:rPr>
        <w:noProof/>
      </w:rPr>
      <w:t>3</w:t>
    </w:r>
    <w:r w:rsidRPr="00C24267">
      <w:fldChar w:fldCharType="end"/>
    </w:r>
    <w:r w:rsidRPr="00C24267">
      <w:t xml:space="preserve"> of </w:t>
    </w:r>
    <w:r w:rsidR="00950F77">
      <w:fldChar w:fldCharType="begin"/>
    </w:r>
    <w:r w:rsidR="00950F77">
      <w:instrText xml:space="preserve"> NUMPAGES  \* Arabic  \* MERGEFORMAT </w:instrText>
    </w:r>
    <w:r w:rsidR="00950F77">
      <w:fldChar w:fldCharType="separate"/>
    </w:r>
    <w:r w:rsidR="00950F77">
      <w:rPr>
        <w:noProof/>
      </w:rPr>
      <w:t>4</w:t>
    </w:r>
    <w:r w:rsidR="00950F7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CA" w:rsidRPr="00C24267" w:rsidRDefault="003C7BCA" w:rsidP="00C24267">
    <w:pPr>
      <w:pStyle w:val="Letterfooter"/>
    </w:pPr>
    <w:r w:rsidRPr="00C24267">
      <w:t>Parliamentary Budget Office   PO Box 6010   Parliament House   Canberra ACT 2600</w:t>
    </w:r>
  </w:p>
  <w:p w:rsidR="003C7BCA" w:rsidRPr="00C24267" w:rsidRDefault="003C7BCA"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CA" w:rsidRPr="00C24267" w:rsidRDefault="003C7BCA"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950F77">
      <w:rPr>
        <w:noProof/>
      </w:rPr>
      <w:t>4</w:t>
    </w:r>
    <w:r w:rsidRPr="00C24267">
      <w:fldChar w:fldCharType="end"/>
    </w:r>
    <w:r w:rsidRPr="00C24267">
      <w:t xml:space="preserve"> of </w:t>
    </w:r>
    <w:r w:rsidR="00950F77">
      <w:fldChar w:fldCharType="begin"/>
    </w:r>
    <w:r w:rsidR="00950F77">
      <w:instrText xml:space="preserve"> NUMPAGES  \* Arabic  \* MERGEFORMAT </w:instrText>
    </w:r>
    <w:r w:rsidR="00950F77">
      <w:fldChar w:fldCharType="separate"/>
    </w:r>
    <w:r w:rsidR="00950F77">
      <w:rPr>
        <w:noProof/>
      </w:rPr>
      <w:t>4</w:t>
    </w:r>
    <w:r w:rsidR="00950F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CA" w:rsidRDefault="003C7BCA" w:rsidP="008F588A">
      <w:pPr>
        <w:spacing w:line="240" w:lineRule="auto"/>
      </w:pPr>
      <w:r>
        <w:separator/>
      </w:r>
    </w:p>
    <w:p w:rsidR="003C7BCA" w:rsidRDefault="003C7BCA"/>
  </w:footnote>
  <w:footnote w:type="continuationSeparator" w:id="0">
    <w:p w:rsidR="003C7BCA" w:rsidRDefault="003C7BCA" w:rsidP="008F588A">
      <w:pPr>
        <w:spacing w:line="240" w:lineRule="auto"/>
      </w:pPr>
      <w:r>
        <w:continuationSeparator/>
      </w:r>
    </w:p>
    <w:p w:rsidR="003C7BCA" w:rsidRDefault="003C7B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CA" w:rsidRDefault="003C7BCA" w:rsidP="00CB40E1">
    <w:pPr>
      <w:pStyle w:val="Header"/>
    </w:pPr>
    <w:r>
      <w:rPr>
        <w:noProof/>
        <w:lang w:eastAsia="en-AU"/>
      </w:rPr>
      <w:drawing>
        <wp:inline distT="0" distB="0" distL="0" distR="0" wp14:anchorId="34B3A9CC" wp14:editId="6B85CDF3">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3C7BCA" w:rsidRPr="00DA1C8A" w:rsidRDefault="003C7BCA"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CA" w:rsidRPr="00AB6CC3" w:rsidRDefault="00AB6CC3" w:rsidP="00AB6CC3">
    <w:pPr>
      <w:pStyle w:val="Header"/>
    </w:pPr>
    <w:r>
      <w:rPr>
        <w:noProof/>
        <w:lang w:eastAsia="en-AU"/>
      </w:rPr>
      <w:drawing>
        <wp:inline distT="0" distB="0" distL="0" distR="0" wp14:anchorId="63AE3DD3" wp14:editId="2E86A9F6">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C3" w:rsidRPr="00AB6CC3" w:rsidRDefault="00AB6CC3" w:rsidP="00AB6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2D96C4D"/>
    <w:multiLevelType w:val="hybridMultilevel"/>
    <w:tmpl w:val="37C29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3"/>
  </w:num>
  <w:num w:numId="2">
    <w:abstractNumId w:val="6"/>
  </w:num>
  <w:num w:numId="3">
    <w:abstractNumId w:val="4"/>
  </w:num>
  <w:num w:numId="4">
    <w:abstractNumId w:val="5"/>
  </w:num>
  <w:num w:numId="5">
    <w:abstractNumId w:val="8"/>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2"/>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A7"/>
    <w:rsid w:val="00002D5D"/>
    <w:rsid w:val="00015FB2"/>
    <w:rsid w:val="00024933"/>
    <w:rsid w:val="00040DCE"/>
    <w:rsid w:val="00060F22"/>
    <w:rsid w:val="00091915"/>
    <w:rsid w:val="00096F3A"/>
    <w:rsid w:val="000A7CCC"/>
    <w:rsid w:val="000C1A75"/>
    <w:rsid w:val="000E3D78"/>
    <w:rsid w:val="000E6C3D"/>
    <w:rsid w:val="001156ED"/>
    <w:rsid w:val="001278D0"/>
    <w:rsid w:val="0014239B"/>
    <w:rsid w:val="001605D6"/>
    <w:rsid w:val="001A02D1"/>
    <w:rsid w:val="001F7D6A"/>
    <w:rsid w:val="00220BE5"/>
    <w:rsid w:val="002422A3"/>
    <w:rsid w:val="0029210E"/>
    <w:rsid w:val="002B1716"/>
    <w:rsid w:val="002F617B"/>
    <w:rsid w:val="00315E34"/>
    <w:rsid w:val="00326DE2"/>
    <w:rsid w:val="00346B32"/>
    <w:rsid w:val="00370EDD"/>
    <w:rsid w:val="003B474B"/>
    <w:rsid w:val="003B493B"/>
    <w:rsid w:val="003C7BCA"/>
    <w:rsid w:val="003D7744"/>
    <w:rsid w:val="003E4F5F"/>
    <w:rsid w:val="003E6C52"/>
    <w:rsid w:val="003F73CA"/>
    <w:rsid w:val="00410A2C"/>
    <w:rsid w:val="00440E32"/>
    <w:rsid w:val="00453B27"/>
    <w:rsid w:val="00461597"/>
    <w:rsid w:val="004668DA"/>
    <w:rsid w:val="00485374"/>
    <w:rsid w:val="004C283B"/>
    <w:rsid w:val="004D13ED"/>
    <w:rsid w:val="004D5525"/>
    <w:rsid w:val="005035DA"/>
    <w:rsid w:val="00507897"/>
    <w:rsid w:val="00515A85"/>
    <w:rsid w:val="00545F24"/>
    <w:rsid w:val="0055581F"/>
    <w:rsid w:val="00556E43"/>
    <w:rsid w:val="0056229A"/>
    <w:rsid w:val="00570154"/>
    <w:rsid w:val="00570B5A"/>
    <w:rsid w:val="005743A5"/>
    <w:rsid w:val="00587422"/>
    <w:rsid w:val="00587C5A"/>
    <w:rsid w:val="005B1A4A"/>
    <w:rsid w:val="005B7B75"/>
    <w:rsid w:val="005C6967"/>
    <w:rsid w:val="005E3562"/>
    <w:rsid w:val="005E6687"/>
    <w:rsid w:val="005F7DE0"/>
    <w:rsid w:val="00640346"/>
    <w:rsid w:val="006403D5"/>
    <w:rsid w:val="00660385"/>
    <w:rsid w:val="00662E65"/>
    <w:rsid w:val="006652FC"/>
    <w:rsid w:val="0066665A"/>
    <w:rsid w:val="00692DD8"/>
    <w:rsid w:val="006C29A7"/>
    <w:rsid w:val="006F0CE9"/>
    <w:rsid w:val="007202A8"/>
    <w:rsid w:val="007229A9"/>
    <w:rsid w:val="007B0022"/>
    <w:rsid w:val="007B029A"/>
    <w:rsid w:val="007D33AA"/>
    <w:rsid w:val="007D3577"/>
    <w:rsid w:val="007D64CD"/>
    <w:rsid w:val="007E43AF"/>
    <w:rsid w:val="007F4733"/>
    <w:rsid w:val="007F7BCF"/>
    <w:rsid w:val="008030EC"/>
    <w:rsid w:val="00811D6D"/>
    <w:rsid w:val="00817E8E"/>
    <w:rsid w:val="00833222"/>
    <w:rsid w:val="00841C3A"/>
    <w:rsid w:val="00844776"/>
    <w:rsid w:val="00883AA4"/>
    <w:rsid w:val="008850D9"/>
    <w:rsid w:val="008908AF"/>
    <w:rsid w:val="008A4578"/>
    <w:rsid w:val="008A54BB"/>
    <w:rsid w:val="008C03C3"/>
    <w:rsid w:val="008C3962"/>
    <w:rsid w:val="008D3909"/>
    <w:rsid w:val="008D6ECA"/>
    <w:rsid w:val="008F588A"/>
    <w:rsid w:val="00902D2D"/>
    <w:rsid w:val="009074EA"/>
    <w:rsid w:val="00915804"/>
    <w:rsid w:val="00923B23"/>
    <w:rsid w:val="00950F77"/>
    <w:rsid w:val="00957285"/>
    <w:rsid w:val="009573AF"/>
    <w:rsid w:val="00977D7B"/>
    <w:rsid w:val="009963ED"/>
    <w:rsid w:val="009D4063"/>
    <w:rsid w:val="00A41BD3"/>
    <w:rsid w:val="00A449C2"/>
    <w:rsid w:val="00A65EA3"/>
    <w:rsid w:val="00A7322F"/>
    <w:rsid w:val="00AA3D6F"/>
    <w:rsid w:val="00AB55AE"/>
    <w:rsid w:val="00AB6CC3"/>
    <w:rsid w:val="00AB6F7D"/>
    <w:rsid w:val="00AC7878"/>
    <w:rsid w:val="00AD493E"/>
    <w:rsid w:val="00AD5692"/>
    <w:rsid w:val="00AE30B5"/>
    <w:rsid w:val="00AE5755"/>
    <w:rsid w:val="00B06055"/>
    <w:rsid w:val="00B44D8A"/>
    <w:rsid w:val="00B54E28"/>
    <w:rsid w:val="00B736C6"/>
    <w:rsid w:val="00B73AC8"/>
    <w:rsid w:val="00B74353"/>
    <w:rsid w:val="00B747A7"/>
    <w:rsid w:val="00BA2BBF"/>
    <w:rsid w:val="00BC559C"/>
    <w:rsid w:val="00C066FF"/>
    <w:rsid w:val="00C17112"/>
    <w:rsid w:val="00C24267"/>
    <w:rsid w:val="00C5543E"/>
    <w:rsid w:val="00CA12A0"/>
    <w:rsid w:val="00CA5D42"/>
    <w:rsid w:val="00CB40E1"/>
    <w:rsid w:val="00CF6DB6"/>
    <w:rsid w:val="00CF7D9A"/>
    <w:rsid w:val="00D0572A"/>
    <w:rsid w:val="00D134CA"/>
    <w:rsid w:val="00D52D5F"/>
    <w:rsid w:val="00D747D2"/>
    <w:rsid w:val="00D805AE"/>
    <w:rsid w:val="00D949A3"/>
    <w:rsid w:val="00DA1506"/>
    <w:rsid w:val="00DA1C8A"/>
    <w:rsid w:val="00DA3B55"/>
    <w:rsid w:val="00DA5204"/>
    <w:rsid w:val="00DB44F0"/>
    <w:rsid w:val="00DB7423"/>
    <w:rsid w:val="00DD109E"/>
    <w:rsid w:val="00DD3E18"/>
    <w:rsid w:val="00DF4EA9"/>
    <w:rsid w:val="00E12103"/>
    <w:rsid w:val="00E15AAE"/>
    <w:rsid w:val="00E21184"/>
    <w:rsid w:val="00E25B41"/>
    <w:rsid w:val="00E40B8B"/>
    <w:rsid w:val="00E5742E"/>
    <w:rsid w:val="00E81083"/>
    <w:rsid w:val="00E97B8E"/>
    <w:rsid w:val="00EA265F"/>
    <w:rsid w:val="00EA5685"/>
    <w:rsid w:val="00ED43FF"/>
    <w:rsid w:val="00EE6600"/>
    <w:rsid w:val="00EF1D6A"/>
    <w:rsid w:val="00EF2E51"/>
    <w:rsid w:val="00F047F1"/>
    <w:rsid w:val="00F21865"/>
    <w:rsid w:val="00F24A0B"/>
    <w:rsid w:val="00F31E24"/>
    <w:rsid w:val="00F4535C"/>
    <w:rsid w:val="00F52474"/>
    <w:rsid w:val="00F5529D"/>
    <w:rsid w:val="00F5669E"/>
    <w:rsid w:val="00F75D33"/>
    <w:rsid w:val="00F954CF"/>
    <w:rsid w:val="00F97DFF"/>
    <w:rsid w:val="00FB6B7D"/>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AB6CC3"/>
    <w:rPr>
      <w:rFonts w:eastAsia="Times New Roman" w:cs="Times New Roman"/>
      <w:spacing w:val="0"/>
      <w:lang w:eastAsia="en-AU"/>
    </w:rPr>
  </w:style>
  <w:style w:type="paragraph" w:customStyle="1" w:styleId="Bullet2">
    <w:name w:val="Bullet 2"/>
    <w:basedOn w:val="ListBullet2"/>
    <w:link w:val="Bullet2Char"/>
    <w:qFormat/>
    <w:rsid w:val="00AB6CC3"/>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AB6CC3"/>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AB6CC3"/>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AB6CC3"/>
    <w:rPr>
      <w:rFonts w:eastAsia="Times New Roman" w:cs="Times New Roman"/>
      <w:spacing w:val="0"/>
      <w:lang w:eastAsia="en-AU"/>
    </w:rPr>
  </w:style>
  <w:style w:type="paragraph" w:customStyle="1" w:styleId="Bullet2">
    <w:name w:val="Bullet 2"/>
    <w:basedOn w:val="ListBullet2"/>
    <w:link w:val="Bullet2Char"/>
    <w:qFormat/>
    <w:rsid w:val="00AB6CC3"/>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AB6CC3"/>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AB6CC3"/>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harm-redu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6133EBB-5BF3-46B3-96EE-07486B3C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73</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PBO - GRN045 - Harm Reduction in Health: Innovation Fund - 29 June 2016</vt:lpstr>
    </vt:vector>
  </TitlesOfParts>
  <Company>Parliament of Australia</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GRN045 - Harm Reduction in Health: Innovation Fund - 29 June 2016</dc:title>
  <dc:creator>Parliamentary Budget Office</dc:creator>
  <cp:lastModifiedBy>Milligan, Louise (PBO)</cp:lastModifiedBy>
  <cp:revision>30</cp:revision>
  <cp:lastPrinted>2016-06-29T07:06:00Z</cp:lastPrinted>
  <dcterms:created xsi:type="dcterms:W3CDTF">2016-06-24T08:35:00Z</dcterms:created>
  <dcterms:modified xsi:type="dcterms:W3CDTF">2016-06-29T11:49:00Z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