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1F9" w:rsidRPr="00417E6E" w:rsidRDefault="007B51F9" w:rsidP="007B51F9">
      <w:pPr>
        <w:spacing w:before="1560" w:after="0" w:line="240" w:lineRule="auto"/>
        <w:rPr>
          <w:rFonts w:ascii="Times New Roman" w:hAnsi="Times New Roman" w:cs="Times New Roman"/>
          <w:sz w:val="24"/>
          <w:szCs w:val="24"/>
        </w:rPr>
      </w:pPr>
      <w:bookmarkStart w:id="0" w:name="_GoBack"/>
      <w:bookmarkEnd w:id="0"/>
      <w:r w:rsidRPr="00417E6E">
        <w:rPr>
          <w:rFonts w:ascii="Times New Roman" w:hAnsi="Times New Roman" w:cs="Times New Roman"/>
          <w:sz w:val="24"/>
          <w:szCs w:val="24"/>
        </w:rPr>
        <w:t>Senator Richard Di Natale</w:t>
      </w:r>
    </w:p>
    <w:p w:rsidR="007B51F9" w:rsidRDefault="007B51F9" w:rsidP="007B51F9">
      <w:pPr>
        <w:spacing w:before="0" w:after="0" w:line="240" w:lineRule="auto"/>
        <w:rPr>
          <w:rFonts w:ascii="Times New Roman" w:hAnsi="Times New Roman" w:cs="Times New Roman"/>
          <w:sz w:val="24"/>
          <w:szCs w:val="24"/>
        </w:rPr>
      </w:pPr>
      <w:r w:rsidRPr="00417E6E">
        <w:rPr>
          <w:rFonts w:ascii="Times New Roman" w:hAnsi="Times New Roman" w:cs="Times New Roman"/>
          <w:sz w:val="24"/>
          <w:szCs w:val="24"/>
        </w:rPr>
        <w:t>Leader of the Australian Greens</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CANBERRA  ACT  2600</w:t>
      </w:r>
    </w:p>
    <w:p w:rsidR="00040DCE" w:rsidRPr="00002D5D" w:rsidRDefault="00040DCE" w:rsidP="00040DCE">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sidR="007B51F9">
        <w:rPr>
          <w:rFonts w:ascii="Times New Roman" w:hAnsi="Times New Roman" w:cs="Times New Roman"/>
          <w:sz w:val="24"/>
          <w:szCs w:val="24"/>
        </w:rPr>
        <w:t>Senator</w:t>
      </w:r>
      <w:r w:rsidRPr="00002D5D">
        <w:rPr>
          <w:rFonts w:ascii="Times New Roman" w:hAnsi="Times New Roman" w:cs="Times New Roman"/>
          <w:sz w:val="24"/>
          <w:szCs w:val="24"/>
        </w:rPr>
        <w:t xml:space="preserve"> </w:t>
      </w:r>
      <w:r w:rsidR="007B51F9">
        <w:rPr>
          <w:rFonts w:ascii="Times New Roman" w:hAnsi="Times New Roman" w:cs="Times New Roman"/>
          <w:sz w:val="24"/>
          <w:szCs w:val="24"/>
        </w:rPr>
        <w:t>Di Natale</w:t>
      </w:r>
    </w:p>
    <w:p w:rsidR="00040DCE" w:rsidRPr="00002D5D" w:rsidRDefault="00040DCE" w:rsidP="00C17112">
      <w:pPr>
        <w:pStyle w:val="Lettertext"/>
      </w:pPr>
      <w:r w:rsidRPr="00002D5D">
        <w:t xml:space="preserve">Please find attached a response to your costing request, </w:t>
      </w:r>
      <w:r w:rsidR="0082072B" w:rsidRPr="0082072B">
        <w:rPr>
          <w:i/>
        </w:rPr>
        <w:t xml:space="preserve">Standing Up for Small Business: Loss Carry-back and GST Threshold </w:t>
      </w:r>
      <w:r w:rsidRPr="00002D5D">
        <w:t xml:space="preserve">(letter of </w:t>
      </w:r>
      <w:r w:rsidR="00B90364">
        <w:t>2</w:t>
      </w:r>
      <w:r w:rsidR="00F44B71">
        <w:t>8</w:t>
      </w:r>
      <w:r w:rsidR="00B90364">
        <w:t xml:space="preserve"> June</w:t>
      </w:r>
      <w:r w:rsidRPr="00002D5D">
        <w:t xml:space="preserve"> 2016).</w:t>
      </w:r>
    </w:p>
    <w:p w:rsidR="00040DCE" w:rsidRPr="00002D5D" w:rsidRDefault="00040DCE" w:rsidP="00C17112">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C17112">
      <w:pPr>
        <w:pStyle w:val="Lettertext"/>
      </w:pPr>
      <w:r w:rsidRPr="00002D5D">
        <w:t xml:space="preserve">If you have any queries about this costing, please </w:t>
      </w:r>
      <w:r w:rsidR="00F75D33">
        <w:t>contact Colin </w:t>
      </w:r>
      <w:r w:rsidR="003D7744">
        <w:t>Brown on (02) </w:t>
      </w:r>
      <w:r w:rsidRPr="00002D5D">
        <w:t>6277</w:t>
      </w:r>
      <w:r w:rsidR="003D7744">
        <w:t> </w:t>
      </w:r>
      <w:r w:rsidRPr="00002D5D">
        <w:t>9530.</w:t>
      </w:r>
    </w:p>
    <w:p w:rsidR="00040DCE" w:rsidRPr="00002D5D" w:rsidRDefault="00040DCE" w:rsidP="00C17112">
      <w:pPr>
        <w:pStyle w:val="Lettertext"/>
      </w:pPr>
      <w:r w:rsidRPr="00002D5D">
        <w:t>Yours sincerely</w:t>
      </w:r>
    </w:p>
    <w:p w:rsidR="00040DCE" w:rsidRPr="00002D5D" w:rsidRDefault="00DA1C8A" w:rsidP="00C17112">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096F3A" w:rsidRPr="00002D5D" w:rsidRDefault="00D541BC" w:rsidP="00D541BC">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29 </w:t>
      </w:r>
      <w:r w:rsidR="00FD1398">
        <w:rPr>
          <w:rFonts w:ascii="Times New Roman" w:hAnsi="Times New Roman" w:cs="Times New Roman"/>
          <w:sz w:val="24"/>
          <w:szCs w:val="24"/>
        </w:rPr>
        <w:t>June</w:t>
      </w:r>
      <w:r w:rsidR="00040DCE" w:rsidRPr="00002D5D">
        <w:rPr>
          <w:rFonts w:ascii="Times New Roman" w:hAnsi="Times New Roman" w:cs="Times New Roman"/>
          <w:sz w:val="24"/>
          <w:szCs w:val="24"/>
        </w:rPr>
        <w:t xml:space="preserve"> </w:t>
      </w:r>
      <w:r w:rsidR="00DA1C8A" w:rsidRPr="00002D5D">
        <w:rPr>
          <w:rFonts w:ascii="Times New Roman" w:hAnsi="Times New Roman" w:cs="Times New Roman"/>
          <w:sz w:val="24"/>
          <w:szCs w:val="24"/>
        </w:rPr>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Style1"/>
        <w:tblW w:w="8528" w:type="dxa"/>
        <w:tblLayout w:type="fixed"/>
        <w:tblLook w:val="04A0" w:firstRow="1" w:lastRow="0" w:firstColumn="1" w:lastColumn="0" w:noHBand="0" w:noVBand="1"/>
      </w:tblPr>
      <w:tblGrid>
        <w:gridCol w:w="2943"/>
        <w:gridCol w:w="5585"/>
      </w:tblGrid>
      <w:tr w:rsidR="004D5525" w:rsidRPr="008F6E60" w:rsidTr="00FC02B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tcPr>
          <w:p w:rsidR="004D5525" w:rsidRPr="00AB201A" w:rsidRDefault="004D5525" w:rsidP="008F6E60">
            <w:pPr>
              <w:rPr>
                <w:b/>
                <w:sz w:val="22"/>
              </w:rPr>
            </w:pPr>
            <w:r w:rsidRPr="00AB201A">
              <w:rPr>
                <w:b/>
                <w:sz w:val="22"/>
              </w:rPr>
              <w:t>Name of proposal:</w:t>
            </w:r>
          </w:p>
        </w:tc>
        <w:tc>
          <w:tcPr>
            <w:tcW w:w="5585" w:type="dxa"/>
          </w:tcPr>
          <w:p w:rsidR="004D5525" w:rsidRPr="00AB201A" w:rsidRDefault="0082072B" w:rsidP="008F6E60">
            <w:pPr>
              <w:cnfStyle w:val="100000000000" w:firstRow="1" w:lastRow="0" w:firstColumn="0" w:lastColumn="0" w:oddVBand="0" w:evenVBand="0" w:oddHBand="0" w:evenHBand="0" w:firstRowFirstColumn="0" w:firstRowLastColumn="0" w:lastRowFirstColumn="0" w:lastRowLastColumn="0"/>
              <w:rPr>
                <w:b/>
                <w:sz w:val="22"/>
              </w:rPr>
            </w:pPr>
            <w:r w:rsidRPr="00AB201A">
              <w:rPr>
                <w:b/>
                <w:sz w:val="22"/>
              </w:rPr>
              <w:t>Standing Up for Small Business: Loss Carry-back and GST Threshold</w:t>
            </w:r>
          </w:p>
        </w:tc>
      </w:tr>
      <w:tr w:rsidR="004D5525" w:rsidTr="00FC02B0">
        <w:trPr>
          <w:cantSplit/>
        </w:trPr>
        <w:tc>
          <w:tcPr>
            <w:cnfStyle w:val="001000000000" w:firstRow="0" w:lastRow="0" w:firstColumn="1" w:lastColumn="0" w:oddVBand="0" w:evenVBand="0" w:oddHBand="0" w:evenHBand="0" w:firstRowFirstColumn="0" w:firstRowLastColumn="0" w:lastRowFirstColumn="0" w:lastRowLastColumn="0"/>
            <w:tcW w:w="2943" w:type="dxa"/>
          </w:tcPr>
          <w:p w:rsidR="004D5525" w:rsidRPr="00AB201A" w:rsidRDefault="004D5525" w:rsidP="004D5525">
            <w:pPr>
              <w:pStyle w:val="BodyText"/>
              <w:rPr>
                <w:sz w:val="22"/>
              </w:rPr>
            </w:pPr>
            <w:r w:rsidRPr="00AB201A">
              <w:rPr>
                <w:sz w:val="22"/>
              </w:rPr>
              <w:t>Summary of proposal:</w:t>
            </w:r>
          </w:p>
        </w:tc>
        <w:tc>
          <w:tcPr>
            <w:tcW w:w="5585" w:type="dxa"/>
          </w:tcPr>
          <w:p w:rsidR="00A5079C" w:rsidRPr="00AB201A" w:rsidRDefault="00245350" w:rsidP="00245350">
            <w:pPr>
              <w:cnfStyle w:val="000000000000" w:firstRow="0" w:lastRow="0" w:firstColumn="0" w:lastColumn="0" w:oddVBand="0" w:evenVBand="0" w:oddHBand="0" w:evenHBand="0" w:firstRowFirstColumn="0" w:firstRowLastColumn="0" w:lastRowFirstColumn="0" w:lastRowLastColumn="0"/>
            </w:pPr>
            <w:r w:rsidRPr="00AB201A">
              <w:t xml:space="preserve">The proposal </w:t>
            </w:r>
            <w:r w:rsidR="007F767E" w:rsidRPr="00AB201A">
              <w:t>has</w:t>
            </w:r>
            <w:r w:rsidR="00EC1813" w:rsidRPr="00AB201A">
              <w:t xml:space="preserve"> </w:t>
            </w:r>
            <w:r w:rsidR="00B832E1" w:rsidRPr="00AB201A">
              <w:t>two components.</w:t>
            </w:r>
          </w:p>
          <w:p w:rsidR="00EC1813" w:rsidRPr="00AB201A" w:rsidRDefault="00EC1813" w:rsidP="00245350">
            <w:pPr>
              <w:cnfStyle w:val="000000000000" w:firstRow="0" w:lastRow="0" w:firstColumn="0" w:lastColumn="0" w:oddVBand="0" w:evenVBand="0" w:oddHBand="0" w:evenHBand="0" w:firstRowFirstColumn="0" w:firstRowLastColumn="0" w:lastRowFirstColumn="0" w:lastRowLastColumn="0"/>
              <w:rPr>
                <w:u w:val="single"/>
              </w:rPr>
            </w:pPr>
            <w:r w:rsidRPr="00AB201A">
              <w:rPr>
                <w:u w:val="single"/>
              </w:rPr>
              <w:t xml:space="preserve">Component 1: </w:t>
            </w:r>
            <w:r w:rsidR="008E0CD7" w:rsidRPr="00AB201A">
              <w:rPr>
                <w:u w:val="single"/>
              </w:rPr>
              <w:t>Reinstate</w:t>
            </w:r>
            <w:r w:rsidRPr="00AB201A">
              <w:rPr>
                <w:u w:val="single"/>
              </w:rPr>
              <w:t xml:space="preserve"> </w:t>
            </w:r>
            <w:r w:rsidR="008E0CD7" w:rsidRPr="00AB201A">
              <w:rPr>
                <w:u w:val="single"/>
              </w:rPr>
              <w:t>l</w:t>
            </w:r>
            <w:r w:rsidRPr="00AB201A">
              <w:rPr>
                <w:u w:val="single"/>
              </w:rPr>
              <w:t xml:space="preserve">oss </w:t>
            </w:r>
            <w:r w:rsidR="008E0CD7" w:rsidRPr="00AB201A">
              <w:rPr>
                <w:u w:val="single"/>
              </w:rPr>
              <w:t>c</w:t>
            </w:r>
            <w:r w:rsidRPr="00AB201A">
              <w:rPr>
                <w:u w:val="single"/>
              </w:rPr>
              <w:t>arry</w:t>
            </w:r>
            <w:r w:rsidR="008E0CD7" w:rsidRPr="00AB201A">
              <w:rPr>
                <w:u w:val="single"/>
              </w:rPr>
              <w:noBreakHyphen/>
              <w:t>b</w:t>
            </w:r>
            <w:r w:rsidRPr="00AB201A">
              <w:rPr>
                <w:u w:val="single"/>
              </w:rPr>
              <w:t xml:space="preserve">ack </w:t>
            </w:r>
          </w:p>
          <w:p w:rsidR="007F767E" w:rsidRPr="00AB201A" w:rsidRDefault="00EC1813" w:rsidP="004748C2">
            <w:pPr>
              <w:pStyle w:val="Bullet1"/>
              <w:cnfStyle w:val="000000000000" w:firstRow="0" w:lastRow="0" w:firstColumn="0" w:lastColumn="0" w:oddVBand="0" w:evenVBand="0" w:oddHBand="0" w:evenHBand="0" w:firstRowFirstColumn="0" w:firstRowLastColumn="0" w:lastRowFirstColumn="0" w:lastRowLastColumn="0"/>
            </w:pPr>
            <w:r w:rsidRPr="00AB201A">
              <w:t xml:space="preserve">This </w:t>
            </w:r>
            <w:r w:rsidR="0048481A" w:rsidRPr="00AB201A">
              <w:t xml:space="preserve">component would </w:t>
            </w:r>
            <w:r w:rsidR="008B538E" w:rsidRPr="00AB201A">
              <w:t>reinstate loss carry-back to allow small businesses to claim up to $1 million of current financial year losses against profits made in previous financial years.</w:t>
            </w:r>
          </w:p>
          <w:p w:rsidR="00245350" w:rsidRPr="00AB201A" w:rsidRDefault="004748C2" w:rsidP="004748C2">
            <w:pPr>
              <w:pStyle w:val="Bullet1"/>
              <w:cnfStyle w:val="000000000000" w:firstRow="0" w:lastRow="0" w:firstColumn="0" w:lastColumn="0" w:oddVBand="0" w:evenVBand="0" w:oddHBand="0" w:evenHBand="0" w:firstRowFirstColumn="0" w:firstRowLastColumn="0" w:lastRowFirstColumn="0" w:lastRowLastColumn="0"/>
            </w:pPr>
            <w:r w:rsidRPr="00AB201A">
              <w:t xml:space="preserve">Small </w:t>
            </w:r>
            <w:r w:rsidR="00F149FB" w:rsidRPr="00AB201A">
              <w:t>businesses are</w:t>
            </w:r>
            <w:r w:rsidR="007F767E" w:rsidRPr="00AB201A">
              <w:t xml:space="preserve"> those with </w:t>
            </w:r>
            <w:r w:rsidRPr="00AB201A">
              <w:t>aggregate annual turnover below $2 million.</w:t>
            </w:r>
          </w:p>
          <w:p w:rsidR="000100BA" w:rsidRPr="00AB201A" w:rsidRDefault="000100BA" w:rsidP="000100BA">
            <w:pPr>
              <w:pStyle w:val="Bullet1"/>
              <w:cnfStyle w:val="000000000000" w:firstRow="0" w:lastRow="0" w:firstColumn="0" w:lastColumn="0" w:oddVBand="0" w:evenVBand="0" w:oddHBand="0" w:evenHBand="0" w:firstRowFirstColumn="0" w:firstRowLastColumn="0" w:lastRowFirstColumn="0" w:lastRowLastColumn="0"/>
            </w:pPr>
            <w:r w:rsidRPr="00AB201A">
              <w:t>Losses used in this manner would no longer be eligible to be carried forward into the next financial year.</w:t>
            </w:r>
          </w:p>
          <w:p w:rsidR="004D5525" w:rsidRPr="00AB201A" w:rsidRDefault="00245350" w:rsidP="00EC1813">
            <w:pPr>
              <w:pStyle w:val="Bullet1"/>
              <w:cnfStyle w:val="000000000000" w:firstRow="0" w:lastRow="0" w:firstColumn="0" w:lastColumn="0" w:oddVBand="0" w:evenVBand="0" w:oddHBand="0" w:evenHBand="0" w:firstRowFirstColumn="0" w:firstRowLastColumn="0" w:lastRowFirstColumn="0" w:lastRowLastColumn="0"/>
            </w:pPr>
            <w:r w:rsidRPr="00AB201A">
              <w:t>Th</w:t>
            </w:r>
            <w:r w:rsidR="00852FB1" w:rsidRPr="00AB201A">
              <w:t>is</w:t>
            </w:r>
            <w:r w:rsidRPr="00AB201A">
              <w:t xml:space="preserve"> </w:t>
            </w:r>
            <w:r w:rsidR="00A5079C" w:rsidRPr="00AB201A">
              <w:t>component</w:t>
            </w:r>
            <w:r w:rsidRPr="00AB201A">
              <w:t xml:space="preserve"> wou</w:t>
            </w:r>
            <w:r w:rsidR="008F0E94" w:rsidRPr="00AB201A">
              <w:t>ld have effect from 1 September </w:t>
            </w:r>
            <w:r w:rsidRPr="00AB201A">
              <w:t>2016 and would cease aft</w:t>
            </w:r>
            <w:r w:rsidR="008F0E94" w:rsidRPr="00AB201A">
              <w:t>er 30 June </w:t>
            </w:r>
            <w:r w:rsidRPr="00AB201A">
              <w:t>2020.</w:t>
            </w:r>
          </w:p>
          <w:p w:rsidR="00EC1813" w:rsidRPr="00AB201A" w:rsidRDefault="00EC1813" w:rsidP="00EC1813">
            <w:pPr>
              <w:cnfStyle w:val="000000000000" w:firstRow="0" w:lastRow="0" w:firstColumn="0" w:lastColumn="0" w:oddVBand="0" w:evenVBand="0" w:oddHBand="0" w:evenHBand="0" w:firstRowFirstColumn="0" w:firstRowLastColumn="0" w:lastRowFirstColumn="0" w:lastRowLastColumn="0"/>
              <w:rPr>
                <w:u w:val="single"/>
              </w:rPr>
            </w:pPr>
            <w:r w:rsidRPr="00AB201A">
              <w:rPr>
                <w:u w:val="single"/>
              </w:rPr>
              <w:t xml:space="preserve">Component 2: </w:t>
            </w:r>
            <w:r w:rsidR="008E0CD7" w:rsidRPr="00AB201A">
              <w:rPr>
                <w:u w:val="single"/>
              </w:rPr>
              <w:t>Increase</w:t>
            </w:r>
            <w:r w:rsidRPr="00AB201A">
              <w:rPr>
                <w:u w:val="single"/>
              </w:rPr>
              <w:t xml:space="preserve"> Goods and Services Tax (GST) </w:t>
            </w:r>
            <w:r w:rsidR="008E0CD7" w:rsidRPr="00AB201A">
              <w:rPr>
                <w:u w:val="single"/>
              </w:rPr>
              <w:t>registration t</w:t>
            </w:r>
            <w:r w:rsidRPr="00AB201A">
              <w:rPr>
                <w:u w:val="single"/>
              </w:rPr>
              <w:t>hreshold</w:t>
            </w:r>
          </w:p>
          <w:p w:rsidR="00EB06D8" w:rsidRPr="00AB201A" w:rsidRDefault="0048481A" w:rsidP="008B538E">
            <w:pPr>
              <w:pStyle w:val="Bullet1"/>
              <w:cnfStyle w:val="000000000000" w:firstRow="0" w:lastRow="0" w:firstColumn="0" w:lastColumn="0" w:oddVBand="0" w:evenVBand="0" w:oddHBand="0" w:evenHBand="0" w:firstRowFirstColumn="0" w:firstRowLastColumn="0" w:lastRowFirstColumn="0" w:lastRowLastColumn="0"/>
            </w:pPr>
            <w:r w:rsidRPr="00AB201A">
              <w:t>Th</w:t>
            </w:r>
            <w:r w:rsidR="00EB06D8" w:rsidRPr="00AB201A">
              <w:t>is</w:t>
            </w:r>
            <w:r w:rsidRPr="00AB201A">
              <w:t xml:space="preserve"> component would </w:t>
            </w:r>
            <w:r w:rsidR="008B538E" w:rsidRPr="00AB201A">
              <w:t xml:space="preserve">increase the registration threshold </w:t>
            </w:r>
            <w:r w:rsidR="008B6684" w:rsidRPr="00AB201A">
              <w:t>for the GST</w:t>
            </w:r>
            <w:r w:rsidR="008B538E" w:rsidRPr="00AB201A">
              <w:t xml:space="preserve"> from $75,000 to $150,000 or more for businesses, and from $150,000 to $300,000 or more for not-for-profit organisations, with the</w:t>
            </w:r>
            <w:r w:rsidR="0011549C" w:rsidRPr="00AB201A">
              <w:t>se</w:t>
            </w:r>
            <w:r w:rsidR="008B538E" w:rsidRPr="00AB201A">
              <w:t xml:space="preserve"> thresholds to be indexed annually by the Consumer Price Index (CPI).</w:t>
            </w:r>
          </w:p>
          <w:p w:rsidR="00A5079C" w:rsidRPr="00AB201A" w:rsidRDefault="00A5079C" w:rsidP="008B538E">
            <w:pPr>
              <w:pStyle w:val="Bullet1"/>
              <w:cnfStyle w:val="000000000000" w:firstRow="0" w:lastRow="0" w:firstColumn="0" w:lastColumn="0" w:oddVBand="0" w:evenVBand="0" w:oddHBand="0" w:evenHBand="0" w:firstRowFirstColumn="0" w:firstRowLastColumn="0" w:lastRowFirstColumn="0" w:lastRowLastColumn="0"/>
            </w:pPr>
            <w:r w:rsidRPr="00AB201A">
              <w:t>Th</w:t>
            </w:r>
            <w:r w:rsidR="00852FB1" w:rsidRPr="00AB201A">
              <w:t>is</w:t>
            </w:r>
            <w:r w:rsidRPr="00AB201A">
              <w:t xml:space="preserve"> component would have effect from </w:t>
            </w:r>
            <w:r w:rsidR="008F0E94" w:rsidRPr="00AB201A">
              <w:t>1 </w:t>
            </w:r>
            <w:r w:rsidR="008B538E" w:rsidRPr="00AB201A">
              <w:t xml:space="preserve">July </w:t>
            </w:r>
            <w:r w:rsidRPr="00AB201A">
              <w:t>201</w:t>
            </w:r>
            <w:r w:rsidR="008B538E" w:rsidRPr="00AB201A">
              <w:t>7</w:t>
            </w:r>
            <w:r w:rsidR="00852FB1" w:rsidRPr="00AB201A">
              <w:t xml:space="preserve"> and would be ongoing</w:t>
            </w:r>
            <w:r w:rsidRPr="00AB201A">
              <w:t>.</w:t>
            </w:r>
          </w:p>
        </w:tc>
      </w:tr>
      <w:tr w:rsidR="004D5525" w:rsidTr="00FC02B0">
        <w:trPr>
          <w:cantSplit/>
        </w:trPr>
        <w:tc>
          <w:tcPr>
            <w:cnfStyle w:val="001000000000" w:firstRow="0" w:lastRow="0" w:firstColumn="1" w:lastColumn="0" w:oddVBand="0" w:evenVBand="0" w:oddHBand="0" w:evenHBand="0" w:firstRowFirstColumn="0" w:firstRowLastColumn="0" w:lastRowFirstColumn="0" w:lastRowLastColumn="0"/>
            <w:tcW w:w="2943" w:type="dxa"/>
          </w:tcPr>
          <w:p w:rsidR="004D5525" w:rsidRPr="00AB201A" w:rsidRDefault="004D5525" w:rsidP="004D5525">
            <w:pPr>
              <w:pStyle w:val="BodyText"/>
              <w:rPr>
                <w:sz w:val="22"/>
              </w:rPr>
            </w:pPr>
            <w:r w:rsidRPr="00AB201A">
              <w:rPr>
                <w:sz w:val="22"/>
              </w:rPr>
              <w:t>Person/party requesting costing:</w:t>
            </w:r>
          </w:p>
        </w:tc>
        <w:tc>
          <w:tcPr>
            <w:tcW w:w="5585" w:type="dxa"/>
          </w:tcPr>
          <w:p w:rsidR="004D5525" w:rsidRPr="00AB201A" w:rsidRDefault="00B90364" w:rsidP="00820801">
            <w:pPr>
              <w:pStyle w:val="BodyText"/>
              <w:cnfStyle w:val="000000000000" w:firstRow="0" w:lastRow="0" w:firstColumn="0" w:lastColumn="0" w:oddVBand="0" w:evenVBand="0" w:oddHBand="0" w:evenHBand="0" w:firstRowFirstColumn="0" w:firstRowLastColumn="0" w:lastRowFirstColumn="0" w:lastRowLastColumn="0"/>
            </w:pPr>
            <w:r w:rsidRPr="00AB201A">
              <w:t>Senator Richard Di Natale, Australian Greens</w:t>
            </w:r>
          </w:p>
        </w:tc>
      </w:tr>
      <w:tr w:rsidR="007D3577" w:rsidTr="00FC02B0">
        <w:trPr>
          <w:cantSplit/>
        </w:trPr>
        <w:tc>
          <w:tcPr>
            <w:cnfStyle w:val="001000000000" w:firstRow="0" w:lastRow="0" w:firstColumn="1" w:lastColumn="0" w:oddVBand="0" w:evenVBand="0" w:oddHBand="0" w:evenHBand="0" w:firstRowFirstColumn="0" w:firstRowLastColumn="0" w:lastRowFirstColumn="0" w:lastRowLastColumn="0"/>
            <w:tcW w:w="2943" w:type="dxa"/>
          </w:tcPr>
          <w:p w:rsidR="007D3577" w:rsidRPr="00AB201A" w:rsidRDefault="007D3577" w:rsidP="00060F22">
            <w:pPr>
              <w:pStyle w:val="BodyText"/>
              <w:rPr>
                <w:sz w:val="22"/>
              </w:rPr>
            </w:pPr>
            <w:r w:rsidRPr="00AB201A">
              <w:rPr>
                <w:sz w:val="22"/>
              </w:rPr>
              <w:t>Date of public release of policy:</w:t>
            </w:r>
          </w:p>
        </w:tc>
        <w:tc>
          <w:tcPr>
            <w:tcW w:w="5585" w:type="dxa"/>
          </w:tcPr>
          <w:p w:rsidR="00372248" w:rsidRPr="00AB201A" w:rsidRDefault="00807D7C" w:rsidP="00820801">
            <w:pPr>
              <w:pStyle w:val="BodyText"/>
              <w:cnfStyle w:val="000000000000" w:firstRow="0" w:lastRow="0" w:firstColumn="0" w:lastColumn="0" w:oddVBand="0" w:evenVBand="0" w:oddHBand="0" w:evenHBand="0" w:firstRowFirstColumn="0" w:firstRowLastColumn="0" w:lastRowFirstColumn="0" w:lastRowLastColumn="0"/>
            </w:pPr>
            <w:r w:rsidRPr="00AB201A">
              <w:t>24 June 2016</w:t>
            </w:r>
          </w:p>
          <w:p w:rsidR="00820801" w:rsidRPr="00AB201A" w:rsidRDefault="00E02372" w:rsidP="00820801">
            <w:pPr>
              <w:pStyle w:val="BodyText"/>
              <w:cnfStyle w:val="000000000000" w:firstRow="0" w:lastRow="0" w:firstColumn="0" w:lastColumn="0" w:oddVBand="0" w:evenVBand="0" w:oddHBand="0" w:evenHBand="0" w:firstRowFirstColumn="0" w:firstRowLastColumn="0" w:lastRowFirstColumn="0" w:lastRowLastColumn="0"/>
            </w:pPr>
            <w:hyperlink r:id="rId13" w:history="1">
              <w:r w:rsidR="00372248" w:rsidRPr="00AB201A">
                <w:rPr>
                  <w:rStyle w:val="Hyperlink"/>
                </w:rPr>
                <w:t>http://greens.org.au/small-business</w:t>
              </w:r>
            </w:hyperlink>
          </w:p>
        </w:tc>
      </w:tr>
      <w:tr w:rsidR="004D5525" w:rsidTr="00FC02B0">
        <w:trPr>
          <w:cantSplit/>
        </w:trPr>
        <w:tc>
          <w:tcPr>
            <w:cnfStyle w:val="001000000000" w:firstRow="0" w:lastRow="0" w:firstColumn="1" w:lastColumn="0" w:oddVBand="0" w:evenVBand="0" w:oddHBand="0" w:evenHBand="0" w:firstRowFirstColumn="0" w:firstRowLastColumn="0" w:lastRowFirstColumn="0" w:lastRowLastColumn="0"/>
            <w:tcW w:w="2943" w:type="dxa"/>
          </w:tcPr>
          <w:p w:rsidR="004D5525" w:rsidRPr="00AB201A" w:rsidRDefault="004D5525" w:rsidP="004D5525">
            <w:pPr>
              <w:pStyle w:val="BodyText"/>
              <w:rPr>
                <w:sz w:val="22"/>
              </w:rPr>
            </w:pPr>
            <w:r w:rsidRPr="00AB201A">
              <w:rPr>
                <w:sz w:val="22"/>
              </w:rPr>
              <w:t>Date costing request received:</w:t>
            </w:r>
          </w:p>
        </w:tc>
        <w:tc>
          <w:tcPr>
            <w:tcW w:w="5585" w:type="dxa"/>
          </w:tcPr>
          <w:p w:rsidR="004D5525" w:rsidRPr="00AB201A" w:rsidRDefault="00B90364" w:rsidP="00F44B71">
            <w:pPr>
              <w:pStyle w:val="BodyText"/>
              <w:cnfStyle w:val="000000000000" w:firstRow="0" w:lastRow="0" w:firstColumn="0" w:lastColumn="0" w:oddVBand="0" w:evenVBand="0" w:oddHBand="0" w:evenHBand="0" w:firstRowFirstColumn="0" w:firstRowLastColumn="0" w:lastRowFirstColumn="0" w:lastRowLastColumn="0"/>
            </w:pPr>
            <w:r w:rsidRPr="00AB201A">
              <w:t>2</w:t>
            </w:r>
            <w:r w:rsidR="00F44B71" w:rsidRPr="00AB201A">
              <w:t>8</w:t>
            </w:r>
            <w:r w:rsidRPr="00AB201A">
              <w:t xml:space="preserve"> June 2016</w:t>
            </w:r>
          </w:p>
        </w:tc>
      </w:tr>
      <w:tr w:rsidR="004D5525" w:rsidTr="00FC02B0">
        <w:trPr>
          <w:cantSplit/>
        </w:trPr>
        <w:tc>
          <w:tcPr>
            <w:cnfStyle w:val="001000000000" w:firstRow="0" w:lastRow="0" w:firstColumn="1" w:lastColumn="0" w:oddVBand="0" w:evenVBand="0" w:oddHBand="0" w:evenHBand="0" w:firstRowFirstColumn="0" w:firstRowLastColumn="0" w:lastRowFirstColumn="0" w:lastRowLastColumn="0"/>
            <w:tcW w:w="2943" w:type="dxa"/>
          </w:tcPr>
          <w:p w:rsidR="004D5525" w:rsidRPr="00AB201A" w:rsidRDefault="004D5525" w:rsidP="004D5525">
            <w:pPr>
              <w:pStyle w:val="BodyText"/>
              <w:rPr>
                <w:sz w:val="22"/>
              </w:rPr>
            </w:pPr>
            <w:r w:rsidRPr="00AB201A">
              <w:rPr>
                <w:sz w:val="22"/>
              </w:rPr>
              <w:t>Date costing completed</w:t>
            </w:r>
            <w:r w:rsidR="005624B3" w:rsidRPr="00AB201A">
              <w:rPr>
                <w:sz w:val="22"/>
              </w:rPr>
              <w:t>:</w:t>
            </w:r>
          </w:p>
        </w:tc>
        <w:tc>
          <w:tcPr>
            <w:tcW w:w="5585" w:type="dxa"/>
          </w:tcPr>
          <w:p w:rsidR="004D5525" w:rsidRPr="00AB201A" w:rsidRDefault="00B90364" w:rsidP="00E33D4B">
            <w:pPr>
              <w:pStyle w:val="BodyText"/>
              <w:cnfStyle w:val="000000000000" w:firstRow="0" w:lastRow="0" w:firstColumn="0" w:lastColumn="0" w:oddVBand="0" w:evenVBand="0" w:oddHBand="0" w:evenHBand="0" w:firstRowFirstColumn="0" w:firstRowLastColumn="0" w:lastRowFirstColumn="0" w:lastRowLastColumn="0"/>
            </w:pPr>
            <w:r w:rsidRPr="00AB201A">
              <w:t>2</w:t>
            </w:r>
            <w:r w:rsidR="00E33D4B" w:rsidRPr="00AB201A">
              <w:t>9</w:t>
            </w:r>
            <w:r w:rsidRPr="00AB201A">
              <w:t xml:space="preserve"> June 2016</w:t>
            </w:r>
          </w:p>
        </w:tc>
      </w:tr>
      <w:tr w:rsidR="00CB456D" w:rsidTr="00FC02B0">
        <w:trPr>
          <w:cantSplit/>
        </w:trPr>
        <w:tc>
          <w:tcPr>
            <w:cnfStyle w:val="001000000000" w:firstRow="0" w:lastRow="0" w:firstColumn="1" w:lastColumn="0" w:oddVBand="0" w:evenVBand="0" w:oddHBand="0" w:evenHBand="0" w:firstRowFirstColumn="0" w:firstRowLastColumn="0" w:lastRowFirstColumn="0" w:lastRowLastColumn="0"/>
            <w:tcW w:w="2943" w:type="dxa"/>
          </w:tcPr>
          <w:p w:rsidR="00CB456D" w:rsidRPr="00AB201A" w:rsidRDefault="00CB456D" w:rsidP="004D5525">
            <w:pPr>
              <w:pStyle w:val="BodyText"/>
              <w:rPr>
                <w:sz w:val="22"/>
              </w:rPr>
            </w:pPr>
            <w:r w:rsidRPr="00AB201A">
              <w:rPr>
                <w:sz w:val="22"/>
              </w:rPr>
              <w:lastRenderedPageBreak/>
              <w:t>Additional information received (including date)</w:t>
            </w:r>
          </w:p>
        </w:tc>
        <w:tc>
          <w:tcPr>
            <w:tcW w:w="5585" w:type="dxa"/>
          </w:tcPr>
          <w:p w:rsidR="006B01C5" w:rsidRPr="00AB201A" w:rsidRDefault="006B01C5" w:rsidP="006B01C5">
            <w:pPr>
              <w:pStyle w:val="BodyText"/>
              <w:cnfStyle w:val="000000000000" w:firstRow="0" w:lastRow="0" w:firstColumn="0" w:lastColumn="0" w:oddVBand="0" w:evenVBand="0" w:oddHBand="0" w:evenHBand="0" w:firstRowFirstColumn="0" w:firstRowLastColumn="0" w:lastRowFirstColumn="0" w:lastRowLastColumn="0"/>
            </w:pPr>
            <w:r w:rsidRPr="00AB201A">
              <w:t>On 28 June 2016, the office of Se</w:t>
            </w:r>
            <w:r w:rsidR="00890B2B" w:rsidRPr="00AB201A">
              <w:t>nator Di Natale advised that in relation to component 1</w:t>
            </w:r>
            <w:r w:rsidRPr="00AB201A">
              <w:t>:</w:t>
            </w:r>
          </w:p>
          <w:p w:rsidR="006B01C5" w:rsidRPr="00AB201A" w:rsidRDefault="007D4465" w:rsidP="006B01C5">
            <w:pPr>
              <w:pStyle w:val="Bullet1"/>
              <w:numPr>
                <w:ilvl w:val="0"/>
                <w:numId w:val="21"/>
              </w:numPr>
              <w:cnfStyle w:val="000000000000" w:firstRow="0" w:lastRow="0" w:firstColumn="0" w:lastColumn="0" w:oddVBand="0" w:evenVBand="0" w:oddHBand="0" w:evenHBand="0" w:firstRowFirstColumn="0" w:firstRowLastColumn="0" w:lastRowFirstColumn="0" w:lastRowLastColumn="0"/>
            </w:pPr>
            <w:r w:rsidRPr="00AB201A">
              <w:t>a</w:t>
            </w:r>
            <w:r w:rsidR="006B01C5" w:rsidRPr="00AB201A">
              <w:t xml:space="preserve"> small business would have aggregate annual turnover below $2 million</w:t>
            </w:r>
          </w:p>
          <w:p w:rsidR="007D4465" w:rsidRPr="00AB201A" w:rsidRDefault="007D4465" w:rsidP="006B01C5">
            <w:pPr>
              <w:pStyle w:val="Bullet1"/>
              <w:numPr>
                <w:ilvl w:val="0"/>
                <w:numId w:val="21"/>
              </w:numPr>
              <w:cnfStyle w:val="000000000000" w:firstRow="0" w:lastRow="0" w:firstColumn="0" w:lastColumn="0" w:oddVBand="0" w:evenVBand="0" w:oddHBand="0" w:evenHBand="0" w:firstRowFirstColumn="0" w:firstRowLastColumn="0" w:lastRowFirstColumn="0" w:lastRowLastColumn="0"/>
            </w:pPr>
            <w:r w:rsidRPr="00AB201A">
              <w:t>losses eligible for carry back would no longer be able to be carried forward to the next year</w:t>
            </w:r>
          </w:p>
          <w:p w:rsidR="00CB456D" w:rsidRPr="00AB201A" w:rsidRDefault="007D4465" w:rsidP="00F149FB">
            <w:pPr>
              <w:pStyle w:val="Bullet1"/>
              <w:numPr>
                <w:ilvl w:val="0"/>
                <w:numId w:val="21"/>
              </w:numPr>
              <w:cnfStyle w:val="000000000000" w:firstRow="0" w:lastRow="0" w:firstColumn="0" w:lastColumn="0" w:oddVBand="0" w:evenVBand="0" w:oddHBand="0" w:evenHBand="0" w:firstRowFirstColumn="0" w:firstRowLastColumn="0" w:lastRowFirstColumn="0" w:lastRowLastColumn="0"/>
            </w:pPr>
            <w:r w:rsidRPr="00AB201A">
              <w:t>t</w:t>
            </w:r>
            <w:r w:rsidR="006B01C5" w:rsidRPr="00AB201A">
              <w:t>he loss carry back component would expire on 30</w:t>
            </w:r>
            <w:r w:rsidRPr="00AB201A">
              <w:t> </w:t>
            </w:r>
            <w:r w:rsidR="006B01C5" w:rsidRPr="00AB201A">
              <w:t>June</w:t>
            </w:r>
            <w:r w:rsidRPr="00AB201A">
              <w:t> </w:t>
            </w:r>
            <w:r w:rsidR="006B01C5" w:rsidRPr="00AB201A">
              <w:t>2020</w:t>
            </w:r>
            <w:r w:rsidR="00F149FB" w:rsidRPr="00AB201A">
              <w:t>.</w:t>
            </w:r>
          </w:p>
        </w:tc>
      </w:tr>
      <w:tr w:rsidR="004D5525" w:rsidTr="00FC02B0">
        <w:trPr>
          <w:cantSplit/>
        </w:trPr>
        <w:tc>
          <w:tcPr>
            <w:cnfStyle w:val="001000000000" w:firstRow="0" w:lastRow="0" w:firstColumn="1" w:lastColumn="0" w:oddVBand="0" w:evenVBand="0" w:oddHBand="0" w:evenHBand="0" w:firstRowFirstColumn="0" w:firstRowLastColumn="0" w:lastRowFirstColumn="0" w:lastRowLastColumn="0"/>
            <w:tcW w:w="2943" w:type="dxa"/>
          </w:tcPr>
          <w:p w:rsidR="004D5525" w:rsidRPr="00AB201A" w:rsidRDefault="004D5525" w:rsidP="004D5525">
            <w:pPr>
              <w:pStyle w:val="BodyText"/>
              <w:rPr>
                <w:sz w:val="22"/>
              </w:rPr>
            </w:pPr>
            <w:r w:rsidRPr="00AB201A">
              <w:rPr>
                <w:sz w:val="22"/>
              </w:rPr>
              <w:t>Expiry date for the costing:</w:t>
            </w:r>
          </w:p>
        </w:tc>
        <w:tc>
          <w:tcPr>
            <w:tcW w:w="5585" w:type="dxa"/>
          </w:tcPr>
          <w:p w:rsidR="004D5525" w:rsidRPr="00AB201A" w:rsidRDefault="00F4535C" w:rsidP="00220BE5">
            <w:pPr>
              <w:pStyle w:val="BodyText"/>
              <w:cnfStyle w:val="000000000000" w:firstRow="0" w:lastRow="0" w:firstColumn="0" w:lastColumn="0" w:oddVBand="0" w:evenVBand="0" w:oddHBand="0" w:evenHBand="0" w:firstRowFirstColumn="0" w:firstRowLastColumn="0" w:lastRowFirstColumn="0" w:lastRowLastColumn="0"/>
            </w:pPr>
            <w:r w:rsidRPr="00AB201A">
              <w:t>Release of the next economic and fiscal outlook report</w:t>
            </w:r>
          </w:p>
        </w:tc>
      </w:tr>
    </w:tbl>
    <w:p w:rsidR="0055581F" w:rsidRDefault="008030EC" w:rsidP="00AB201A">
      <w:pPr>
        <w:pStyle w:val="Heading2"/>
      </w:pPr>
      <w:r w:rsidRPr="00002D5D">
        <w:t>Costing overview</w:t>
      </w:r>
    </w:p>
    <w:p w:rsidR="00245350" w:rsidRDefault="007A3BFA" w:rsidP="00AB201A">
      <w:r>
        <w:t>The proposal would</w:t>
      </w:r>
      <w:r w:rsidR="00245350">
        <w:t xml:space="preserve"> </w:t>
      </w:r>
      <w:r w:rsidR="00DA3963">
        <w:t xml:space="preserve">be expected to </w:t>
      </w:r>
      <w:r w:rsidR="00245350">
        <w:t xml:space="preserve">decrease the fiscal </w:t>
      </w:r>
      <w:r w:rsidR="0060721C">
        <w:t>balance by $</w:t>
      </w:r>
      <w:r w:rsidR="000100BA">
        <w:t>61</w:t>
      </w:r>
      <w:r w:rsidR="005E6385">
        <w:t>4</w:t>
      </w:r>
      <w:r w:rsidR="0060721C">
        <w:t xml:space="preserve"> million </w:t>
      </w:r>
      <w:r w:rsidR="00245350" w:rsidRPr="0060721C">
        <w:t>and</w:t>
      </w:r>
      <w:r w:rsidR="00245350">
        <w:t xml:space="preserve"> </w:t>
      </w:r>
      <w:r w:rsidR="0060721C">
        <w:t xml:space="preserve">decrease the </w:t>
      </w:r>
      <w:r w:rsidR="00245350">
        <w:t>underlying cash balance by $</w:t>
      </w:r>
      <w:r w:rsidR="000100BA">
        <w:t>31</w:t>
      </w:r>
      <w:r w:rsidR="005E6385">
        <w:t>4</w:t>
      </w:r>
      <w:r w:rsidR="008F0E94">
        <w:t> </w:t>
      </w:r>
      <w:r w:rsidR="00042A72">
        <w:t>million over the 2016</w:t>
      </w:r>
      <w:r w:rsidR="00042A72">
        <w:noBreakHyphen/>
      </w:r>
      <w:r w:rsidR="008F0E94">
        <w:t>17 </w:t>
      </w:r>
      <w:r w:rsidR="005C29B4">
        <w:t xml:space="preserve">Budget forward estimates period. </w:t>
      </w:r>
      <w:r w:rsidR="00245350">
        <w:t xml:space="preserve"> </w:t>
      </w:r>
      <w:r w:rsidR="005C29B4">
        <w:t>This reflects</w:t>
      </w:r>
      <w:r w:rsidR="00245350">
        <w:t xml:space="preserve"> a </w:t>
      </w:r>
      <w:r w:rsidR="00C67F00">
        <w:t>decrease</w:t>
      </w:r>
      <w:r w:rsidR="00245350">
        <w:t xml:space="preserve"> in revenue of $</w:t>
      </w:r>
      <w:r w:rsidR="000100BA">
        <w:t>6,750</w:t>
      </w:r>
      <w:r w:rsidR="008F0E94">
        <w:t> </w:t>
      </w:r>
      <w:r w:rsidR="00AE728E">
        <w:t>million and a</w:t>
      </w:r>
      <w:r w:rsidR="00C67F00">
        <w:t xml:space="preserve"> net de</w:t>
      </w:r>
      <w:r w:rsidR="00245350">
        <w:t>cr</w:t>
      </w:r>
      <w:r w:rsidR="00C67F00">
        <w:t xml:space="preserve">ease in </w:t>
      </w:r>
      <w:r w:rsidR="00245350">
        <w:t>expenses of $</w:t>
      </w:r>
      <w:r w:rsidR="000100BA">
        <w:t>6,13</w:t>
      </w:r>
      <w:r w:rsidR="005E6385">
        <w:t>6</w:t>
      </w:r>
      <w:r w:rsidR="008F0E94">
        <w:t> </w:t>
      </w:r>
      <w:r w:rsidR="00245350">
        <w:t>million</w:t>
      </w:r>
      <w:r w:rsidR="005C29B4">
        <w:t xml:space="preserve"> on a fiscal balance basis</w:t>
      </w:r>
      <w:r w:rsidR="00245350">
        <w:t>.</w:t>
      </w:r>
    </w:p>
    <w:p w:rsidR="00245350" w:rsidRDefault="00245350" w:rsidP="00AB201A">
      <w:r>
        <w:t>The reintroduction of loss carry back would result in a reductio</w:t>
      </w:r>
      <w:r w:rsidR="008F0E94">
        <w:t>n in tax revenue from 2017</w:t>
      </w:r>
      <w:r w:rsidR="008F0E94">
        <w:noBreakHyphen/>
        <w:t>18 (as 2016</w:t>
      </w:r>
      <w:r w:rsidR="008F0E94">
        <w:noBreakHyphen/>
      </w:r>
      <w:r w:rsidR="007328DE">
        <w:t>17</w:t>
      </w:r>
      <w:r>
        <w:t xml:space="preserve"> tax returns are assessed).  This impact would be offset in subsequent years to the extent that companies would </w:t>
      </w:r>
      <w:r w:rsidR="00380C3C">
        <w:t>be</w:t>
      </w:r>
      <w:r>
        <w:t xml:space="preserve"> able to utilise these losses against future taxable income. </w:t>
      </w:r>
    </w:p>
    <w:p w:rsidR="00245350" w:rsidRDefault="00245350" w:rsidP="00AB201A">
      <w:r>
        <w:t xml:space="preserve">As the proposed reintroduction of loss carry-back would be temporary, the impact of the proposal over the </w:t>
      </w:r>
      <w:r w:rsidR="00E43F95">
        <w:t>2016</w:t>
      </w:r>
      <w:r w:rsidR="008E0CD0">
        <w:t>-</w:t>
      </w:r>
      <w:r w:rsidR="00E43F95">
        <w:t xml:space="preserve">17 Budget </w:t>
      </w:r>
      <w:r>
        <w:t xml:space="preserve">forward estimates period is not representative of its ongoing impact. </w:t>
      </w:r>
      <w:r w:rsidR="00283553">
        <w:t>While loss carry back would cease in 2019-20, claims relating to the final year of the proposal would not be made until the following year.</w:t>
      </w:r>
      <w:r w:rsidR="00FC02B0">
        <w:t xml:space="preserve">  </w:t>
      </w:r>
      <w:r>
        <w:t xml:space="preserve">In subsequent years the proposal would result in an increase in tax revenue, reflecting the </w:t>
      </w:r>
      <w:r w:rsidR="00775455">
        <w:t xml:space="preserve">fact that losses eligible for carry back would no longer be able to be carried forward. </w:t>
      </w:r>
    </w:p>
    <w:p w:rsidR="00AE728E" w:rsidRDefault="00775455" w:rsidP="00AB201A">
      <w:r>
        <w:t>T</w:t>
      </w:r>
      <w:r w:rsidR="008E0CD0">
        <w:t xml:space="preserve">he </w:t>
      </w:r>
      <w:r w:rsidR="00022655" w:rsidRPr="00022655">
        <w:t xml:space="preserve">increase </w:t>
      </w:r>
      <w:r w:rsidR="008E0CD0">
        <w:t xml:space="preserve">in </w:t>
      </w:r>
      <w:r w:rsidR="00022655" w:rsidRPr="00022655">
        <w:t xml:space="preserve">the registration threshold </w:t>
      </w:r>
      <w:r w:rsidR="00022655">
        <w:t xml:space="preserve">for the </w:t>
      </w:r>
      <w:r w:rsidR="00022655" w:rsidRPr="00022655">
        <w:t xml:space="preserve">GST </w:t>
      </w:r>
      <w:r w:rsidR="00E43F95">
        <w:t>would</w:t>
      </w:r>
      <w:r w:rsidR="00AE728E">
        <w:t xml:space="preserve"> not </w:t>
      </w:r>
      <w:r>
        <w:t xml:space="preserve">be expected to </w:t>
      </w:r>
      <w:r w:rsidR="00AE728E">
        <w:t xml:space="preserve">have a net financial impact on the underlying cash balance of the Commonwealth Government, as GST is paid directly to the states and territories (net of administrative costs) under the </w:t>
      </w:r>
      <w:r w:rsidR="00AE728E" w:rsidRPr="00AE728E">
        <w:rPr>
          <w:i/>
        </w:rPr>
        <w:t>Intergovernmental Agreement on Federal Financial Relations</w:t>
      </w:r>
      <w:r w:rsidR="001E494E">
        <w:t xml:space="preserve">. </w:t>
      </w:r>
      <w:r w:rsidR="00DA3963">
        <w:t>Lifting the GST registration threshold would have an ongoing impact that extends beyond the 2016</w:t>
      </w:r>
      <w:r w:rsidR="00DA3963">
        <w:noBreakHyphen/>
        <w:t>17 </w:t>
      </w:r>
      <w:r w:rsidR="00DA3963" w:rsidRPr="00AE728E">
        <w:t>Budget forward estimates period</w:t>
      </w:r>
      <w:r w:rsidR="00DA3963">
        <w:t>.</w:t>
      </w:r>
    </w:p>
    <w:p w:rsidR="00AE728E" w:rsidRDefault="00AE728E" w:rsidP="00AB201A">
      <w:r>
        <w:t>The difference between the underlying cash and fiscal balance impact in the first year</w:t>
      </w:r>
      <w:r w:rsidR="009950F5">
        <w:t xml:space="preserve"> of the proposal</w:t>
      </w:r>
      <w:r>
        <w:t xml:space="preserve"> reflects a delay between when GST revenue is recognised as being owed to the Commonwealth and the receipt of the payment through lodgement of a Business Activity Statement</w:t>
      </w:r>
      <w:r w:rsidR="00022655">
        <w:t xml:space="preserve"> (BAS)</w:t>
      </w:r>
      <w:r>
        <w:t xml:space="preserve">. </w:t>
      </w:r>
    </w:p>
    <w:p w:rsidR="00245350" w:rsidRDefault="00DD36B9" w:rsidP="00AB201A">
      <w:r>
        <w:t>A detailed breakdown of the financial implications</w:t>
      </w:r>
      <w:r w:rsidR="00245350">
        <w:t xml:space="preserve"> of the </w:t>
      </w:r>
      <w:r>
        <w:t xml:space="preserve">components of the </w:t>
      </w:r>
      <w:r w:rsidR="00245350">
        <w:t>proposal to 202</w:t>
      </w:r>
      <w:r w:rsidR="003B58CC">
        <w:t>6</w:t>
      </w:r>
      <w:r w:rsidR="00245350">
        <w:t>-2</w:t>
      </w:r>
      <w:r w:rsidR="003B58CC">
        <w:t>7</w:t>
      </w:r>
      <w:r w:rsidR="00245350">
        <w:t xml:space="preserve"> </w:t>
      </w:r>
      <w:r w:rsidR="00DD6846">
        <w:t>is</w:t>
      </w:r>
      <w:r w:rsidR="00245350">
        <w:t xml:space="preserve"> included at </w:t>
      </w:r>
      <w:r w:rsidR="00042A72">
        <w:rPr>
          <w:u w:val="single"/>
        </w:rPr>
        <w:t>Attachment </w:t>
      </w:r>
      <w:r w:rsidR="00245350" w:rsidRPr="00245350">
        <w:rPr>
          <w:u w:val="single"/>
        </w:rPr>
        <w:t>A</w:t>
      </w:r>
      <w:r w:rsidR="00245350">
        <w:t xml:space="preserve">.  </w:t>
      </w:r>
    </w:p>
    <w:p w:rsidR="00245350" w:rsidRDefault="00B00359" w:rsidP="00AB201A">
      <w:pPr>
        <w:keepNext/>
        <w:keepLines/>
      </w:pPr>
      <w:r>
        <w:lastRenderedPageBreak/>
        <w:t>The proposal to reintroduce loss carry back would</w:t>
      </w:r>
      <w:r w:rsidR="00EC5E71">
        <w:t xml:space="preserve"> be expected to</w:t>
      </w:r>
      <w:r>
        <w:t xml:space="preserve"> </w:t>
      </w:r>
      <w:r w:rsidR="007E6330">
        <w:t>in</w:t>
      </w:r>
      <w:r>
        <w:t>crease</w:t>
      </w:r>
      <w:r w:rsidR="00245350" w:rsidRPr="00245350">
        <w:t xml:space="preserve"> departmental expenses</w:t>
      </w:r>
      <w:r>
        <w:t xml:space="preserve"> and these estimates are</w:t>
      </w:r>
      <w:r w:rsidR="00245350" w:rsidRPr="00245350">
        <w:t xml:space="preserve"> based on the amounts</w:t>
      </w:r>
      <w:r w:rsidR="00DE0372">
        <w:t xml:space="preserve"> allocated in the original 2012</w:t>
      </w:r>
      <w:r w:rsidR="008E0CD7">
        <w:noBreakHyphen/>
      </w:r>
      <w:r w:rsidR="00042A72">
        <w:t>13 </w:t>
      </w:r>
      <w:r w:rsidR="00245350" w:rsidRPr="00245350">
        <w:t xml:space="preserve">Budget measure. </w:t>
      </w:r>
      <w:r w:rsidR="005C29B4">
        <w:t xml:space="preserve"> </w:t>
      </w:r>
      <w:r w:rsidR="00AE728E">
        <w:t>The proposal</w:t>
      </w:r>
      <w:r w:rsidR="00DE0372">
        <w:t xml:space="preserve"> to i</w:t>
      </w:r>
      <w:r w:rsidR="00DE0372" w:rsidRPr="00DE0372">
        <w:t>ncrease the</w:t>
      </w:r>
      <w:r w:rsidR="00DE0372">
        <w:t xml:space="preserve"> GST </w:t>
      </w:r>
      <w:r w:rsidR="00DE0372" w:rsidRPr="00DE0372">
        <w:t>registration threshold</w:t>
      </w:r>
      <w:r w:rsidR="00DE0372">
        <w:t xml:space="preserve"> </w:t>
      </w:r>
      <w:r w:rsidR="00172026">
        <w:t>would</w:t>
      </w:r>
      <w:r w:rsidR="00DE0372">
        <w:t xml:space="preserve"> </w:t>
      </w:r>
      <w:r w:rsidR="00B02C2E">
        <w:t xml:space="preserve">be expected to </w:t>
      </w:r>
      <w:r w:rsidR="00DE0372">
        <w:t>decrease</w:t>
      </w:r>
      <w:r w:rsidR="00AE728E">
        <w:t xml:space="preserve"> departmental expenses by $10 million per year, reflecting the reduction in the number of entities registered for the GST.  </w:t>
      </w:r>
    </w:p>
    <w:p w:rsidR="008D3909" w:rsidRPr="00245350" w:rsidRDefault="00245350" w:rsidP="00AB201A">
      <w:r>
        <w:t xml:space="preserve">This costing is considered to be of medium reliability.  The </w:t>
      </w:r>
      <w:r w:rsidR="00DE0372">
        <w:t xml:space="preserve">loss carry-back </w:t>
      </w:r>
      <w:r>
        <w:t>estimates for the proposal are based on detailed company tax data, however assumptions are required regarding the extent to which losses would be able to be utilised over time.</w:t>
      </w:r>
      <w:r w:rsidR="00843F66">
        <w:t xml:space="preserve"> </w:t>
      </w:r>
      <w:r w:rsidR="00DE0372">
        <w:t xml:space="preserve"> </w:t>
      </w:r>
      <w:r w:rsidR="00AB7BB4">
        <w:t>T</w:t>
      </w:r>
      <w:r w:rsidR="00DE0372">
        <w:t xml:space="preserve">he </w:t>
      </w:r>
      <w:r w:rsidR="00AB7BB4">
        <w:t xml:space="preserve">estimates for the </w:t>
      </w:r>
      <w:r w:rsidR="00DE0372">
        <w:t xml:space="preserve">GST </w:t>
      </w:r>
      <w:r w:rsidR="00DE0372" w:rsidRPr="00DE0372">
        <w:t>registration threshold</w:t>
      </w:r>
      <w:r w:rsidR="00DE0372">
        <w:t xml:space="preserve"> component</w:t>
      </w:r>
      <w:r w:rsidR="00843F66" w:rsidRPr="00843F66">
        <w:t xml:space="preserve"> </w:t>
      </w:r>
      <w:r w:rsidR="00AB7BB4">
        <w:t>are</w:t>
      </w:r>
      <w:r w:rsidR="00843F66" w:rsidRPr="00843F66">
        <w:t xml:space="preserve"> based on unit record data, </w:t>
      </w:r>
      <w:r w:rsidR="00AB7BB4">
        <w:t xml:space="preserve">however </w:t>
      </w:r>
      <w:r w:rsidR="00843F66" w:rsidRPr="00843F66">
        <w:t>assumptions are required to estimate the number of entities within the proposed new thresholds and the behavioural response of those entities.</w:t>
      </w:r>
    </w:p>
    <w:p w:rsidR="005E3562" w:rsidRPr="00FC6579" w:rsidRDefault="005E3562" w:rsidP="00FC6579">
      <w:pPr>
        <w:pStyle w:val="Captionheading"/>
      </w:pPr>
      <w:r w:rsidRPr="00FC6579">
        <w:t xml:space="preserve">Table </w:t>
      </w:r>
      <w:r w:rsidR="001A02D1" w:rsidRPr="00FC6579">
        <w:t>1</w:t>
      </w:r>
      <w:r w:rsidRPr="00FC6579">
        <w:t>: Financial implications (outturn prices)</w:t>
      </w:r>
      <w:r w:rsidRPr="00844776">
        <w:rPr>
          <w:vertAlign w:val="superscript"/>
        </w:rPr>
        <w:t>(a)</w:t>
      </w:r>
      <w:r w:rsidR="00C60FCF">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AB20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vAlign w:val="center"/>
          </w:tcPr>
          <w:p w:rsidR="00CA5D42" w:rsidRPr="00B73AC8" w:rsidRDefault="00CA5D42" w:rsidP="00AB201A">
            <w:pPr>
              <w:pStyle w:val="TableText"/>
              <w:keepNext/>
              <w:keepLines/>
              <w:spacing w:line="240" w:lineRule="auto"/>
              <w:ind w:left="57" w:right="57"/>
              <w:rPr>
                <w:rFonts w:ascii="Calibri" w:hAnsi="Calibri"/>
                <w:szCs w:val="20"/>
              </w:rPr>
            </w:pPr>
            <w:r w:rsidRPr="00B73AC8">
              <w:rPr>
                <w:rFonts w:ascii="Calibri" w:hAnsi="Calibri"/>
                <w:szCs w:val="20"/>
              </w:rPr>
              <w:t>Impact on</w:t>
            </w:r>
            <w:r w:rsidR="00461597">
              <w:rPr>
                <w:rFonts w:ascii="Calibri" w:hAnsi="Calibri"/>
                <w:szCs w:val="20"/>
              </w:rPr>
              <w:t xml:space="preserve"> ($m)</w:t>
            </w:r>
          </w:p>
        </w:tc>
        <w:tc>
          <w:tcPr>
            <w:tcW w:w="682" w:type="pct"/>
            <w:vAlign w:val="center"/>
          </w:tcPr>
          <w:p w:rsidR="00CA5D42" w:rsidRPr="00B73AC8" w:rsidRDefault="00CA5D42" w:rsidP="00AB201A">
            <w:pPr>
              <w:keepNext/>
              <w:keepLines/>
              <w:spacing w:before="70" w:after="70" w:line="240" w:lineRule="auto"/>
              <w:ind w:left="57" w:right="57"/>
              <w:jc w:val="left"/>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2016–17</w:t>
            </w:r>
          </w:p>
        </w:tc>
        <w:tc>
          <w:tcPr>
            <w:tcW w:w="682" w:type="pct"/>
            <w:vAlign w:val="center"/>
          </w:tcPr>
          <w:p w:rsidR="00CA5D42" w:rsidRPr="00B73AC8" w:rsidRDefault="00CA5D42" w:rsidP="00AB201A">
            <w:pPr>
              <w:keepNext/>
              <w:keepLines/>
              <w:spacing w:before="70" w:after="70" w:line="240" w:lineRule="auto"/>
              <w:ind w:left="57" w:right="57"/>
              <w:jc w:val="left"/>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2017–18</w:t>
            </w:r>
          </w:p>
        </w:tc>
        <w:tc>
          <w:tcPr>
            <w:tcW w:w="682" w:type="pct"/>
            <w:vAlign w:val="center"/>
          </w:tcPr>
          <w:p w:rsidR="00CA5D42" w:rsidRPr="00B73AC8" w:rsidRDefault="00CA5D42" w:rsidP="00AB201A">
            <w:pPr>
              <w:keepNext/>
              <w:keepLines/>
              <w:spacing w:before="70" w:after="70" w:line="240" w:lineRule="auto"/>
              <w:ind w:left="57" w:right="57"/>
              <w:jc w:val="left"/>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2018–19</w:t>
            </w:r>
          </w:p>
        </w:tc>
        <w:tc>
          <w:tcPr>
            <w:tcW w:w="682" w:type="pct"/>
            <w:vAlign w:val="center"/>
          </w:tcPr>
          <w:p w:rsidR="00CA5D42" w:rsidRPr="00B73AC8" w:rsidRDefault="00CA5D42" w:rsidP="00AB201A">
            <w:pPr>
              <w:keepNext/>
              <w:keepLines/>
              <w:spacing w:before="70" w:after="70" w:line="240" w:lineRule="auto"/>
              <w:ind w:left="57" w:right="57"/>
              <w:jc w:val="lef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B73AC8">
              <w:rPr>
                <w:rFonts w:ascii="Calibri" w:hAnsi="Calibri"/>
                <w:szCs w:val="20"/>
              </w:rPr>
              <w:t>2019–20</w:t>
            </w:r>
          </w:p>
        </w:tc>
        <w:tc>
          <w:tcPr>
            <w:tcW w:w="681" w:type="pct"/>
            <w:vAlign w:val="center"/>
          </w:tcPr>
          <w:p w:rsidR="00CA5D42" w:rsidRPr="005E6385" w:rsidRDefault="00CA5D42" w:rsidP="00AB201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5E6385">
              <w:rPr>
                <w:rFonts w:ascii="Calibri" w:hAnsi="Calibri"/>
                <w:b/>
                <w:szCs w:val="20"/>
              </w:rPr>
              <w:t>Total</w:t>
            </w:r>
          </w:p>
        </w:tc>
      </w:tr>
      <w:tr w:rsidR="00BA31DA" w:rsidRPr="00B73AC8" w:rsidTr="00AB2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BA31DA" w:rsidRPr="00B73AC8" w:rsidRDefault="00BA31DA" w:rsidP="00AB201A">
            <w:pPr>
              <w:pStyle w:val="TableTextCentred"/>
              <w:keepNext/>
              <w:keepLines/>
              <w:spacing w:line="240" w:lineRule="auto"/>
              <w:ind w:left="57" w:right="57"/>
              <w:jc w:val="left"/>
              <w:rPr>
                <w:szCs w:val="20"/>
              </w:rPr>
            </w:pPr>
            <w:r w:rsidRPr="00B73AC8">
              <w:rPr>
                <w:szCs w:val="20"/>
              </w:rPr>
              <w:t>Fiscal balance</w:t>
            </w:r>
          </w:p>
        </w:tc>
        <w:tc>
          <w:tcPr>
            <w:tcW w:w="682" w:type="pct"/>
          </w:tcPr>
          <w:p w:rsidR="00BA31DA" w:rsidRPr="002F4666" w:rsidRDefault="00BA31DA" w:rsidP="00AB201A">
            <w:pPr>
              <w:pStyle w:val="TableTextRight"/>
              <w:spacing w:line="240" w:lineRule="auto"/>
              <w:ind w:left="57" w:right="57"/>
              <w:jc w:val="left"/>
              <w:cnfStyle w:val="000000100000" w:firstRow="0" w:lastRow="0" w:firstColumn="0" w:lastColumn="0" w:oddVBand="0" w:evenVBand="0" w:oddHBand="1" w:evenHBand="0" w:firstRowFirstColumn="0" w:firstRowLastColumn="0" w:lastRowFirstColumn="0" w:lastRowLastColumn="0"/>
              <w:rPr>
                <w:i w:val="0"/>
              </w:rPr>
            </w:pPr>
            <w:r w:rsidRPr="002F4666">
              <w:rPr>
                <w:i w:val="0"/>
              </w:rPr>
              <w:t xml:space="preserve">-6.9 </w:t>
            </w:r>
          </w:p>
        </w:tc>
        <w:tc>
          <w:tcPr>
            <w:tcW w:w="682" w:type="pct"/>
          </w:tcPr>
          <w:p w:rsidR="00BA31DA" w:rsidRPr="002F4666" w:rsidRDefault="00BA31DA" w:rsidP="00AB201A">
            <w:pPr>
              <w:pStyle w:val="TableTextRight"/>
              <w:spacing w:line="240" w:lineRule="auto"/>
              <w:ind w:left="57" w:right="57"/>
              <w:jc w:val="left"/>
              <w:cnfStyle w:val="000000100000" w:firstRow="0" w:lastRow="0" w:firstColumn="0" w:lastColumn="0" w:oddVBand="0" w:evenVBand="0" w:oddHBand="1" w:evenHBand="0" w:firstRowFirstColumn="0" w:firstRowLastColumn="0" w:lastRowFirstColumn="0" w:lastRowLastColumn="0"/>
              <w:rPr>
                <w:i w:val="0"/>
              </w:rPr>
            </w:pPr>
            <w:r w:rsidRPr="002F4666">
              <w:rPr>
                <w:i w:val="0"/>
              </w:rPr>
              <w:t xml:space="preserve">-355.3 </w:t>
            </w:r>
          </w:p>
        </w:tc>
        <w:tc>
          <w:tcPr>
            <w:tcW w:w="682" w:type="pct"/>
          </w:tcPr>
          <w:p w:rsidR="00BA31DA" w:rsidRPr="002F4666" w:rsidRDefault="00BA31DA" w:rsidP="00AB201A">
            <w:pPr>
              <w:pStyle w:val="TableTextRight"/>
              <w:spacing w:line="240" w:lineRule="auto"/>
              <w:ind w:left="57" w:right="57"/>
              <w:jc w:val="left"/>
              <w:cnfStyle w:val="000000100000" w:firstRow="0" w:lastRow="0" w:firstColumn="0" w:lastColumn="0" w:oddVBand="0" w:evenVBand="0" w:oddHBand="1" w:evenHBand="0" w:firstRowFirstColumn="0" w:firstRowLastColumn="0" w:lastRowFirstColumn="0" w:lastRowLastColumn="0"/>
              <w:rPr>
                <w:i w:val="0"/>
              </w:rPr>
            </w:pPr>
            <w:r w:rsidRPr="002F4666">
              <w:rPr>
                <w:i w:val="0"/>
              </w:rPr>
              <w:t xml:space="preserve">-101.3 </w:t>
            </w:r>
          </w:p>
        </w:tc>
        <w:tc>
          <w:tcPr>
            <w:tcW w:w="682" w:type="pct"/>
          </w:tcPr>
          <w:p w:rsidR="00BA31DA" w:rsidRPr="002F4666" w:rsidRDefault="00BA31DA" w:rsidP="00AB201A">
            <w:pPr>
              <w:pStyle w:val="TableTextRight"/>
              <w:spacing w:line="240" w:lineRule="auto"/>
              <w:ind w:left="57" w:right="57"/>
              <w:jc w:val="left"/>
              <w:cnfStyle w:val="000000100000" w:firstRow="0" w:lastRow="0" w:firstColumn="0" w:lastColumn="0" w:oddVBand="0" w:evenVBand="0" w:oddHBand="1" w:evenHBand="0" w:firstRowFirstColumn="0" w:firstRowLastColumn="0" w:lastRowFirstColumn="0" w:lastRowLastColumn="0"/>
              <w:rPr>
                <w:i w:val="0"/>
              </w:rPr>
            </w:pPr>
            <w:r w:rsidRPr="002F4666">
              <w:rPr>
                <w:i w:val="0"/>
              </w:rPr>
              <w:t xml:space="preserve">-150.8 </w:t>
            </w:r>
          </w:p>
        </w:tc>
        <w:tc>
          <w:tcPr>
            <w:tcW w:w="681" w:type="pct"/>
          </w:tcPr>
          <w:p w:rsidR="00BA31DA" w:rsidRPr="002F4666" w:rsidRDefault="00BA31DA" w:rsidP="00AB201A">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i w:val="0"/>
              </w:rPr>
            </w:pPr>
            <w:r w:rsidRPr="002F4666">
              <w:rPr>
                <w:b/>
                <w:i w:val="0"/>
              </w:rPr>
              <w:t xml:space="preserve">-614.3 </w:t>
            </w:r>
          </w:p>
        </w:tc>
      </w:tr>
      <w:tr w:rsidR="00BA31DA" w:rsidRPr="00B73AC8" w:rsidTr="00AB201A">
        <w:tc>
          <w:tcPr>
            <w:cnfStyle w:val="001000000000" w:firstRow="0" w:lastRow="0" w:firstColumn="1" w:lastColumn="0" w:oddVBand="0" w:evenVBand="0" w:oddHBand="0" w:evenHBand="0" w:firstRowFirstColumn="0" w:firstRowLastColumn="0" w:lastRowFirstColumn="0" w:lastRowLastColumn="0"/>
            <w:tcW w:w="1591" w:type="pct"/>
          </w:tcPr>
          <w:p w:rsidR="00BA31DA" w:rsidRPr="00B73AC8" w:rsidRDefault="00BA31DA" w:rsidP="00AB201A">
            <w:pPr>
              <w:pStyle w:val="TableTextCentred"/>
              <w:keepNext/>
              <w:keepLines/>
              <w:spacing w:line="240" w:lineRule="auto"/>
              <w:ind w:left="57" w:right="57"/>
              <w:jc w:val="left"/>
              <w:rPr>
                <w:szCs w:val="20"/>
              </w:rPr>
            </w:pPr>
            <w:r w:rsidRPr="00B73AC8">
              <w:rPr>
                <w:szCs w:val="20"/>
              </w:rPr>
              <w:t>Underlying cash balance</w:t>
            </w:r>
          </w:p>
        </w:tc>
        <w:tc>
          <w:tcPr>
            <w:tcW w:w="682" w:type="pct"/>
          </w:tcPr>
          <w:p w:rsidR="00BA31DA" w:rsidRPr="002F4666" w:rsidRDefault="00BA31DA" w:rsidP="00AB201A">
            <w:pPr>
              <w:pStyle w:val="TableTextRight"/>
              <w:spacing w:line="240" w:lineRule="auto"/>
              <w:ind w:left="57" w:right="57"/>
              <w:jc w:val="left"/>
              <w:cnfStyle w:val="000000000000" w:firstRow="0" w:lastRow="0" w:firstColumn="0" w:lastColumn="0" w:oddVBand="0" w:evenVBand="0" w:oddHBand="0" w:evenHBand="0" w:firstRowFirstColumn="0" w:firstRowLastColumn="0" w:lastRowFirstColumn="0" w:lastRowLastColumn="0"/>
              <w:rPr>
                <w:i w:val="0"/>
              </w:rPr>
            </w:pPr>
            <w:r w:rsidRPr="002F4666">
              <w:rPr>
                <w:i w:val="0"/>
              </w:rPr>
              <w:t xml:space="preserve">-6.9 </w:t>
            </w:r>
          </w:p>
        </w:tc>
        <w:tc>
          <w:tcPr>
            <w:tcW w:w="682" w:type="pct"/>
          </w:tcPr>
          <w:p w:rsidR="00BA31DA" w:rsidRPr="002F4666" w:rsidRDefault="00BA31DA" w:rsidP="00AB201A">
            <w:pPr>
              <w:pStyle w:val="TableTextRight"/>
              <w:spacing w:line="240" w:lineRule="auto"/>
              <w:ind w:left="57" w:right="57"/>
              <w:jc w:val="left"/>
              <w:cnfStyle w:val="000000000000" w:firstRow="0" w:lastRow="0" w:firstColumn="0" w:lastColumn="0" w:oddVBand="0" w:evenVBand="0" w:oddHBand="0" w:evenHBand="0" w:firstRowFirstColumn="0" w:firstRowLastColumn="0" w:lastRowFirstColumn="0" w:lastRowLastColumn="0"/>
              <w:rPr>
                <w:i w:val="0"/>
              </w:rPr>
            </w:pPr>
            <w:r w:rsidRPr="002F4666">
              <w:rPr>
                <w:i w:val="0"/>
              </w:rPr>
              <w:t xml:space="preserve">-55.3 </w:t>
            </w:r>
          </w:p>
        </w:tc>
        <w:tc>
          <w:tcPr>
            <w:tcW w:w="682" w:type="pct"/>
          </w:tcPr>
          <w:p w:rsidR="00BA31DA" w:rsidRPr="002F4666" w:rsidRDefault="00BA31DA" w:rsidP="00AB201A">
            <w:pPr>
              <w:pStyle w:val="TableTextRight"/>
              <w:spacing w:line="240" w:lineRule="auto"/>
              <w:ind w:left="57" w:right="57"/>
              <w:jc w:val="left"/>
              <w:cnfStyle w:val="000000000000" w:firstRow="0" w:lastRow="0" w:firstColumn="0" w:lastColumn="0" w:oddVBand="0" w:evenVBand="0" w:oddHBand="0" w:evenHBand="0" w:firstRowFirstColumn="0" w:firstRowLastColumn="0" w:lastRowFirstColumn="0" w:lastRowLastColumn="0"/>
              <w:rPr>
                <w:i w:val="0"/>
              </w:rPr>
            </w:pPr>
            <w:r w:rsidRPr="002F4666">
              <w:rPr>
                <w:i w:val="0"/>
              </w:rPr>
              <w:t xml:space="preserve">-101.3 </w:t>
            </w:r>
          </w:p>
        </w:tc>
        <w:tc>
          <w:tcPr>
            <w:tcW w:w="682" w:type="pct"/>
          </w:tcPr>
          <w:p w:rsidR="00BA31DA" w:rsidRPr="002F4666" w:rsidRDefault="00BA31DA" w:rsidP="00AB201A">
            <w:pPr>
              <w:pStyle w:val="TableTextRight"/>
              <w:spacing w:line="240" w:lineRule="auto"/>
              <w:ind w:left="57" w:right="57"/>
              <w:jc w:val="left"/>
              <w:cnfStyle w:val="000000000000" w:firstRow="0" w:lastRow="0" w:firstColumn="0" w:lastColumn="0" w:oddVBand="0" w:evenVBand="0" w:oddHBand="0" w:evenHBand="0" w:firstRowFirstColumn="0" w:firstRowLastColumn="0" w:lastRowFirstColumn="0" w:lastRowLastColumn="0"/>
              <w:rPr>
                <w:i w:val="0"/>
              </w:rPr>
            </w:pPr>
            <w:r w:rsidRPr="002F4666">
              <w:rPr>
                <w:i w:val="0"/>
              </w:rPr>
              <w:t xml:space="preserve">-150.8 </w:t>
            </w:r>
          </w:p>
        </w:tc>
        <w:tc>
          <w:tcPr>
            <w:tcW w:w="681" w:type="pct"/>
          </w:tcPr>
          <w:p w:rsidR="00BA31DA" w:rsidRPr="002F4666" w:rsidRDefault="00BA31DA"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2F4666">
              <w:rPr>
                <w:b/>
                <w:i w:val="0"/>
              </w:rPr>
              <w:t xml:space="preserve">-314.3 </w:t>
            </w:r>
          </w:p>
        </w:tc>
      </w:tr>
    </w:tbl>
    <w:p w:rsidR="007B51F9" w:rsidRPr="00AB201A" w:rsidRDefault="007B51F9" w:rsidP="00AB201A">
      <w:pPr>
        <w:pStyle w:val="Footnotes"/>
        <w:ind w:left="284" w:hanging="284"/>
      </w:pPr>
      <w:r w:rsidRPr="00AB201A">
        <w:t>A positive number represents an increase in the relevant budget balan</w:t>
      </w:r>
      <w:r w:rsidR="00245350" w:rsidRPr="00AB201A">
        <w:t>ce, a negative number</w:t>
      </w:r>
      <w:r w:rsidRPr="00AB201A">
        <w:t xml:space="preserve"> a decrease.</w:t>
      </w:r>
    </w:p>
    <w:p w:rsidR="007B51F9" w:rsidRPr="00AB201A" w:rsidRDefault="007B51F9" w:rsidP="00AB201A">
      <w:pPr>
        <w:pStyle w:val="Footnotes"/>
        <w:ind w:left="284" w:hanging="284"/>
      </w:pPr>
      <w:r w:rsidRPr="00AB201A">
        <w:t>Figures may not sum to totals due to rounding.</w:t>
      </w:r>
    </w:p>
    <w:p w:rsidR="008D3909" w:rsidRPr="00FC6579" w:rsidRDefault="005E3562" w:rsidP="00E40B8B">
      <w:pPr>
        <w:pStyle w:val="Heading2"/>
      </w:pPr>
      <w:r w:rsidRPr="00FC6579">
        <w:t>Key assumptions</w:t>
      </w:r>
    </w:p>
    <w:p w:rsidR="00DA2B54" w:rsidRDefault="008E0CD7" w:rsidP="00DA2B54">
      <w:pPr>
        <w:pStyle w:val="Heading3"/>
      </w:pPr>
      <w:r>
        <w:t>Reinstate l</w:t>
      </w:r>
      <w:r w:rsidR="00DA2B54">
        <w:t>oss carry</w:t>
      </w:r>
      <w:r>
        <w:noBreakHyphen/>
      </w:r>
      <w:r w:rsidR="00DA2B54">
        <w:t>back</w:t>
      </w:r>
    </w:p>
    <w:p w:rsidR="00245350" w:rsidRPr="00AB201A" w:rsidRDefault="00245350" w:rsidP="00AB201A">
      <w:pPr>
        <w:pStyle w:val="Bullet1"/>
      </w:pPr>
      <w:r w:rsidRPr="00AB201A">
        <w:t xml:space="preserve">Eligible taxpayers are assumed to claim the full amount of the loss carry-back as soon as it is available. </w:t>
      </w:r>
    </w:p>
    <w:p w:rsidR="00245350" w:rsidRPr="00AB201A" w:rsidRDefault="00245350" w:rsidP="00AB201A">
      <w:pPr>
        <w:pStyle w:val="Bullet1"/>
      </w:pPr>
      <w:r w:rsidRPr="00AB201A">
        <w:t>The proportion of prior year loss deductions able to be utilised in the absence of tax loss carry-back was assumed to be equal to its historical average.</w:t>
      </w:r>
    </w:p>
    <w:p w:rsidR="00245350" w:rsidRPr="00AB201A" w:rsidRDefault="00245350" w:rsidP="00AB201A">
      <w:pPr>
        <w:pStyle w:val="Bullet1"/>
      </w:pPr>
      <w:r w:rsidRPr="00AB201A">
        <w:t>The reintroduction of loss carry</w:t>
      </w:r>
      <w:r w:rsidR="00042A72" w:rsidRPr="00AB201A">
        <w:t>-back would apply from the 2016</w:t>
      </w:r>
      <w:r w:rsidR="00042A72" w:rsidRPr="00AB201A">
        <w:noBreakHyphen/>
      </w:r>
      <w:r w:rsidRPr="00AB201A">
        <w:t>17 income year.</w:t>
      </w:r>
    </w:p>
    <w:p w:rsidR="00DA2B54" w:rsidRPr="00843F66" w:rsidRDefault="008E0CD7" w:rsidP="00DA2B54">
      <w:pPr>
        <w:pStyle w:val="Heading3"/>
      </w:pPr>
      <w:r>
        <w:t xml:space="preserve">Increase </w:t>
      </w:r>
      <w:r w:rsidR="00DA2B54">
        <w:t>GST registration threshold</w:t>
      </w:r>
    </w:p>
    <w:p w:rsidR="00843F66" w:rsidRPr="00AB201A" w:rsidRDefault="00843F66" w:rsidP="00AB201A">
      <w:pPr>
        <w:pStyle w:val="Bullet1"/>
        <w:keepLines w:val="0"/>
      </w:pPr>
      <w:r w:rsidRPr="00AB201A">
        <w:t>The proportion of GST attributable to entities that that are under the new thresholds does not change due to the CPI indexation of the thresholds.</w:t>
      </w:r>
    </w:p>
    <w:p w:rsidR="00843F66" w:rsidRPr="00AB201A" w:rsidRDefault="00843F66" w:rsidP="00AB201A">
      <w:pPr>
        <w:pStyle w:val="Bullet1"/>
        <w:keepLines w:val="0"/>
      </w:pPr>
      <w:r w:rsidRPr="00AB201A">
        <w:t>The change in threshold does not change the projected growth of an entity’s revenue.</w:t>
      </w:r>
    </w:p>
    <w:p w:rsidR="00843F66" w:rsidRPr="00AB201A" w:rsidRDefault="008E0CD7" w:rsidP="00AB201A">
      <w:pPr>
        <w:pStyle w:val="Bullet1"/>
        <w:keepLines w:val="0"/>
      </w:pPr>
      <w:r w:rsidRPr="00AB201A">
        <w:t>The proportion of entities that are</w:t>
      </w:r>
      <w:r w:rsidR="00843F66" w:rsidRPr="00AB201A">
        <w:t xml:space="preserve"> non-profit entities is based on information from a Productivity Commission report on the number of organisations with an active tax status classified as not-for-profit by the </w:t>
      </w:r>
      <w:r w:rsidR="00022655" w:rsidRPr="00AB201A">
        <w:t>Australian Taxation Office (</w:t>
      </w:r>
      <w:r w:rsidR="00843F66" w:rsidRPr="00AB201A">
        <w:t>ATO</w:t>
      </w:r>
      <w:r w:rsidR="00022655" w:rsidRPr="00AB201A">
        <w:t>)</w:t>
      </w:r>
      <w:r w:rsidR="00843F66" w:rsidRPr="00AB201A">
        <w:t>.</w:t>
      </w:r>
    </w:p>
    <w:p w:rsidR="00843F66" w:rsidRPr="00AB201A" w:rsidRDefault="00843F66" w:rsidP="00AB201A">
      <w:pPr>
        <w:pStyle w:val="Bullet1"/>
        <w:keepNext/>
      </w:pPr>
      <w:r w:rsidRPr="00AB201A">
        <w:lastRenderedPageBreak/>
        <w:t>Some entities that have turnover below the threshold will choose to remain registered for GST.</w:t>
      </w:r>
    </w:p>
    <w:p w:rsidR="00843F66" w:rsidRPr="00AB201A" w:rsidRDefault="00843F66" w:rsidP="00AB201A">
      <w:pPr>
        <w:pStyle w:val="Bullet2"/>
      </w:pPr>
      <w:r w:rsidRPr="00AB201A">
        <w:t>It is assumed that all businesses that receive net refunds of GST wo</w:t>
      </w:r>
      <w:r w:rsidR="008B6684" w:rsidRPr="00AB201A">
        <w:t>uld choose to remain registered.</w:t>
      </w:r>
    </w:p>
    <w:p w:rsidR="00843F66" w:rsidRPr="00AB201A" w:rsidRDefault="00843F66" w:rsidP="00AB201A">
      <w:pPr>
        <w:pStyle w:val="Bullet2"/>
      </w:pPr>
      <w:r w:rsidRPr="00AB201A">
        <w:t xml:space="preserve">It is also assumed that 50 per cent of entities who have a net GST liability would choose to remain registered for GST.  </w:t>
      </w:r>
    </w:p>
    <w:p w:rsidR="005E3562" w:rsidRPr="00FC6579" w:rsidRDefault="005E3562" w:rsidP="00245350">
      <w:pPr>
        <w:pStyle w:val="Heading2"/>
      </w:pPr>
      <w:r w:rsidRPr="00FC6579">
        <w:t>Methodology</w:t>
      </w:r>
    </w:p>
    <w:p w:rsidR="006B264E" w:rsidRPr="006B264E" w:rsidRDefault="006B264E" w:rsidP="006B264E">
      <w:r w:rsidRPr="006B264E">
        <w:t xml:space="preserve">The impact of the </w:t>
      </w:r>
      <w:r w:rsidR="00A05DE7" w:rsidRPr="00A05DE7">
        <w:t xml:space="preserve">reintroduction of loss carry-back </w:t>
      </w:r>
      <w:r w:rsidRPr="006B264E">
        <w:t>is the sum of the refund of previous taxes claimed under the loss carry back rules and the increase in taxes that would result from the reduction in the level of losses able to be utilised in subsequent years.</w:t>
      </w:r>
      <w:r w:rsidR="006D6D39">
        <w:t xml:space="preserve">  </w:t>
      </w:r>
    </w:p>
    <w:p w:rsidR="00843F66" w:rsidRDefault="00ED32D4" w:rsidP="00843F66">
      <w:r w:rsidRPr="00ED32D4">
        <w:t xml:space="preserve">Estimates of the net amount of GST paid by entities which currently have to register for GST but that would no longer have to register as a result of this proposal were calculated using unit record file data from </w:t>
      </w:r>
      <w:r w:rsidR="00071D58">
        <w:t>2012</w:t>
      </w:r>
      <w:r w:rsidR="00071D58">
        <w:noBreakHyphen/>
      </w:r>
      <w:r w:rsidR="00843F66">
        <w:t xml:space="preserve">13 </w:t>
      </w:r>
      <w:r w:rsidR="00022655">
        <w:t>BAS unit record file data.</w:t>
      </w:r>
      <w:r w:rsidR="00843F66">
        <w:t xml:space="preserve">  This estimate was projected forward using forecast growth in GST revenue from the </w:t>
      </w:r>
      <w:r w:rsidR="00071D58">
        <w:t>2016 </w:t>
      </w:r>
      <w:r w:rsidR="00375F3A" w:rsidRPr="00375F3A">
        <w:t>Pre-election Economic and Fiscal Outlook</w:t>
      </w:r>
      <w:r w:rsidR="00843F66">
        <w:t>.</w:t>
      </w:r>
    </w:p>
    <w:p w:rsidR="006B264E" w:rsidRPr="00ED6D82" w:rsidRDefault="002F4666" w:rsidP="00843F66">
      <w:r>
        <w:t>R</w:t>
      </w:r>
      <w:r w:rsidR="00ED6D82">
        <w:t xml:space="preserve">evenue and </w:t>
      </w:r>
      <w:r>
        <w:t>administered expenditure</w:t>
      </w:r>
      <w:r w:rsidR="00ED6D82">
        <w:t xml:space="preserve"> e</w:t>
      </w:r>
      <w:r w:rsidR="00843F66">
        <w:t>stimates in this costing have been rounded to the nearest $50 million.</w:t>
      </w:r>
      <w:r w:rsidR="005C29B4">
        <w:t xml:space="preserve"> </w:t>
      </w:r>
      <w:r w:rsidR="00ED6D82">
        <w:t xml:space="preserve"> </w:t>
      </w:r>
      <w:r w:rsidR="006B264E" w:rsidRPr="006B264E">
        <w:t xml:space="preserve">Departmental </w:t>
      </w:r>
      <w:r>
        <w:t>expenditure</w:t>
      </w:r>
      <w:r w:rsidR="006B264E" w:rsidRPr="006B264E">
        <w:t xml:space="preserve"> and capital estimates have been ro</w:t>
      </w:r>
      <w:r w:rsidR="00A05DE7">
        <w:t>unded to the nearest $100,000.</w:t>
      </w:r>
    </w:p>
    <w:p w:rsidR="005E3562" w:rsidRPr="00FC6579" w:rsidRDefault="005E3562" w:rsidP="006B264E">
      <w:pPr>
        <w:pStyle w:val="Heading2"/>
      </w:pPr>
      <w:r w:rsidRPr="00FC6579">
        <w:t>Data sources</w:t>
      </w:r>
    </w:p>
    <w:p w:rsidR="006B264E" w:rsidRPr="00AB201A" w:rsidRDefault="006B264E" w:rsidP="00AB201A">
      <w:pPr>
        <w:pStyle w:val="Bullet1"/>
      </w:pPr>
      <w:r w:rsidRPr="00AB201A">
        <w:t>2012-13 Budget</w:t>
      </w:r>
    </w:p>
    <w:p w:rsidR="006B264E" w:rsidRPr="00AB201A" w:rsidRDefault="006B264E" w:rsidP="00AB201A">
      <w:pPr>
        <w:pStyle w:val="Bullet1"/>
      </w:pPr>
      <w:r w:rsidRPr="00AB201A">
        <w:t>2013 Pre-election Economic and Fiscal Outlook</w:t>
      </w:r>
    </w:p>
    <w:p w:rsidR="006B264E" w:rsidRPr="00AB201A" w:rsidRDefault="006B264E" w:rsidP="00AB201A">
      <w:pPr>
        <w:pStyle w:val="Bullet1"/>
      </w:pPr>
      <w:r w:rsidRPr="00AB201A">
        <w:t>2013-14 Budget</w:t>
      </w:r>
    </w:p>
    <w:p w:rsidR="00CA5D42" w:rsidRPr="00AB201A" w:rsidRDefault="006B264E" w:rsidP="00AB201A">
      <w:pPr>
        <w:pStyle w:val="Bullet1"/>
      </w:pPr>
      <w:r w:rsidRPr="00AB201A">
        <w:t>2016 Pre-election Economic and Fiscal Outlook</w:t>
      </w:r>
    </w:p>
    <w:p w:rsidR="00843F66" w:rsidRPr="00AB201A" w:rsidRDefault="00843F66" w:rsidP="00AB201A">
      <w:pPr>
        <w:pStyle w:val="Bullet1"/>
      </w:pPr>
      <w:r w:rsidRPr="00AB201A">
        <w:t>ATO, BAS Unit Record Data</w:t>
      </w:r>
    </w:p>
    <w:p w:rsidR="00843F66" w:rsidRPr="00AB201A" w:rsidRDefault="00843F66" w:rsidP="00AB201A">
      <w:pPr>
        <w:pStyle w:val="Bullet1"/>
      </w:pPr>
      <w:r w:rsidRPr="00AB201A">
        <w:t>Productivity Commission (2010), Contribution of the Not-for-Profit Sector</w:t>
      </w:r>
    </w:p>
    <w:p w:rsidR="00843F66" w:rsidRDefault="00843F66" w:rsidP="00AB201A"/>
    <w:p w:rsidR="00843F66" w:rsidRPr="00C50419" w:rsidRDefault="00843F66" w:rsidP="00AB201A">
      <w:pPr>
        <w:sectPr w:rsidR="00843F66" w:rsidRPr="00C50419" w:rsidSect="00002D5D">
          <w:headerReference w:type="first" r:id="rId14"/>
          <w:footerReference w:type="first" r:id="rId15"/>
          <w:pgSz w:w="11906" w:h="16838"/>
          <w:pgMar w:top="1361" w:right="1797" w:bottom="1474" w:left="1797" w:header="709" w:footer="709" w:gutter="0"/>
          <w:cols w:space="708"/>
          <w:titlePg/>
          <w:docGrid w:linePitch="360"/>
        </w:sectPr>
      </w:pPr>
    </w:p>
    <w:p w:rsidR="001A02D1" w:rsidRPr="00FC6579" w:rsidRDefault="001A02D1" w:rsidP="0082072B">
      <w:pPr>
        <w:pStyle w:val="Heading1"/>
      </w:pPr>
      <w:r w:rsidRPr="00FC6579">
        <w:lastRenderedPageBreak/>
        <w:t>Attachment A:</w:t>
      </w:r>
      <w:r w:rsidR="00841C3A">
        <w:t xml:space="preserve"> </w:t>
      </w:r>
      <w:r w:rsidR="0082072B" w:rsidRPr="0082072B">
        <w:t>Standing Up for Small Business: Lo</w:t>
      </w:r>
      <w:r w:rsidR="008B6684">
        <w:t>ss Carry-back and GST Threshold</w:t>
      </w:r>
      <w:r w:rsidR="00440E32">
        <w:t>—</w:t>
      </w:r>
      <w:r w:rsidR="008B6684">
        <w:t>f</w:t>
      </w:r>
      <w:r w:rsidR="00440E32">
        <w:t>inancial</w:t>
      </w:r>
      <w:r w:rsidR="00841C3A">
        <w:t> </w:t>
      </w:r>
      <w:r w:rsidR="00440E32">
        <w:t>implications</w:t>
      </w:r>
    </w:p>
    <w:p w:rsidR="00F149FB" w:rsidRDefault="00F149FB" w:rsidP="00F149FB">
      <w:pPr>
        <w:pStyle w:val="Captionheading"/>
      </w:pPr>
      <w:r>
        <w:t>Table A1: Combined impact of all c</w:t>
      </w:r>
      <w:r w:rsidR="00740735">
        <w:t>omponents—Fiscal balance</w:t>
      </w:r>
      <w:r>
        <w:rPr>
          <w:vertAlign w:val="superscript"/>
        </w:rPr>
        <w:t>(a)(b)</w:t>
      </w:r>
    </w:p>
    <w:tbl>
      <w:tblPr>
        <w:tblStyle w:val="TableGrid"/>
        <w:tblW w:w="5031" w:type="pct"/>
        <w:tblLook w:val="0680" w:firstRow="0" w:lastRow="0" w:firstColumn="1" w:lastColumn="0" w:noHBand="1" w:noVBand="1"/>
      </w:tblPr>
      <w:tblGrid>
        <w:gridCol w:w="1992"/>
        <w:gridCol w:w="909"/>
        <w:gridCol w:w="905"/>
        <w:gridCol w:w="905"/>
        <w:gridCol w:w="902"/>
        <w:gridCol w:w="993"/>
        <w:gridCol w:w="902"/>
        <w:gridCol w:w="902"/>
        <w:gridCol w:w="905"/>
        <w:gridCol w:w="905"/>
        <w:gridCol w:w="908"/>
        <w:gridCol w:w="908"/>
        <w:gridCol w:w="993"/>
        <w:gridCol w:w="1072"/>
      </w:tblGrid>
      <w:tr w:rsidR="00F149FB" w:rsidTr="00F149FB">
        <w:trPr>
          <w:cantSplit/>
        </w:trPr>
        <w:tc>
          <w:tcPr>
            <w:cnfStyle w:val="001000000000" w:firstRow="0" w:lastRow="0" w:firstColumn="1" w:lastColumn="0" w:oddVBand="0" w:evenVBand="0" w:oddHBand="0" w:evenHBand="0" w:firstRowFirstColumn="0" w:firstRowLastColumn="0" w:lastRowFirstColumn="0" w:lastRowLastColumn="0"/>
            <w:tcW w:w="706" w:type="pct"/>
            <w:tcBorders>
              <w:top w:val="single" w:sz="4" w:space="0" w:color="788184"/>
              <w:left w:val="single" w:sz="4" w:space="0" w:color="788184"/>
              <w:bottom w:val="single" w:sz="4" w:space="0" w:color="788184"/>
              <w:right w:val="single" w:sz="4" w:space="0" w:color="788184"/>
            </w:tcBorders>
            <w:shd w:val="clear" w:color="auto" w:fill="D7DDE9"/>
            <w:hideMark/>
          </w:tcPr>
          <w:p w:rsidR="00F149FB" w:rsidRDefault="00F149FB" w:rsidP="00AB201A">
            <w:pPr>
              <w:keepNext/>
              <w:keepLines/>
              <w:spacing w:before="70" w:after="70" w:line="240" w:lineRule="auto"/>
              <w:ind w:left="57" w:right="57"/>
              <w:rPr>
                <w:szCs w:val="20"/>
              </w:rPr>
            </w:pPr>
            <w:r>
              <w:rPr>
                <w:szCs w:val="20"/>
              </w:rPr>
              <w:t>($m)</w:t>
            </w:r>
          </w:p>
        </w:tc>
        <w:tc>
          <w:tcPr>
            <w:tcW w:w="322" w:type="pct"/>
            <w:tcBorders>
              <w:top w:val="single" w:sz="4" w:space="0" w:color="788184"/>
              <w:left w:val="single" w:sz="4" w:space="0" w:color="788184"/>
              <w:bottom w:val="single" w:sz="4" w:space="0" w:color="788184"/>
              <w:right w:val="single" w:sz="4" w:space="0" w:color="788184"/>
            </w:tcBorders>
            <w:shd w:val="clear" w:color="auto" w:fill="D7DDE9"/>
            <w:hideMark/>
          </w:tcPr>
          <w:p w:rsidR="00F149FB" w:rsidRDefault="00F149FB"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2016–17</w:t>
            </w:r>
          </w:p>
        </w:tc>
        <w:tc>
          <w:tcPr>
            <w:tcW w:w="321" w:type="pct"/>
            <w:tcBorders>
              <w:top w:val="single" w:sz="4" w:space="0" w:color="788184"/>
              <w:left w:val="single" w:sz="4" w:space="0" w:color="788184"/>
              <w:bottom w:val="single" w:sz="4" w:space="0" w:color="788184"/>
              <w:right w:val="single" w:sz="4" w:space="0" w:color="788184"/>
            </w:tcBorders>
            <w:shd w:val="clear" w:color="auto" w:fill="D7DDE9"/>
            <w:hideMark/>
          </w:tcPr>
          <w:p w:rsidR="00F149FB" w:rsidRDefault="00F149FB"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2017–18</w:t>
            </w:r>
          </w:p>
        </w:tc>
        <w:tc>
          <w:tcPr>
            <w:tcW w:w="321" w:type="pct"/>
            <w:tcBorders>
              <w:top w:val="single" w:sz="4" w:space="0" w:color="788184"/>
              <w:left w:val="single" w:sz="4" w:space="0" w:color="788184"/>
              <w:bottom w:val="single" w:sz="4" w:space="0" w:color="788184"/>
              <w:right w:val="single" w:sz="4" w:space="0" w:color="788184"/>
            </w:tcBorders>
            <w:shd w:val="clear" w:color="auto" w:fill="D7DDE9"/>
            <w:hideMark/>
          </w:tcPr>
          <w:p w:rsidR="00F149FB" w:rsidRDefault="00F149FB"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2018–19</w:t>
            </w:r>
          </w:p>
        </w:tc>
        <w:tc>
          <w:tcPr>
            <w:tcW w:w="320" w:type="pct"/>
            <w:tcBorders>
              <w:top w:val="single" w:sz="4" w:space="0" w:color="788184"/>
              <w:left w:val="single" w:sz="4" w:space="0" w:color="788184"/>
              <w:bottom w:val="single" w:sz="4" w:space="0" w:color="788184"/>
              <w:right w:val="single" w:sz="4" w:space="0" w:color="788184"/>
            </w:tcBorders>
            <w:shd w:val="clear" w:color="auto" w:fill="D7DDE9"/>
            <w:hideMark/>
          </w:tcPr>
          <w:p w:rsidR="00F149FB" w:rsidRDefault="00F149FB"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2019–20</w:t>
            </w:r>
          </w:p>
        </w:tc>
        <w:tc>
          <w:tcPr>
            <w:tcW w:w="352" w:type="pct"/>
            <w:tcBorders>
              <w:top w:val="single" w:sz="4" w:space="0" w:color="788184"/>
              <w:left w:val="single" w:sz="4" w:space="0" w:color="788184"/>
              <w:bottom w:val="single" w:sz="4" w:space="0" w:color="788184"/>
              <w:right w:val="single" w:sz="4" w:space="0" w:color="788184"/>
            </w:tcBorders>
            <w:shd w:val="clear" w:color="auto" w:fill="D7DDE9"/>
            <w:hideMark/>
          </w:tcPr>
          <w:p w:rsidR="00F149FB" w:rsidRDefault="00F149FB"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vertAlign w:val="superscript"/>
              </w:rPr>
            </w:pPr>
            <w:r>
              <w:rPr>
                <w:b/>
              </w:rPr>
              <w:t>Total to 2019–20</w:t>
            </w:r>
          </w:p>
        </w:tc>
        <w:tc>
          <w:tcPr>
            <w:tcW w:w="320" w:type="pct"/>
            <w:tcBorders>
              <w:top w:val="single" w:sz="4" w:space="0" w:color="788184"/>
              <w:left w:val="single" w:sz="4" w:space="0" w:color="788184"/>
              <w:bottom w:val="single" w:sz="4" w:space="0" w:color="788184"/>
              <w:right w:val="single" w:sz="4" w:space="0" w:color="788184"/>
            </w:tcBorders>
            <w:shd w:val="clear" w:color="auto" w:fill="D7DDE9"/>
            <w:hideMark/>
          </w:tcPr>
          <w:p w:rsidR="00F149FB" w:rsidRDefault="00F149FB"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2020–21</w:t>
            </w:r>
          </w:p>
        </w:tc>
        <w:tc>
          <w:tcPr>
            <w:tcW w:w="320" w:type="pct"/>
            <w:tcBorders>
              <w:top w:val="single" w:sz="4" w:space="0" w:color="788184"/>
              <w:left w:val="single" w:sz="4" w:space="0" w:color="788184"/>
              <w:bottom w:val="single" w:sz="4" w:space="0" w:color="788184"/>
              <w:right w:val="single" w:sz="4" w:space="0" w:color="788184"/>
            </w:tcBorders>
            <w:shd w:val="clear" w:color="auto" w:fill="D7DDE9"/>
            <w:hideMark/>
          </w:tcPr>
          <w:p w:rsidR="00F149FB" w:rsidRDefault="00F149FB"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2021–22</w:t>
            </w:r>
          </w:p>
        </w:tc>
        <w:tc>
          <w:tcPr>
            <w:tcW w:w="321" w:type="pct"/>
            <w:tcBorders>
              <w:top w:val="single" w:sz="4" w:space="0" w:color="788184"/>
              <w:left w:val="single" w:sz="4" w:space="0" w:color="788184"/>
              <w:bottom w:val="single" w:sz="4" w:space="0" w:color="788184"/>
              <w:right w:val="single" w:sz="4" w:space="0" w:color="788184"/>
            </w:tcBorders>
            <w:shd w:val="clear" w:color="auto" w:fill="D7DDE9"/>
            <w:hideMark/>
          </w:tcPr>
          <w:p w:rsidR="00F149FB" w:rsidRDefault="00F149FB"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2022–23</w:t>
            </w:r>
          </w:p>
        </w:tc>
        <w:tc>
          <w:tcPr>
            <w:tcW w:w="321" w:type="pct"/>
            <w:tcBorders>
              <w:top w:val="single" w:sz="4" w:space="0" w:color="788184"/>
              <w:left w:val="single" w:sz="4" w:space="0" w:color="788184"/>
              <w:bottom w:val="single" w:sz="4" w:space="0" w:color="788184"/>
              <w:right w:val="single" w:sz="4" w:space="0" w:color="788184"/>
            </w:tcBorders>
            <w:shd w:val="clear" w:color="auto" w:fill="D7DDE9"/>
            <w:hideMark/>
          </w:tcPr>
          <w:p w:rsidR="00F149FB" w:rsidRDefault="00F149FB"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2023–24</w:t>
            </w:r>
          </w:p>
        </w:tc>
        <w:tc>
          <w:tcPr>
            <w:tcW w:w="322" w:type="pct"/>
            <w:tcBorders>
              <w:top w:val="single" w:sz="4" w:space="0" w:color="788184"/>
              <w:left w:val="single" w:sz="4" w:space="0" w:color="788184"/>
              <w:bottom w:val="single" w:sz="4" w:space="0" w:color="788184"/>
              <w:right w:val="single" w:sz="4" w:space="0" w:color="788184"/>
            </w:tcBorders>
            <w:shd w:val="clear" w:color="auto" w:fill="D7DDE9"/>
            <w:hideMark/>
          </w:tcPr>
          <w:p w:rsidR="00F149FB" w:rsidRDefault="00F149FB"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2024–25</w:t>
            </w:r>
          </w:p>
        </w:tc>
        <w:tc>
          <w:tcPr>
            <w:tcW w:w="322" w:type="pct"/>
            <w:tcBorders>
              <w:top w:val="single" w:sz="4" w:space="0" w:color="788184"/>
              <w:left w:val="single" w:sz="4" w:space="0" w:color="788184"/>
              <w:bottom w:val="single" w:sz="4" w:space="0" w:color="788184"/>
              <w:right w:val="single" w:sz="4" w:space="0" w:color="788184"/>
            </w:tcBorders>
            <w:shd w:val="clear" w:color="auto" w:fill="D7DDE9"/>
            <w:hideMark/>
          </w:tcPr>
          <w:p w:rsidR="00F149FB" w:rsidRDefault="00F149FB"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2025–26</w:t>
            </w:r>
          </w:p>
        </w:tc>
        <w:tc>
          <w:tcPr>
            <w:tcW w:w="352" w:type="pct"/>
            <w:tcBorders>
              <w:top w:val="single" w:sz="4" w:space="0" w:color="788184"/>
              <w:left w:val="single" w:sz="4" w:space="0" w:color="788184"/>
              <w:bottom w:val="single" w:sz="4" w:space="0" w:color="788184"/>
              <w:right w:val="single" w:sz="4" w:space="0" w:color="788184"/>
            </w:tcBorders>
            <w:shd w:val="clear" w:color="auto" w:fill="D7DDE9"/>
            <w:hideMark/>
          </w:tcPr>
          <w:p w:rsidR="00F149FB" w:rsidRDefault="00F149FB"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2026–27</w:t>
            </w:r>
          </w:p>
        </w:tc>
        <w:tc>
          <w:tcPr>
            <w:tcW w:w="380" w:type="pct"/>
            <w:tcBorders>
              <w:top w:val="single" w:sz="4" w:space="0" w:color="788184"/>
              <w:left w:val="single" w:sz="4" w:space="0" w:color="788184"/>
              <w:bottom w:val="single" w:sz="4" w:space="0" w:color="788184"/>
              <w:right w:val="single" w:sz="4" w:space="0" w:color="788184"/>
            </w:tcBorders>
            <w:shd w:val="clear" w:color="auto" w:fill="D7DDE9"/>
            <w:hideMark/>
          </w:tcPr>
          <w:p w:rsidR="00F149FB" w:rsidRDefault="00F149FB"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Pr>
                <w:b/>
              </w:rPr>
              <w:t>Total to 2026–27</w:t>
            </w:r>
          </w:p>
        </w:tc>
      </w:tr>
      <w:tr w:rsidR="00F149FB" w:rsidTr="00F149FB">
        <w:trPr>
          <w:cantSplit/>
        </w:trPr>
        <w:tc>
          <w:tcPr>
            <w:cnfStyle w:val="001000000000" w:firstRow="0" w:lastRow="0" w:firstColumn="1" w:lastColumn="0" w:oddVBand="0" w:evenVBand="0" w:oddHBand="0" w:evenHBand="0" w:firstRowFirstColumn="0" w:firstRowLastColumn="0" w:lastRowFirstColumn="0" w:lastRowLastColumn="0"/>
            <w:tcW w:w="706" w:type="pct"/>
            <w:tcBorders>
              <w:top w:val="single" w:sz="4" w:space="0" w:color="788184"/>
              <w:left w:val="single" w:sz="4" w:space="0" w:color="788184"/>
              <w:bottom w:val="single" w:sz="4" w:space="0" w:color="788184"/>
              <w:right w:val="single" w:sz="4" w:space="0" w:color="788184"/>
            </w:tcBorders>
          </w:tcPr>
          <w:p w:rsidR="00F149FB" w:rsidRPr="00F149FB" w:rsidRDefault="00F149FB" w:rsidP="00AB201A">
            <w:pPr>
              <w:spacing w:before="70" w:after="70" w:line="240" w:lineRule="auto"/>
              <w:ind w:left="57" w:right="57"/>
              <w:rPr>
                <w:b/>
                <w:szCs w:val="20"/>
              </w:rPr>
            </w:pPr>
            <w:r w:rsidRPr="00F149FB">
              <w:rPr>
                <w:b/>
                <w:szCs w:val="20"/>
              </w:rPr>
              <w:t>Revenue</w:t>
            </w:r>
          </w:p>
        </w:tc>
        <w:tc>
          <w:tcPr>
            <w:tcW w:w="322" w:type="pct"/>
            <w:tcBorders>
              <w:top w:val="single" w:sz="4" w:space="0" w:color="788184"/>
              <w:left w:val="single" w:sz="4" w:space="0" w:color="788184"/>
              <w:bottom w:val="single" w:sz="4" w:space="0" w:color="788184"/>
              <w:right w:val="single" w:sz="4" w:space="0" w:color="788184"/>
            </w:tcBorders>
            <w:vAlign w:val="top"/>
          </w:tcPr>
          <w:p w:rsidR="00F149FB" w:rsidRP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 -   </w:t>
            </w:r>
          </w:p>
        </w:tc>
        <w:tc>
          <w:tcPr>
            <w:tcW w:w="321" w:type="pct"/>
            <w:tcBorders>
              <w:top w:val="single" w:sz="4" w:space="0" w:color="788184"/>
              <w:left w:val="single" w:sz="4" w:space="0" w:color="788184"/>
              <w:bottom w:val="single" w:sz="4" w:space="0" w:color="788184"/>
              <w:right w:val="single" w:sz="4" w:space="0" w:color="788184"/>
            </w:tcBorders>
            <w:vAlign w:val="top"/>
          </w:tcPr>
          <w:p w:rsidR="00F149FB" w:rsidRP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-2,100.0 </w:t>
            </w:r>
          </w:p>
        </w:tc>
        <w:tc>
          <w:tcPr>
            <w:tcW w:w="321" w:type="pct"/>
            <w:tcBorders>
              <w:top w:val="single" w:sz="4" w:space="0" w:color="788184"/>
              <w:left w:val="single" w:sz="4" w:space="0" w:color="788184"/>
              <w:bottom w:val="single" w:sz="4" w:space="0" w:color="788184"/>
              <w:right w:val="single" w:sz="4" w:space="0" w:color="788184"/>
            </w:tcBorders>
            <w:vAlign w:val="top"/>
          </w:tcPr>
          <w:p w:rsidR="00F149FB" w:rsidRP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-2,250.0 </w:t>
            </w:r>
          </w:p>
        </w:tc>
        <w:tc>
          <w:tcPr>
            <w:tcW w:w="320" w:type="pct"/>
            <w:tcBorders>
              <w:top w:val="single" w:sz="4" w:space="0" w:color="788184"/>
              <w:left w:val="single" w:sz="4" w:space="0" w:color="788184"/>
              <w:bottom w:val="single" w:sz="4" w:space="0" w:color="788184"/>
              <w:right w:val="single" w:sz="4" w:space="0" w:color="788184"/>
            </w:tcBorders>
            <w:vAlign w:val="top"/>
          </w:tcPr>
          <w:p w:rsidR="00F149FB" w:rsidRP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-2,400.0 </w:t>
            </w:r>
          </w:p>
        </w:tc>
        <w:tc>
          <w:tcPr>
            <w:tcW w:w="352" w:type="pct"/>
            <w:tcBorders>
              <w:top w:val="single" w:sz="4" w:space="0" w:color="788184"/>
              <w:left w:val="single" w:sz="4" w:space="0" w:color="788184"/>
              <w:bottom w:val="single" w:sz="4" w:space="0" w:color="788184"/>
              <w:right w:val="single" w:sz="4" w:space="0" w:color="788184"/>
            </w:tcBorders>
            <w:vAlign w:val="top"/>
          </w:tcPr>
          <w:p w:rsidR="00F149FB" w:rsidRP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-6,750.0 </w:t>
            </w:r>
          </w:p>
        </w:tc>
        <w:tc>
          <w:tcPr>
            <w:tcW w:w="320" w:type="pct"/>
            <w:tcBorders>
              <w:top w:val="single" w:sz="4" w:space="0" w:color="788184"/>
              <w:left w:val="single" w:sz="4" w:space="0" w:color="788184"/>
              <w:bottom w:val="single" w:sz="4" w:space="0" w:color="788184"/>
              <w:right w:val="single" w:sz="4" w:space="0" w:color="788184"/>
            </w:tcBorders>
            <w:vAlign w:val="top"/>
          </w:tcPr>
          <w:p w:rsidR="00F149FB" w:rsidRP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-2,500.0 </w:t>
            </w:r>
          </w:p>
        </w:tc>
        <w:tc>
          <w:tcPr>
            <w:tcW w:w="320" w:type="pct"/>
            <w:tcBorders>
              <w:top w:val="single" w:sz="4" w:space="0" w:color="788184"/>
              <w:left w:val="single" w:sz="4" w:space="0" w:color="788184"/>
              <w:bottom w:val="single" w:sz="4" w:space="0" w:color="788184"/>
              <w:right w:val="single" w:sz="4" w:space="0" w:color="788184"/>
            </w:tcBorders>
            <w:vAlign w:val="top"/>
          </w:tcPr>
          <w:p w:rsidR="00F149FB" w:rsidRP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-2,350.0 </w:t>
            </w:r>
          </w:p>
        </w:tc>
        <w:tc>
          <w:tcPr>
            <w:tcW w:w="321" w:type="pct"/>
            <w:tcBorders>
              <w:top w:val="single" w:sz="4" w:space="0" w:color="788184"/>
              <w:left w:val="single" w:sz="4" w:space="0" w:color="788184"/>
              <w:bottom w:val="single" w:sz="4" w:space="0" w:color="788184"/>
              <w:right w:val="single" w:sz="4" w:space="0" w:color="788184"/>
            </w:tcBorders>
            <w:vAlign w:val="top"/>
          </w:tcPr>
          <w:p w:rsidR="00F149FB" w:rsidRP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-2,600.0 </w:t>
            </w:r>
          </w:p>
        </w:tc>
        <w:tc>
          <w:tcPr>
            <w:tcW w:w="321" w:type="pct"/>
            <w:tcBorders>
              <w:top w:val="single" w:sz="4" w:space="0" w:color="788184"/>
              <w:left w:val="single" w:sz="4" w:space="0" w:color="788184"/>
              <w:bottom w:val="single" w:sz="4" w:space="0" w:color="788184"/>
              <w:right w:val="single" w:sz="4" w:space="0" w:color="788184"/>
            </w:tcBorders>
            <w:vAlign w:val="top"/>
          </w:tcPr>
          <w:p w:rsidR="00F149FB" w:rsidRP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-2,750.0 </w:t>
            </w:r>
          </w:p>
        </w:tc>
        <w:tc>
          <w:tcPr>
            <w:tcW w:w="322" w:type="pct"/>
            <w:tcBorders>
              <w:top w:val="single" w:sz="4" w:space="0" w:color="788184"/>
              <w:left w:val="single" w:sz="4" w:space="0" w:color="788184"/>
              <w:bottom w:val="single" w:sz="4" w:space="0" w:color="788184"/>
              <w:right w:val="single" w:sz="4" w:space="0" w:color="788184"/>
            </w:tcBorders>
            <w:vAlign w:val="top"/>
          </w:tcPr>
          <w:p w:rsidR="00F149FB" w:rsidRP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-2,900.0 </w:t>
            </w:r>
          </w:p>
        </w:tc>
        <w:tc>
          <w:tcPr>
            <w:tcW w:w="322" w:type="pct"/>
            <w:tcBorders>
              <w:top w:val="single" w:sz="4" w:space="0" w:color="788184"/>
              <w:left w:val="single" w:sz="4" w:space="0" w:color="788184"/>
              <w:bottom w:val="single" w:sz="4" w:space="0" w:color="788184"/>
              <w:right w:val="single" w:sz="4" w:space="0" w:color="788184"/>
            </w:tcBorders>
            <w:vAlign w:val="top"/>
          </w:tcPr>
          <w:p w:rsidR="00F149FB" w:rsidRP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-3,050.0 </w:t>
            </w:r>
          </w:p>
        </w:tc>
        <w:tc>
          <w:tcPr>
            <w:tcW w:w="352" w:type="pct"/>
            <w:tcBorders>
              <w:top w:val="single" w:sz="4" w:space="0" w:color="788184"/>
              <w:left w:val="single" w:sz="4" w:space="0" w:color="788184"/>
              <w:bottom w:val="single" w:sz="4" w:space="0" w:color="788184"/>
              <w:right w:val="single" w:sz="4" w:space="0" w:color="788184"/>
            </w:tcBorders>
            <w:vAlign w:val="top"/>
          </w:tcPr>
          <w:p w:rsidR="00F149FB" w:rsidRP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-3,200.0 </w:t>
            </w:r>
          </w:p>
        </w:tc>
        <w:tc>
          <w:tcPr>
            <w:tcW w:w="380" w:type="pct"/>
            <w:tcBorders>
              <w:top w:val="single" w:sz="4" w:space="0" w:color="788184"/>
              <w:left w:val="single" w:sz="4" w:space="0" w:color="788184"/>
              <w:bottom w:val="single" w:sz="4" w:space="0" w:color="788184"/>
              <w:right w:val="single" w:sz="4" w:space="0" w:color="788184"/>
            </w:tcBorders>
            <w:vAlign w:val="top"/>
          </w:tcPr>
          <w:p w:rsidR="00F149FB" w:rsidRP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-26,100.0 </w:t>
            </w:r>
          </w:p>
        </w:tc>
      </w:tr>
      <w:tr w:rsidR="00F149FB" w:rsidTr="00F149FB">
        <w:trPr>
          <w:cantSplit/>
        </w:trPr>
        <w:tc>
          <w:tcPr>
            <w:cnfStyle w:val="001000000000" w:firstRow="0" w:lastRow="0" w:firstColumn="1" w:lastColumn="0" w:oddVBand="0" w:evenVBand="0" w:oddHBand="0" w:evenHBand="0" w:firstRowFirstColumn="0" w:firstRowLastColumn="0" w:lastRowFirstColumn="0" w:lastRowLastColumn="0"/>
            <w:tcW w:w="706" w:type="pct"/>
            <w:tcBorders>
              <w:top w:val="single" w:sz="4" w:space="0" w:color="788184"/>
              <w:left w:val="single" w:sz="4" w:space="0" w:color="788184"/>
              <w:bottom w:val="single" w:sz="4" w:space="0" w:color="788184"/>
              <w:right w:val="single" w:sz="4" w:space="0" w:color="788184"/>
            </w:tcBorders>
          </w:tcPr>
          <w:p w:rsidR="00F149FB" w:rsidRPr="00BF79B9" w:rsidRDefault="00F149FB" w:rsidP="00AB201A">
            <w:pPr>
              <w:keepNext/>
              <w:keepLines/>
              <w:spacing w:before="70" w:after="70" w:line="240" w:lineRule="auto"/>
              <w:ind w:left="57" w:right="57"/>
              <w:rPr>
                <w:b/>
              </w:rPr>
            </w:pPr>
            <w:r w:rsidRPr="00BF79B9">
              <w:rPr>
                <w:b/>
              </w:rPr>
              <w:t>Expenses</w:t>
            </w:r>
          </w:p>
        </w:tc>
        <w:tc>
          <w:tcPr>
            <w:tcW w:w="322" w:type="pct"/>
            <w:tcBorders>
              <w:top w:val="single" w:sz="4" w:space="0" w:color="788184"/>
              <w:left w:val="single" w:sz="4" w:space="0" w:color="788184"/>
              <w:bottom w:val="single" w:sz="4" w:space="0" w:color="788184"/>
              <w:right w:val="single" w:sz="4" w:space="0" w:color="788184"/>
            </w:tcBorders>
            <w:vAlign w:val="top"/>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-6.9 </w:t>
            </w:r>
          </w:p>
        </w:tc>
        <w:tc>
          <w:tcPr>
            <w:tcW w:w="321" w:type="pct"/>
            <w:tcBorders>
              <w:top w:val="single" w:sz="4" w:space="0" w:color="788184"/>
              <w:left w:val="single" w:sz="4" w:space="0" w:color="788184"/>
              <w:bottom w:val="single" w:sz="4" w:space="0" w:color="788184"/>
              <w:right w:val="single" w:sz="4" w:space="0" w:color="788184"/>
            </w:tcBorders>
            <w:vAlign w:val="top"/>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1,744.7 </w:t>
            </w:r>
          </w:p>
        </w:tc>
        <w:tc>
          <w:tcPr>
            <w:tcW w:w="321" w:type="pct"/>
            <w:tcBorders>
              <w:top w:val="single" w:sz="4" w:space="0" w:color="788184"/>
              <w:left w:val="single" w:sz="4" w:space="0" w:color="788184"/>
              <w:bottom w:val="single" w:sz="4" w:space="0" w:color="788184"/>
              <w:right w:val="single" w:sz="4" w:space="0" w:color="788184"/>
            </w:tcBorders>
            <w:vAlign w:val="top"/>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2,148.7 </w:t>
            </w:r>
          </w:p>
        </w:tc>
        <w:tc>
          <w:tcPr>
            <w:tcW w:w="320" w:type="pct"/>
            <w:tcBorders>
              <w:top w:val="single" w:sz="4" w:space="0" w:color="788184"/>
              <w:left w:val="single" w:sz="4" w:space="0" w:color="788184"/>
              <w:bottom w:val="single" w:sz="4" w:space="0" w:color="788184"/>
              <w:right w:val="single" w:sz="4" w:space="0" w:color="788184"/>
            </w:tcBorders>
            <w:vAlign w:val="top"/>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2,249.2 </w:t>
            </w:r>
          </w:p>
        </w:tc>
        <w:tc>
          <w:tcPr>
            <w:tcW w:w="352" w:type="pct"/>
            <w:tcBorders>
              <w:top w:val="single" w:sz="4" w:space="0" w:color="788184"/>
              <w:left w:val="single" w:sz="4" w:space="0" w:color="788184"/>
              <w:bottom w:val="single" w:sz="4" w:space="0" w:color="788184"/>
              <w:right w:val="single" w:sz="4" w:space="0" w:color="788184"/>
            </w:tcBorders>
            <w:vAlign w:val="top"/>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6,135.7 </w:t>
            </w:r>
          </w:p>
        </w:tc>
        <w:tc>
          <w:tcPr>
            <w:tcW w:w="320" w:type="pct"/>
            <w:tcBorders>
              <w:top w:val="single" w:sz="4" w:space="0" w:color="788184"/>
              <w:left w:val="single" w:sz="4" w:space="0" w:color="788184"/>
              <w:bottom w:val="single" w:sz="4" w:space="0" w:color="788184"/>
              <w:right w:val="single" w:sz="4" w:space="0" w:color="788184"/>
            </w:tcBorders>
            <w:vAlign w:val="top"/>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2,350.0 </w:t>
            </w:r>
          </w:p>
        </w:tc>
        <w:tc>
          <w:tcPr>
            <w:tcW w:w="320" w:type="pct"/>
            <w:tcBorders>
              <w:top w:val="single" w:sz="4" w:space="0" w:color="788184"/>
              <w:left w:val="single" w:sz="4" w:space="0" w:color="788184"/>
              <w:bottom w:val="single" w:sz="4" w:space="0" w:color="788184"/>
              <w:right w:val="single" w:sz="4" w:space="0" w:color="788184"/>
            </w:tcBorders>
            <w:vAlign w:val="top"/>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2,450.0 </w:t>
            </w:r>
          </w:p>
        </w:tc>
        <w:tc>
          <w:tcPr>
            <w:tcW w:w="321" w:type="pct"/>
            <w:tcBorders>
              <w:top w:val="single" w:sz="4" w:space="0" w:color="788184"/>
              <w:left w:val="single" w:sz="4" w:space="0" w:color="788184"/>
              <w:bottom w:val="single" w:sz="4" w:space="0" w:color="788184"/>
              <w:right w:val="single" w:sz="4" w:space="0" w:color="788184"/>
            </w:tcBorders>
            <w:vAlign w:val="top"/>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2,600.0 </w:t>
            </w:r>
          </w:p>
        </w:tc>
        <w:tc>
          <w:tcPr>
            <w:tcW w:w="321" w:type="pct"/>
            <w:tcBorders>
              <w:top w:val="single" w:sz="4" w:space="0" w:color="788184"/>
              <w:left w:val="single" w:sz="4" w:space="0" w:color="788184"/>
              <w:bottom w:val="single" w:sz="4" w:space="0" w:color="788184"/>
              <w:right w:val="single" w:sz="4" w:space="0" w:color="788184"/>
            </w:tcBorders>
            <w:vAlign w:val="top"/>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2,750.0 </w:t>
            </w:r>
          </w:p>
        </w:tc>
        <w:tc>
          <w:tcPr>
            <w:tcW w:w="322" w:type="pct"/>
            <w:tcBorders>
              <w:top w:val="single" w:sz="4" w:space="0" w:color="788184"/>
              <w:left w:val="single" w:sz="4" w:space="0" w:color="788184"/>
              <w:bottom w:val="single" w:sz="4" w:space="0" w:color="788184"/>
              <w:right w:val="single" w:sz="4" w:space="0" w:color="788184"/>
            </w:tcBorders>
            <w:vAlign w:val="top"/>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2,900.0 </w:t>
            </w:r>
          </w:p>
        </w:tc>
        <w:tc>
          <w:tcPr>
            <w:tcW w:w="322" w:type="pct"/>
            <w:tcBorders>
              <w:top w:val="single" w:sz="4" w:space="0" w:color="788184"/>
              <w:left w:val="single" w:sz="4" w:space="0" w:color="788184"/>
              <w:bottom w:val="single" w:sz="4" w:space="0" w:color="788184"/>
              <w:right w:val="single" w:sz="4" w:space="0" w:color="788184"/>
            </w:tcBorders>
            <w:vAlign w:val="top"/>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3,050.0 </w:t>
            </w:r>
          </w:p>
        </w:tc>
        <w:tc>
          <w:tcPr>
            <w:tcW w:w="352" w:type="pct"/>
            <w:tcBorders>
              <w:top w:val="single" w:sz="4" w:space="0" w:color="788184"/>
              <w:left w:val="single" w:sz="4" w:space="0" w:color="788184"/>
              <w:bottom w:val="single" w:sz="4" w:space="0" w:color="788184"/>
              <w:right w:val="single" w:sz="4" w:space="0" w:color="788184"/>
            </w:tcBorders>
            <w:vAlign w:val="top"/>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3,200.0 </w:t>
            </w:r>
          </w:p>
        </w:tc>
        <w:tc>
          <w:tcPr>
            <w:tcW w:w="380" w:type="pct"/>
            <w:tcBorders>
              <w:top w:val="single" w:sz="4" w:space="0" w:color="788184"/>
              <w:left w:val="single" w:sz="4" w:space="0" w:color="788184"/>
              <w:bottom w:val="single" w:sz="4" w:space="0" w:color="788184"/>
              <w:right w:val="single" w:sz="4" w:space="0" w:color="788184"/>
            </w:tcBorders>
            <w:vAlign w:val="top"/>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25,435.7 </w:t>
            </w:r>
          </w:p>
        </w:tc>
      </w:tr>
      <w:tr w:rsidR="00F149FB" w:rsidTr="00F149FB">
        <w:trPr>
          <w:cantSplit/>
        </w:trPr>
        <w:tc>
          <w:tcPr>
            <w:cnfStyle w:val="001000000000" w:firstRow="0" w:lastRow="0" w:firstColumn="1" w:lastColumn="0" w:oddVBand="0" w:evenVBand="0" w:oddHBand="0" w:evenHBand="0" w:firstRowFirstColumn="0" w:firstRowLastColumn="0" w:lastRowFirstColumn="0" w:lastRowLastColumn="0"/>
            <w:tcW w:w="706" w:type="pct"/>
            <w:tcBorders>
              <w:top w:val="single" w:sz="4" w:space="0" w:color="788184"/>
              <w:left w:val="single" w:sz="4" w:space="0" w:color="788184"/>
              <w:bottom w:val="single" w:sz="4" w:space="0" w:color="788184"/>
              <w:right w:val="single" w:sz="4" w:space="0" w:color="788184"/>
            </w:tcBorders>
            <w:hideMark/>
          </w:tcPr>
          <w:p w:rsidR="00F149FB" w:rsidRDefault="00F149FB" w:rsidP="00AB201A">
            <w:pPr>
              <w:spacing w:before="70" w:after="70" w:line="240" w:lineRule="auto"/>
              <w:ind w:left="57" w:right="57"/>
              <w:rPr>
                <w:szCs w:val="20"/>
              </w:rPr>
            </w:pPr>
            <w:r>
              <w:rPr>
                <w:szCs w:val="20"/>
              </w:rPr>
              <w:t>Administered</w:t>
            </w:r>
          </w:p>
        </w:tc>
        <w:tc>
          <w:tcPr>
            <w:tcW w:w="322" w:type="pct"/>
            <w:tcBorders>
              <w:top w:val="single" w:sz="4" w:space="0" w:color="788184"/>
              <w:left w:val="single" w:sz="4" w:space="0" w:color="788184"/>
              <w:bottom w:val="single" w:sz="4" w:space="0" w:color="788184"/>
              <w:right w:val="single" w:sz="4" w:space="0" w:color="788184"/>
            </w:tcBorders>
            <w:vAlign w:val="top"/>
            <w:hideMark/>
          </w:tcPr>
          <w:p w:rsidR="00F149FB" w:rsidRPr="00843F66"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   </w:t>
            </w:r>
          </w:p>
        </w:tc>
        <w:tc>
          <w:tcPr>
            <w:tcW w:w="321" w:type="pct"/>
            <w:tcBorders>
              <w:top w:val="single" w:sz="4" w:space="0" w:color="788184"/>
              <w:left w:val="single" w:sz="4" w:space="0" w:color="788184"/>
              <w:bottom w:val="single" w:sz="4" w:space="0" w:color="788184"/>
              <w:right w:val="single" w:sz="4" w:space="0" w:color="788184"/>
            </w:tcBorders>
            <w:vAlign w:val="top"/>
            <w:hideMark/>
          </w:tcPr>
          <w:p w:rsidR="00F149FB" w:rsidRPr="00843F66"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1,740.0 </w:t>
            </w:r>
          </w:p>
        </w:tc>
        <w:tc>
          <w:tcPr>
            <w:tcW w:w="321" w:type="pct"/>
            <w:tcBorders>
              <w:top w:val="single" w:sz="4" w:space="0" w:color="788184"/>
              <w:left w:val="single" w:sz="4" w:space="0" w:color="788184"/>
              <w:bottom w:val="single" w:sz="4" w:space="0" w:color="788184"/>
              <w:right w:val="single" w:sz="4" w:space="0" w:color="788184"/>
            </w:tcBorders>
            <w:vAlign w:val="top"/>
            <w:hideMark/>
          </w:tcPr>
          <w:p w:rsidR="00F149FB" w:rsidRPr="00843F66"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2,140.0 </w:t>
            </w:r>
          </w:p>
        </w:tc>
        <w:tc>
          <w:tcPr>
            <w:tcW w:w="320" w:type="pct"/>
            <w:tcBorders>
              <w:top w:val="single" w:sz="4" w:space="0" w:color="788184"/>
              <w:left w:val="single" w:sz="4" w:space="0" w:color="788184"/>
              <w:bottom w:val="single" w:sz="4" w:space="0" w:color="788184"/>
              <w:right w:val="single" w:sz="4" w:space="0" w:color="788184"/>
            </w:tcBorders>
            <w:vAlign w:val="top"/>
            <w:hideMark/>
          </w:tcPr>
          <w:p w:rsidR="00F149FB" w:rsidRPr="00843F66"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2,240.0 </w:t>
            </w:r>
          </w:p>
        </w:tc>
        <w:tc>
          <w:tcPr>
            <w:tcW w:w="352" w:type="pct"/>
            <w:tcBorders>
              <w:top w:val="single" w:sz="4" w:space="0" w:color="788184"/>
              <w:left w:val="single" w:sz="4" w:space="0" w:color="788184"/>
              <w:bottom w:val="single" w:sz="4" w:space="0" w:color="788184"/>
              <w:right w:val="single" w:sz="4" w:space="0" w:color="788184"/>
            </w:tcBorders>
            <w:vAlign w:val="top"/>
            <w:hideMark/>
          </w:tcPr>
          <w:p w:rsidR="00F149FB" w:rsidRPr="00343282"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343282">
              <w:rPr>
                <w:b/>
              </w:rPr>
              <w:t xml:space="preserve"> 6,120.0 </w:t>
            </w:r>
          </w:p>
        </w:tc>
        <w:tc>
          <w:tcPr>
            <w:tcW w:w="320" w:type="pct"/>
            <w:tcBorders>
              <w:top w:val="single" w:sz="4" w:space="0" w:color="788184"/>
              <w:left w:val="single" w:sz="4" w:space="0" w:color="788184"/>
              <w:bottom w:val="single" w:sz="4" w:space="0" w:color="788184"/>
              <w:right w:val="single" w:sz="4" w:space="0" w:color="788184"/>
            </w:tcBorders>
            <w:vAlign w:val="top"/>
            <w:hideMark/>
          </w:tcPr>
          <w:p w:rsidR="00F149FB" w:rsidRPr="00843F66"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2,340.0 </w:t>
            </w:r>
          </w:p>
        </w:tc>
        <w:tc>
          <w:tcPr>
            <w:tcW w:w="320" w:type="pct"/>
            <w:tcBorders>
              <w:top w:val="single" w:sz="4" w:space="0" w:color="788184"/>
              <w:left w:val="single" w:sz="4" w:space="0" w:color="788184"/>
              <w:bottom w:val="single" w:sz="4" w:space="0" w:color="788184"/>
              <w:right w:val="single" w:sz="4" w:space="0" w:color="788184"/>
            </w:tcBorders>
            <w:vAlign w:val="top"/>
            <w:hideMark/>
          </w:tcPr>
          <w:p w:rsidR="00F149FB" w:rsidRPr="00843F66"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2,440.0 </w:t>
            </w:r>
          </w:p>
        </w:tc>
        <w:tc>
          <w:tcPr>
            <w:tcW w:w="321" w:type="pct"/>
            <w:tcBorders>
              <w:top w:val="single" w:sz="4" w:space="0" w:color="788184"/>
              <w:left w:val="single" w:sz="4" w:space="0" w:color="788184"/>
              <w:bottom w:val="single" w:sz="4" w:space="0" w:color="788184"/>
              <w:right w:val="single" w:sz="4" w:space="0" w:color="788184"/>
            </w:tcBorders>
            <w:vAlign w:val="top"/>
            <w:hideMark/>
          </w:tcPr>
          <w:p w:rsidR="00F149FB" w:rsidRPr="00843F66"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2,590.0 </w:t>
            </w:r>
          </w:p>
        </w:tc>
        <w:tc>
          <w:tcPr>
            <w:tcW w:w="321" w:type="pct"/>
            <w:tcBorders>
              <w:top w:val="single" w:sz="4" w:space="0" w:color="788184"/>
              <w:left w:val="single" w:sz="4" w:space="0" w:color="788184"/>
              <w:bottom w:val="single" w:sz="4" w:space="0" w:color="788184"/>
              <w:right w:val="single" w:sz="4" w:space="0" w:color="788184"/>
            </w:tcBorders>
            <w:vAlign w:val="top"/>
            <w:hideMark/>
          </w:tcPr>
          <w:p w:rsidR="00F149FB" w:rsidRPr="00843F66"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2,740.0 </w:t>
            </w:r>
          </w:p>
        </w:tc>
        <w:tc>
          <w:tcPr>
            <w:tcW w:w="322" w:type="pct"/>
            <w:tcBorders>
              <w:top w:val="single" w:sz="4" w:space="0" w:color="788184"/>
              <w:left w:val="single" w:sz="4" w:space="0" w:color="788184"/>
              <w:bottom w:val="single" w:sz="4" w:space="0" w:color="788184"/>
              <w:right w:val="single" w:sz="4" w:space="0" w:color="788184"/>
            </w:tcBorders>
            <w:vAlign w:val="top"/>
            <w:hideMark/>
          </w:tcPr>
          <w:p w:rsidR="00F149FB" w:rsidRPr="00843F66"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2,890.0 </w:t>
            </w:r>
          </w:p>
        </w:tc>
        <w:tc>
          <w:tcPr>
            <w:tcW w:w="322" w:type="pct"/>
            <w:tcBorders>
              <w:top w:val="single" w:sz="4" w:space="0" w:color="788184"/>
              <w:left w:val="single" w:sz="4" w:space="0" w:color="788184"/>
              <w:bottom w:val="single" w:sz="4" w:space="0" w:color="788184"/>
              <w:right w:val="single" w:sz="4" w:space="0" w:color="788184"/>
            </w:tcBorders>
            <w:vAlign w:val="top"/>
            <w:hideMark/>
          </w:tcPr>
          <w:p w:rsidR="00F149FB" w:rsidRPr="00843F66"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3,040.0 </w:t>
            </w:r>
          </w:p>
        </w:tc>
        <w:tc>
          <w:tcPr>
            <w:tcW w:w="352" w:type="pct"/>
            <w:tcBorders>
              <w:top w:val="single" w:sz="4" w:space="0" w:color="788184"/>
              <w:left w:val="single" w:sz="4" w:space="0" w:color="788184"/>
              <w:bottom w:val="single" w:sz="4" w:space="0" w:color="788184"/>
              <w:right w:val="single" w:sz="4" w:space="0" w:color="788184"/>
            </w:tcBorders>
            <w:vAlign w:val="top"/>
            <w:hideMark/>
          </w:tcPr>
          <w:p w:rsidR="00F149FB" w:rsidRPr="00843F66"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3,190.0 </w:t>
            </w:r>
          </w:p>
        </w:tc>
        <w:tc>
          <w:tcPr>
            <w:tcW w:w="380" w:type="pct"/>
            <w:tcBorders>
              <w:top w:val="single" w:sz="4" w:space="0" w:color="788184"/>
              <w:left w:val="single" w:sz="4" w:space="0" w:color="788184"/>
              <w:bottom w:val="single" w:sz="4" w:space="0" w:color="788184"/>
              <w:right w:val="single" w:sz="4" w:space="0" w:color="788184"/>
            </w:tcBorders>
            <w:vAlign w:val="top"/>
            <w:hideMark/>
          </w:tcPr>
          <w:p w:rsidR="00F149FB" w:rsidRPr="00343282"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343282">
              <w:rPr>
                <w:b/>
              </w:rPr>
              <w:t xml:space="preserve"> 25,350.0 </w:t>
            </w:r>
          </w:p>
        </w:tc>
      </w:tr>
      <w:tr w:rsidR="00F149FB" w:rsidTr="00F149FB">
        <w:trPr>
          <w:cantSplit/>
        </w:trPr>
        <w:tc>
          <w:tcPr>
            <w:cnfStyle w:val="001000000000" w:firstRow="0" w:lastRow="0" w:firstColumn="1" w:lastColumn="0" w:oddVBand="0" w:evenVBand="0" w:oddHBand="0" w:evenHBand="0" w:firstRowFirstColumn="0" w:firstRowLastColumn="0" w:lastRowFirstColumn="0" w:lastRowLastColumn="0"/>
            <w:tcW w:w="706" w:type="pct"/>
            <w:tcBorders>
              <w:top w:val="single" w:sz="4" w:space="0" w:color="788184"/>
              <w:left w:val="single" w:sz="4" w:space="0" w:color="788184"/>
              <w:bottom w:val="single" w:sz="4" w:space="0" w:color="788184"/>
              <w:right w:val="single" w:sz="4" w:space="0" w:color="788184"/>
            </w:tcBorders>
            <w:hideMark/>
          </w:tcPr>
          <w:p w:rsidR="00F149FB" w:rsidRDefault="00F149FB" w:rsidP="00AB201A">
            <w:pPr>
              <w:spacing w:before="70" w:after="70" w:line="240" w:lineRule="auto"/>
              <w:ind w:left="57" w:right="57"/>
              <w:rPr>
                <w:szCs w:val="20"/>
              </w:rPr>
            </w:pPr>
            <w:r>
              <w:rPr>
                <w:szCs w:val="20"/>
              </w:rPr>
              <w:t>Departmental</w:t>
            </w:r>
          </w:p>
        </w:tc>
        <w:tc>
          <w:tcPr>
            <w:tcW w:w="322" w:type="pct"/>
            <w:tcBorders>
              <w:top w:val="single" w:sz="4" w:space="0" w:color="788184"/>
              <w:left w:val="single" w:sz="4" w:space="0" w:color="788184"/>
              <w:bottom w:val="single" w:sz="4" w:space="0" w:color="788184"/>
              <w:right w:val="single" w:sz="4" w:space="0" w:color="788184"/>
            </w:tcBorders>
            <w:hideMark/>
          </w:tcPr>
          <w:p w:rsidR="00F149FB" w:rsidRDefault="00F149FB" w:rsidP="00AB201A">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szCs w:val="20"/>
              </w:rPr>
            </w:pPr>
            <w:r>
              <w:rPr>
                <w:i/>
                <w:szCs w:val="20"/>
              </w:rPr>
              <w:t>-6.9</w:t>
            </w:r>
          </w:p>
        </w:tc>
        <w:tc>
          <w:tcPr>
            <w:tcW w:w="321" w:type="pct"/>
            <w:tcBorders>
              <w:top w:val="single" w:sz="4" w:space="0" w:color="788184"/>
              <w:left w:val="single" w:sz="4" w:space="0" w:color="788184"/>
              <w:bottom w:val="single" w:sz="4" w:space="0" w:color="788184"/>
              <w:right w:val="single" w:sz="4" w:space="0" w:color="788184"/>
            </w:tcBorders>
            <w:hideMark/>
          </w:tcPr>
          <w:p w:rsidR="00F149FB" w:rsidRDefault="00F149FB" w:rsidP="00AB201A">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szCs w:val="20"/>
              </w:rPr>
            </w:pPr>
            <w:r>
              <w:rPr>
                <w:i/>
                <w:szCs w:val="20"/>
              </w:rPr>
              <w:t>4.7</w:t>
            </w:r>
          </w:p>
        </w:tc>
        <w:tc>
          <w:tcPr>
            <w:tcW w:w="321" w:type="pct"/>
            <w:tcBorders>
              <w:top w:val="single" w:sz="4" w:space="0" w:color="788184"/>
              <w:left w:val="single" w:sz="4" w:space="0" w:color="788184"/>
              <w:bottom w:val="single" w:sz="4" w:space="0" w:color="788184"/>
              <w:right w:val="single" w:sz="4" w:space="0" w:color="788184"/>
            </w:tcBorders>
            <w:hideMark/>
          </w:tcPr>
          <w:p w:rsidR="00F149FB" w:rsidRDefault="00F149FB" w:rsidP="00AB201A">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szCs w:val="20"/>
              </w:rPr>
            </w:pPr>
            <w:r>
              <w:rPr>
                <w:i/>
                <w:szCs w:val="20"/>
              </w:rPr>
              <w:t>8.7</w:t>
            </w:r>
          </w:p>
        </w:tc>
        <w:tc>
          <w:tcPr>
            <w:tcW w:w="320" w:type="pct"/>
            <w:tcBorders>
              <w:top w:val="single" w:sz="4" w:space="0" w:color="788184"/>
              <w:left w:val="single" w:sz="4" w:space="0" w:color="788184"/>
              <w:bottom w:val="single" w:sz="4" w:space="0" w:color="788184"/>
              <w:right w:val="single" w:sz="4" w:space="0" w:color="788184"/>
            </w:tcBorders>
            <w:hideMark/>
          </w:tcPr>
          <w:p w:rsidR="00F149FB" w:rsidRDefault="00F149FB" w:rsidP="00AB201A">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szCs w:val="20"/>
              </w:rPr>
            </w:pPr>
            <w:r>
              <w:rPr>
                <w:i/>
                <w:szCs w:val="20"/>
              </w:rPr>
              <w:t>9.2</w:t>
            </w:r>
          </w:p>
        </w:tc>
        <w:tc>
          <w:tcPr>
            <w:tcW w:w="352" w:type="pct"/>
            <w:tcBorders>
              <w:top w:val="single" w:sz="4" w:space="0" w:color="788184"/>
              <w:left w:val="single" w:sz="4" w:space="0" w:color="788184"/>
              <w:bottom w:val="single" w:sz="4" w:space="0" w:color="788184"/>
              <w:right w:val="single" w:sz="4" w:space="0" w:color="788184"/>
            </w:tcBorders>
            <w:hideMark/>
          </w:tcPr>
          <w:p w:rsidR="00F149FB" w:rsidRDefault="00F149FB" w:rsidP="00AB201A">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
                <w:szCs w:val="20"/>
              </w:rPr>
            </w:pPr>
            <w:r>
              <w:rPr>
                <w:b/>
                <w:i/>
                <w:szCs w:val="20"/>
              </w:rPr>
              <w:t>15.7</w:t>
            </w:r>
          </w:p>
        </w:tc>
        <w:tc>
          <w:tcPr>
            <w:tcW w:w="320" w:type="pct"/>
            <w:tcBorders>
              <w:top w:val="single" w:sz="4" w:space="0" w:color="788184"/>
              <w:left w:val="single" w:sz="4" w:space="0" w:color="788184"/>
              <w:bottom w:val="single" w:sz="4" w:space="0" w:color="788184"/>
              <w:right w:val="single" w:sz="4" w:space="0" w:color="788184"/>
            </w:tcBorders>
            <w:vAlign w:val="top"/>
            <w:hideMark/>
          </w:tcPr>
          <w:p w:rsid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10.0 </w:t>
            </w:r>
          </w:p>
        </w:tc>
        <w:tc>
          <w:tcPr>
            <w:tcW w:w="320" w:type="pct"/>
            <w:tcBorders>
              <w:top w:val="single" w:sz="4" w:space="0" w:color="788184"/>
              <w:left w:val="single" w:sz="4" w:space="0" w:color="788184"/>
              <w:bottom w:val="single" w:sz="4" w:space="0" w:color="788184"/>
              <w:right w:val="single" w:sz="4" w:space="0" w:color="788184"/>
            </w:tcBorders>
            <w:vAlign w:val="top"/>
            <w:hideMark/>
          </w:tcPr>
          <w:p w:rsid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10.0 </w:t>
            </w:r>
          </w:p>
        </w:tc>
        <w:tc>
          <w:tcPr>
            <w:tcW w:w="321" w:type="pct"/>
            <w:tcBorders>
              <w:top w:val="single" w:sz="4" w:space="0" w:color="788184"/>
              <w:left w:val="single" w:sz="4" w:space="0" w:color="788184"/>
              <w:bottom w:val="single" w:sz="4" w:space="0" w:color="788184"/>
              <w:right w:val="single" w:sz="4" w:space="0" w:color="788184"/>
            </w:tcBorders>
            <w:vAlign w:val="top"/>
            <w:hideMark/>
          </w:tcPr>
          <w:p w:rsid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10.0 </w:t>
            </w:r>
          </w:p>
        </w:tc>
        <w:tc>
          <w:tcPr>
            <w:tcW w:w="321" w:type="pct"/>
            <w:tcBorders>
              <w:top w:val="single" w:sz="4" w:space="0" w:color="788184"/>
              <w:left w:val="single" w:sz="4" w:space="0" w:color="788184"/>
              <w:bottom w:val="single" w:sz="4" w:space="0" w:color="788184"/>
              <w:right w:val="single" w:sz="4" w:space="0" w:color="788184"/>
            </w:tcBorders>
            <w:vAlign w:val="top"/>
            <w:hideMark/>
          </w:tcPr>
          <w:p w:rsid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10.0 </w:t>
            </w:r>
          </w:p>
        </w:tc>
        <w:tc>
          <w:tcPr>
            <w:tcW w:w="322" w:type="pct"/>
            <w:tcBorders>
              <w:top w:val="single" w:sz="4" w:space="0" w:color="788184"/>
              <w:left w:val="single" w:sz="4" w:space="0" w:color="788184"/>
              <w:bottom w:val="single" w:sz="4" w:space="0" w:color="788184"/>
              <w:right w:val="single" w:sz="4" w:space="0" w:color="788184"/>
            </w:tcBorders>
            <w:vAlign w:val="top"/>
            <w:hideMark/>
          </w:tcPr>
          <w:p w:rsid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10.0 </w:t>
            </w:r>
          </w:p>
        </w:tc>
        <w:tc>
          <w:tcPr>
            <w:tcW w:w="322" w:type="pct"/>
            <w:tcBorders>
              <w:top w:val="single" w:sz="4" w:space="0" w:color="788184"/>
              <w:left w:val="single" w:sz="4" w:space="0" w:color="788184"/>
              <w:bottom w:val="single" w:sz="4" w:space="0" w:color="788184"/>
              <w:right w:val="single" w:sz="4" w:space="0" w:color="788184"/>
            </w:tcBorders>
            <w:vAlign w:val="top"/>
            <w:hideMark/>
          </w:tcPr>
          <w:p w:rsid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10.0 </w:t>
            </w:r>
          </w:p>
        </w:tc>
        <w:tc>
          <w:tcPr>
            <w:tcW w:w="352" w:type="pct"/>
            <w:tcBorders>
              <w:top w:val="single" w:sz="4" w:space="0" w:color="788184"/>
              <w:left w:val="single" w:sz="4" w:space="0" w:color="788184"/>
              <w:bottom w:val="single" w:sz="4" w:space="0" w:color="788184"/>
              <w:right w:val="single" w:sz="4" w:space="0" w:color="788184"/>
            </w:tcBorders>
            <w:vAlign w:val="top"/>
            <w:hideMark/>
          </w:tcPr>
          <w:p w:rsidR="00F149FB"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10.0 </w:t>
            </w:r>
          </w:p>
        </w:tc>
        <w:tc>
          <w:tcPr>
            <w:tcW w:w="380" w:type="pct"/>
            <w:tcBorders>
              <w:top w:val="single" w:sz="4" w:space="0" w:color="788184"/>
              <w:left w:val="single" w:sz="4" w:space="0" w:color="788184"/>
              <w:bottom w:val="single" w:sz="4" w:space="0" w:color="788184"/>
              <w:right w:val="single" w:sz="4" w:space="0" w:color="788184"/>
            </w:tcBorders>
            <w:hideMark/>
          </w:tcPr>
          <w:p w:rsidR="00F149FB" w:rsidRDefault="00F149FB" w:rsidP="00AB201A">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
                <w:szCs w:val="20"/>
              </w:rPr>
            </w:pPr>
            <w:r>
              <w:rPr>
                <w:b/>
                <w:i/>
                <w:szCs w:val="20"/>
              </w:rPr>
              <w:t>85.7</w:t>
            </w:r>
          </w:p>
        </w:tc>
      </w:tr>
      <w:tr w:rsidR="00F149FB" w:rsidTr="00F149FB">
        <w:trPr>
          <w:cantSplit/>
        </w:trPr>
        <w:tc>
          <w:tcPr>
            <w:cnfStyle w:val="001000000000" w:firstRow="0" w:lastRow="0" w:firstColumn="1" w:lastColumn="0" w:oddVBand="0" w:evenVBand="0" w:oddHBand="0" w:evenHBand="0" w:firstRowFirstColumn="0" w:firstRowLastColumn="0" w:lastRowFirstColumn="0" w:lastRowLastColumn="0"/>
            <w:tcW w:w="706" w:type="pct"/>
            <w:tcBorders>
              <w:top w:val="single" w:sz="4" w:space="0" w:color="788184"/>
              <w:left w:val="single" w:sz="4" w:space="0" w:color="788184"/>
              <w:bottom w:val="single" w:sz="4" w:space="0" w:color="788184"/>
              <w:right w:val="single" w:sz="4" w:space="0" w:color="788184"/>
            </w:tcBorders>
            <w:shd w:val="clear" w:color="auto" w:fill="D7DDE9"/>
            <w:hideMark/>
          </w:tcPr>
          <w:p w:rsidR="00F149FB" w:rsidRDefault="00F149FB" w:rsidP="00AB201A">
            <w:pPr>
              <w:spacing w:before="70" w:after="70" w:line="240" w:lineRule="auto"/>
              <w:ind w:left="57" w:right="57"/>
              <w:rPr>
                <w:b/>
                <w:szCs w:val="20"/>
              </w:rPr>
            </w:pPr>
            <w:r>
              <w:rPr>
                <w:b/>
                <w:szCs w:val="20"/>
              </w:rPr>
              <w:t>Total</w:t>
            </w:r>
          </w:p>
        </w:tc>
        <w:tc>
          <w:tcPr>
            <w:tcW w:w="322"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-6.9 </w:t>
            </w:r>
          </w:p>
        </w:tc>
        <w:tc>
          <w:tcPr>
            <w:tcW w:w="321"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-355.3 </w:t>
            </w:r>
          </w:p>
        </w:tc>
        <w:tc>
          <w:tcPr>
            <w:tcW w:w="321"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-101.3 </w:t>
            </w:r>
          </w:p>
        </w:tc>
        <w:tc>
          <w:tcPr>
            <w:tcW w:w="320"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-150.8 </w:t>
            </w:r>
          </w:p>
        </w:tc>
        <w:tc>
          <w:tcPr>
            <w:tcW w:w="352"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-614.3 </w:t>
            </w:r>
          </w:p>
        </w:tc>
        <w:tc>
          <w:tcPr>
            <w:tcW w:w="320"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-150.0 </w:t>
            </w:r>
          </w:p>
        </w:tc>
        <w:tc>
          <w:tcPr>
            <w:tcW w:w="320"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100.0 </w:t>
            </w:r>
          </w:p>
        </w:tc>
        <w:tc>
          <w:tcPr>
            <w:tcW w:w="321"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1"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2"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2"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52"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80"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F149FB" w:rsidRPr="00BF79B9" w:rsidRDefault="00F149FB"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-664.3 </w:t>
            </w:r>
          </w:p>
        </w:tc>
      </w:tr>
    </w:tbl>
    <w:p w:rsidR="00F149FB" w:rsidRDefault="00F149FB" w:rsidP="00AB201A">
      <w:pPr>
        <w:pStyle w:val="Footnotes"/>
        <w:numPr>
          <w:ilvl w:val="0"/>
          <w:numId w:val="24"/>
        </w:numPr>
        <w:ind w:left="284" w:hanging="284"/>
      </w:pPr>
      <w:r>
        <w:t xml:space="preserve">A </w:t>
      </w:r>
      <w:r w:rsidR="00740735">
        <w:t>positive</w:t>
      </w:r>
      <w:r w:rsidR="00740735" w:rsidRPr="00740735">
        <w:t xml:space="preserve"> number </w:t>
      </w:r>
      <w:r w:rsidR="00E459A2">
        <w:t xml:space="preserve">for the fiscal balance </w:t>
      </w:r>
      <w:r w:rsidR="00740735" w:rsidRPr="00740735">
        <w:t xml:space="preserve">indicates an increase in revenue or decrease in expenses or net capital investment in accrual terms. A negative number </w:t>
      </w:r>
      <w:r w:rsidR="00E459A2">
        <w:t xml:space="preserve">for the fiscal balance </w:t>
      </w:r>
      <w:r w:rsidR="00740735" w:rsidRPr="00740735">
        <w:t>indicates a decrease in revenue or an increase in expenses or net capital investment in accrual terms.</w:t>
      </w:r>
    </w:p>
    <w:p w:rsidR="00F149FB" w:rsidRDefault="00F149FB" w:rsidP="00AB201A">
      <w:pPr>
        <w:pStyle w:val="Footnotes"/>
        <w:ind w:left="284" w:hanging="284"/>
      </w:pPr>
      <w:r>
        <w:t>Figures may not sum to totals due to rounding.</w:t>
      </w:r>
    </w:p>
    <w:p w:rsidR="00F149FB" w:rsidRDefault="00F149FB" w:rsidP="00AB201A">
      <w:pPr>
        <w:pStyle w:val="Footnotes"/>
        <w:numPr>
          <w:ilvl w:val="0"/>
          <w:numId w:val="0"/>
        </w:numPr>
        <w:ind w:left="284" w:hanging="284"/>
      </w:pPr>
      <w:r>
        <w:t>-</w:t>
      </w:r>
      <w:r>
        <w:tab/>
        <w:t>Indicates nil.</w:t>
      </w:r>
    </w:p>
    <w:p w:rsidR="00740735" w:rsidRDefault="00740735" w:rsidP="00AB201A">
      <w:pPr>
        <w:pStyle w:val="Captionheading"/>
        <w:keepLines/>
      </w:pPr>
      <w:r>
        <w:lastRenderedPageBreak/>
        <w:t>Table A2: Combined impact of all components—</w:t>
      </w:r>
      <w:r w:rsidR="005E6163">
        <w:t>Underlying cash</w:t>
      </w:r>
      <w:r>
        <w:t xml:space="preserve"> balance</w:t>
      </w:r>
      <w:r>
        <w:rPr>
          <w:vertAlign w:val="superscript"/>
        </w:rPr>
        <w:t>(a)(b)</w:t>
      </w:r>
    </w:p>
    <w:tbl>
      <w:tblPr>
        <w:tblStyle w:val="TableGrid"/>
        <w:tblW w:w="5031" w:type="pct"/>
        <w:tblLook w:val="0680" w:firstRow="0" w:lastRow="0" w:firstColumn="1" w:lastColumn="0" w:noHBand="1" w:noVBand="1"/>
      </w:tblPr>
      <w:tblGrid>
        <w:gridCol w:w="1992"/>
        <w:gridCol w:w="909"/>
        <w:gridCol w:w="905"/>
        <w:gridCol w:w="905"/>
        <w:gridCol w:w="902"/>
        <w:gridCol w:w="993"/>
        <w:gridCol w:w="902"/>
        <w:gridCol w:w="902"/>
        <w:gridCol w:w="905"/>
        <w:gridCol w:w="905"/>
        <w:gridCol w:w="908"/>
        <w:gridCol w:w="908"/>
        <w:gridCol w:w="993"/>
        <w:gridCol w:w="1072"/>
      </w:tblGrid>
      <w:tr w:rsidR="00740735" w:rsidTr="00AE44B2">
        <w:trPr>
          <w:cantSplit/>
        </w:trPr>
        <w:tc>
          <w:tcPr>
            <w:cnfStyle w:val="001000000000" w:firstRow="0" w:lastRow="0" w:firstColumn="1" w:lastColumn="0" w:oddVBand="0" w:evenVBand="0" w:oddHBand="0" w:evenHBand="0" w:firstRowFirstColumn="0" w:firstRowLastColumn="0" w:lastRowFirstColumn="0" w:lastRowLastColumn="0"/>
            <w:tcW w:w="706" w:type="pct"/>
            <w:tcBorders>
              <w:top w:val="single" w:sz="4" w:space="0" w:color="788184"/>
              <w:left w:val="single" w:sz="4" w:space="0" w:color="788184"/>
              <w:bottom w:val="single" w:sz="4" w:space="0" w:color="788184"/>
              <w:right w:val="single" w:sz="4" w:space="0" w:color="788184"/>
            </w:tcBorders>
            <w:shd w:val="clear" w:color="auto" w:fill="D7DDE9"/>
            <w:hideMark/>
          </w:tcPr>
          <w:p w:rsidR="00740735" w:rsidRDefault="00740735" w:rsidP="00AB201A">
            <w:pPr>
              <w:keepNext/>
              <w:keepLines/>
              <w:spacing w:before="70" w:after="70" w:line="240" w:lineRule="auto"/>
              <w:ind w:left="57" w:right="57"/>
              <w:rPr>
                <w:szCs w:val="20"/>
              </w:rPr>
            </w:pPr>
            <w:r>
              <w:rPr>
                <w:szCs w:val="20"/>
              </w:rPr>
              <w:t>($m)</w:t>
            </w:r>
          </w:p>
        </w:tc>
        <w:tc>
          <w:tcPr>
            <w:tcW w:w="322" w:type="pct"/>
            <w:tcBorders>
              <w:top w:val="single" w:sz="4" w:space="0" w:color="788184"/>
              <w:left w:val="single" w:sz="4" w:space="0" w:color="788184"/>
              <w:bottom w:val="single" w:sz="4" w:space="0" w:color="788184"/>
              <w:right w:val="single" w:sz="4" w:space="0" w:color="788184"/>
            </w:tcBorders>
            <w:shd w:val="clear" w:color="auto" w:fill="D7DDE9"/>
            <w:hideMark/>
          </w:tcPr>
          <w:p w:rsidR="00740735" w:rsidRDefault="0074073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2016–17</w:t>
            </w:r>
          </w:p>
        </w:tc>
        <w:tc>
          <w:tcPr>
            <w:tcW w:w="321" w:type="pct"/>
            <w:tcBorders>
              <w:top w:val="single" w:sz="4" w:space="0" w:color="788184"/>
              <w:left w:val="single" w:sz="4" w:space="0" w:color="788184"/>
              <w:bottom w:val="single" w:sz="4" w:space="0" w:color="788184"/>
              <w:right w:val="single" w:sz="4" w:space="0" w:color="788184"/>
            </w:tcBorders>
            <w:shd w:val="clear" w:color="auto" w:fill="D7DDE9"/>
            <w:hideMark/>
          </w:tcPr>
          <w:p w:rsidR="00740735" w:rsidRDefault="0074073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2017–18</w:t>
            </w:r>
          </w:p>
        </w:tc>
        <w:tc>
          <w:tcPr>
            <w:tcW w:w="321" w:type="pct"/>
            <w:tcBorders>
              <w:top w:val="single" w:sz="4" w:space="0" w:color="788184"/>
              <w:left w:val="single" w:sz="4" w:space="0" w:color="788184"/>
              <w:bottom w:val="single" w:sz="4" w:space="0" w:color="788184"/>
              <w:right w:val="single" w:sz="4" w:space="0" w:color="788184"/>
            </w:tcBorders>
            <w:shd w:val="clear" w:color="auto" w:fill="D7DDE9"/>
            <w:hideMark/>
          </w:tcPr>
          <w:p w:rsidR="00740735" w:rsidRDefault="0074073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2018–19</w:t>
            </w:r>
          </w:p>
        </w:tc>
        <w:tc>
          <w:tcPr>
            <w:tcW w:w="320" w:type="pct"/>
            <w:tcBorders>
              <w:top w:val="single" w:sz="4" w:space="0" w:color="788184"/>
              <w:left w:val="single" w:sz="4" w:space="0" w:color="788184"/>
              <w:bottom w:val="single" w:sz="4" w:space="0" w:color="788184"/>
              <w:right w:val="single" w:sz="4" w:space="0" w:color="788184"/>
            </w:tcBorders>
            <w:shd w:val="clear" w:color="auto" w:fill="D7DDE9"/>
            <w:hideMark/>
          </w:tcPr>
          <w:p w:rsidR="00740735" w:rsidRDefault="0074073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2019–20</w:t>
            </w:r>
          </w:p>
        </w:tc>
        <w:tc>
          <w:tcPr>
            <w:tcW w:w="352" w:type="pct"/>
            <w:tcBorders>
              <w:top w:val="single" w:sz="4" w:space="0" w:color="788184"/>
              <w:left w:val="single" w:sz="4" w:space="0" w:color="788184"/>
              <w:bottom w:val="single" w:sz="4" w:space="0" w:color="788184"/>
              <w:right w:val="single" w:sz="4" w:space="0" w:color="788184"/>
            </w:tcBorders>
            <w:shd w:val="clear" w:color="auto" w:fill="D7DDE9"/>
            <w:hideMark/>
          </w:tcPr>
          <w:p w:rsidR="00740735" w:rsidRDefault="0074073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vertAlign w:val="superscript"/>
              </w:rPr>
            </w:pPr>
            <w:r>
              <w:rPr>
                <w:b/>
              </w:rPr>
              <w:t>Total to 2019–20</w:t>
            </w:r>
          </w:p>
        </w:tc>
        <w:tc>
          <w:tcPr>
            <w:tcW w:w="320" w:type="pct"/>
            <w:tcBorders>
              <w:top w:val="single" w:sz="4" w:space="0" w:color="788184"/>
              <w:left w:val="single" w:sz="4" w:space="0" w:color="788184"/>
              <w:bottom w:val="single" w:sz="4" w:space="0" w:color="788184"/>
              <w:right w:val="single" w:sz="4" w:space="0" w:color="788184"/>
            </w:tcBorders>
            <w:shd w:val="clear" w:color="auto" w:fill="D7DDE9"/>
            <w:hideMark/>
          </w:tcPr>
          <w:p w:rsidR="00740735" w:rsidRDefault="0074073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2020–21</w:t>
            </w:r>
          </w:p>
        </w:tc>
        <w:tc>
          <w:tcPr>
            <w:tcW w:w="320" w:type="pct"/>
            <w:tcBorders>
              <w:top w:val="single" w:sz="4" w:space="0" w:color="788184"/>
              <w:left w:val="single" w:sz="4" w:space="0" w:color="788184"/>
              <w:bottom w:val="single" w:sz="4" w:space="0" w:color="788184"/>
              <w:right w:val="single" w:sz="4" w:space="0" w:color="788184"/>
            </w:tcBorders>
            <w:shd w:val="clear" w:color="auto" w:fill="D7DDE9"/>
            <w:hideMark/>
          </w:tcPr>
          <w:p w:rsidR="00740735" w:rsidRDefault="0074073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2021–22</w:t>
            </w:r>
          </w:p>
        </w:tc>
        <w:tc>
          <w:tcPr>
            <w:tcW w:w="321" w:type="pct"/>
            <w:tcBorders>
              <w:top w:val="single" w:sz="4" w:space="0" w:color="788184"/>
              <w:left w:val="single" w:sz="4" w:space="0" w:color="788184"/>
              <w:bottom w:val="single" w:sz="4" w:space="0" w:color="788184"/>
              <w:right w:val="single" w:sz="4" w:space="0" w:color="788184"/>
            </w:tcBorders>
            <w:shd w:val="clear" w:color="auto" w:fill="D7DDE9"/>
            <w:hideMark/>
          </w:tcPr>
          <w:p w:rsidR="00740735" w:rsidRDefault="0074073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2022–23</w:t>
            </w:r>
          </w:p>
        </w:tc>
        <w:tc>
          <w:tcPr>
            <w:tcW w:w="321" w:type="pct"/>
            <w:tcBorders>
              <w:top w:val="single" w:sz="4" w:space="0" w:color="788184"/>
              <w:left w:val="single" w:sz="4" w:space="0" w:color="788184"/>
              <w:bottom w:val="single" w:sz="4" w:space="0" w:color="788184"/>
              <w:right w:val="single" w:sz="4" w:space="0" w:color="788184"/>
            </w:tcBorders>
            <w:shd w:val="clear" w:color="auto" w:fill="D7DDE9"/>
            <w:hideMark/>
          </w:tcPr>
          <w:p w:rsidR="00740735" w:rsidRDefault="0074073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2023–24</w:t>
            </w:r>
          </w:p>
        </w:tc>
        <w:tc>
          <w:tcPr>
            <w:tcW w:w="322" w:type="pct"/>
            <w:tcBorders>
              <w:top w:val="single" w:sz="4" w:space="0" w:color="788184"/>
              <w:left w:val="single" w:sz="4" w:space="0" w:color="788184"/>
              <w:bottom w:val="single" w:sz="4" w:space="0" w:color="788184"/>
              <w:right w:val="single" w:sz="4" w:space="0" w:color="788184"/>
            </w:tcBorders>
            <w:shd w:val="clear" w:color="auto" w:fill="D7DDE9"/>
            <w:hideMark/>
          </w:tcPr>
          <w:p w:rsidR="00740735" w:rsidRDefault="0074073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2024–25</w:t>
            </w:r>
          </w:p>
        </w:tc>
        <w:tc>
          <w:tcPr>
            <w:tcW w:w="322" w:type="pct"/>
            <w:tcBorders>
              <w:top w:val="single" w:sz="4" w:space="0" w:color="788184"/>
              <w:left w:val="single" w:sz="4" w:space="0" w:color="788184"/>
              <w:bottom w:val="single" w:sz="4" w:space="0" w:color="788184"/>
              <w:right w:val="single" w:sz="4" w:space="0" w:color="788184"/>
            </w:tcBorders>
            <w:shd w:val="clear" w:color="auto" w:fill="D7DDE9"/>
            <w:hideMark/>
          </w:tcPr>
          <w:p w:rsidR="00740735" w:rsidRDefault="0074073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2025–26</w:t>
            </w:r>
          </w:p>
        </w:tc>
        <w:tc>
          <w:tcPr>
            <w:tcW w:w="352" w:type="pct"/>
            <w:tcBorders>
              <w:top w:val="single" w:sz="4" w:space="0" w:color="788184"/>
              <w:left w:val="single" w:sz="4" w:space="0" w:color="788184"/>
              <w:bottom w:val="single" w:sz="4" w:space="0" w:color="788184"/>
              <w:right w:val="single" w:sz="4" w:space="0" w:color="788184"/>
            </w:tcBorders>
            <w:shd w:val="clear" w:color="auto" w:fill="D7DDE9"/>
            <w:hideMark/>
          </w:tcPr>
          <w:p w:rsidR="00740735" w:rsidRDefault="0074073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t>2026–27</w:t>
            </w:r>
          </w:p>
        </w:tc>
        <w:tc>
          <w:tcPr>
            <w:tcW w:w="380" w:type="pct"/>
            <w:tcBorders>
              <w:top w:val="single" w:sz="4" w:space="0" w:color="788184"/>
              <w:left w:val="single" w:sz="4" w:space="0" w:color="788184"/>
              <w:bottom w:val="single" w:sz="4" w:space="0" w:color="788184"/>
              <w:right w:val="single" w:sz="4" w:space="0" w:color="788184"/>
            </w:tcBorders>
            <w:shd w:val="clear" w:color="auto" w:fill="D7DDE9"/>
            <w:hideMark/>
          </w:tcPr>
          <w:p w:rsidR="00740735" w:rsidRDefault="0074073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Pr>
                <w:b/>
              </w:rPr>
              <w:t>Total to 2026–27</w:t>
            </w:r>
          </w:p>
        </w:tc>
      </w:tr>
      <w:tr w:rsidR="00740735" w:rsidTr="00AE44B2">
        <w:trPr>
          <w:cantSplit/>
        </w:trPr>
        <w:tc>
          <w:tcPr>
            <w:cnfStyle w:val="001000000000" w:firstRow="0" w:lastRow="0" w:firstColumn="1" w:lastColumn="0" w:oddVBand="0" w:evenVBand="0" w:oddHBand="0" w:evenHBand="0" w:firstRowFirstColumn="0" w:firstRowLastColumn="0" w:lastRowFirstColumn="0" w:lastRowLastColumn="0"/>
            <w:tcW w:w="706" w:type="pct"/>
            <w:tcBorders>
              <w:top w:val="single" w:sz="4" w:space="0" w:color="788184"/>
              <w:left w:val="single" w:sz="4" w:space="0" w:color="788184"/>
              <w:bottom w:val="single" w:sz="4" w:space="0" w:color="788184"/>
              <w:right w:val="single" w:sz="4" w:space="0" w:color="788184"/>
            </w:tcBorders>
          </w:tcPr>
          <w:p w:rsidR="00740735" w:rsidRPr="00F149FB" w:rsidRDefault="00740735" w:rsidP="00AB201A">
            <w:pPr>
              <w:keepNext/>
              <w:keepLines/>
              <w:spacing w:before="70" w:after="70" w:line="240" w:lineRule="auto"/>
              <w:ind w:left="57" w:right="57"/>
              <w:rPr>
                <w:b/>
                <w:szCs w:val="20"/>
              </w:rPr>
            </w:pPr>
            <w:r w:rsidRPr="00F149FB">
              <w:rPr>
                <w:b/>
                <w:szCs w:val="20"/>
              </w:rPr>
              <w:t>Re</w:t>
            </w:r>
            <w:r>
              <w:rPr>
                <w:b/>
                <w:szCs w:val="20"/>
              </w:rPr>
              <w:t>ceipts</w:t>
            </w:r>
          </w:p>
        </w:tc>
        <w:tc>
          <w:tcPr>
            <w:tcW w:w="322" w:type="pct"/>
            <w:tcBorders>
              <w:top w:val="single" w:sz="4" w:space="0" w:color="788184"/>
              <w:left w:val="single" w:sz="4" w:space="0" w:color="788184"/>
              <w:bottom w:val="single" w:sz="4" w:space="0" w:color="788184"/>
              <w:right w:val="single" w:sz="4" w:space="0" w:color="788184"/>
            </w:tcBorders>
            <w:vAlign w:val="top"/>
          </w:tcPr>
          <w:p w:rsidR="00740735" w:rsidRPr="00F149FB"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 -   </w:t>
            </w:r>
          </w:p>
        </w:tc>
        <w:tc>
          <w:tcPr>
            <w:tcW w:w="321" w:type="pct"/>
            <w:tcBorders>
              <w:top w:val="single" w:sz="4" w:space="0" w:color="788184"/>
              <w:left w:val="single" w:sz="4" w:space="0" w:color="788184"/>
              <w:bottom w:val="single" w:sz="4" w:space="0" w:color="788184"/>
              <w:right w:val="single" w:sz="4" w:space="0" w:color="788184"/>
            </w:tcBorders>
            <w:vAlign w:val="top"/>
          </w:tcPr>
          <w:p w:rsidR="00740735" w:rsidRPr="00F149FB"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w:t>
            </w:r>
            <w:r w:rsidR="005E6163">
              <w:rPr>
                <w:b/>
                <w:i w:val="0"/>
              </w:rPr>
              <w:t>1</w:t>
            </w:r>
            <w:r w:rsidRPr="00F149FB">
              <w:rPr>
                <w:b/>
                <w:i w:val="0"/>
              </w:rPr>
              <w:t>,</w:t>
            </w:r>
            <w:r w:rsidR="005E6163">
              <w:rPr>
                <w:b/>
                <w:i w:val="0"/>
              </w:rPr>
              <w:t>8</w:t>
            </w:r>
            <w:r w:rsidRPr="00F149FB">
              <w:rPr>
                <w:b/>
                <w:i w:val="0"/>
              </w:rPr>
              <w:t xml:space="preserve">00.0 </w:t>
            </w:r>
          </w:p>
        </w:tc>
        <w:tc>
          <w:tcPr>
            <w:tcW w:w="321" w:type="pct"/>
            <w:tcBorders>
              <w:top w:val="single" w:sz="4" w:space="0" w:color="788184"/>
              <w:left w:val="single" w:sz="4" w:space="0" w:color="788184"/>
              <w:bottom w:val="single" w:sz="4" w:space="0" w:color="788184"/>
              <w:right w:val="single" w:sz="4" w:space="0" w:color="788184"/>
            </w:tcBorders>
            <w:vAlign w:val="top"/>
          </w:tcPr>
          <w:p w:rsidR="00740735" w:rsidRPr="00F149FB"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-2,250.0 </w:t>
            </w:r>
          </w:p>
        </w:tc>
        <w:tc>
          <w:tcPr>
            <w:tcW w:w="320" w:type="pct"/>
            <w:tcBorders>
              <w:top w:val="single" w:sz="4" w:space="0" w:color="788184"/>
              <w:left w:val="single" w:sz="4" w:space="0" w:color="788184"/>
              <w:bottom w:val="single" w:sz="4" w:space="0" w:color="788184"/>
              <w:right w:val="single" w:sz="4" w:space="0" w:color="788184"/>
            </w:tcBorders>
            <w:vAlign w:val="top"/>
          </w:tcPr>
          <w:p w:rsidR="00740735" w:rsidRPr="00F149FB"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-2,400.0 </w:t>
            </w:r>
          </w:p>
        </w:tc>
        <w:tc>
          <w:tcPr>
            <w:tcW w:w="352" w:type="pct"/>
            <w:tcBorders>
              <w:top w:val="single" w:sz="4" w:space="0" w:color="788184"/>
              <w:left w:val="single" w:sz="4" w:space="0" w:color="788184"/>
              <w:bottom w:val="single" w:sz="4" w:space="0" w:color="788184"/>
              <w:right w:val="single" w:sz="4" w:space="0" w:color="788184"/>
            </w:tcBorders>
            <w:vAlign w:val="top"/>
          </w:tcPr>
          <w:p w:rsidR="00740735" w:rsidRPr="00F149FB"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-6,</w:t>
            </w:r>
            <w:r w:rsidR="005E6163">
              <w:rPr>
                <w:b/>
                <w:i w:val="0"/>
              </w:rPr>
              <w:t>4</w:t>
            </w:r>
            <w:r w:rsidRPr="00F149FB">
              <w:rPr>
                <w:b/>
                <w:i w:val="0"/>
              </w:rPr>
              <w:t xml:space="preserve">50.0 </w:t>
            </w:r>
          </w:p>
        </w:tc>
        <w:tc>
          <w:tcPr>
            <w:tcW w:w="320" w:type="pct"/>
            <w:tcBorders>
              <w:top w:val="single" w:sz="4" w:space="0" w:color="788184"/>
              <w:left w:val="single" w:sz="4" w:space="0" w:color="788184"/>
              <w:bottom w:val="single" w:sz="4" w:space="0" w:color="788184"/>
              <w:right w:val="single" w:sz="4" w:space="0" w:color="788184"/>
            </w:tcBorders>
            <w:vAlign w:val="top"/>
          </w:tcPr>
          <w:p w:rsidR="00740735" w:rsidRPr="00F149FB"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-2,500.0 </w:t>
            </w:r>
          </w:p>
        </w:tc>
        <w:tc>
          <w:tcPr>
            <w:tcW w:w="320" w:type="pct"/>
            <w:tcBorders>
              <w:top w:val="single" w:sz="4" w:space="0" w:color="788184"/>
              <w:left w:val="single" w:sz="4" w:space="0" w:color="788184"/>
              <w:bottom w:val="single" w:sz="4" w:space="0" w:color="788184"/>
              <w:right w:val="single" w:sz="4" w:space="0" w:color="788184"/>
            </w:tcBorders>
            <w:vAlign w:val="top"/>
          </w:tcPr>
          <w:p w:rsidR="00740735" w:rsidRPr="00F149FB"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-2,350.0 </w:t>
            </w:r>
          </w:p>
        </w:tc>
        <w:tc>
          <w:tcPr>
            <w:tcW w:w="321" w:type="pct"/>
            <w:tcBorders>
              <w:top w:val="single" w:sz="4" w:space="0" w:color="788184"/>
              <w:left w:val="single" w:sz="4" w:space="0" w:color="788184"/>
              <w:bottom w:val="single" w:sz="4" w:space="0" w:color="788184"/>
              <w:right w:val="single" w:sz="4" w:space="0" w:color="788184"/>
            </w:tcBorders>
            <w:vAlign w:val="top"/>
          </w:tcPr>
          <w:p w:rsidR="00740735" w:rsidRPr="00F149FB"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-2,600.0 </w:t>
            </w:r>
          </w:p>
        </w:tc>
        <w:tc>
          <w:tcPr>
            <w:tcW w:w="321" w:type="pct"/>
            <w:tcBorders>
              <w:top w:val="single" w:sz="4" w:space="0" w:color="788184"/>
              <w:left w:val="single" w:sz="4" w:space="0" w:color="788184"/>
              <w:bottom w:val="single" w:sz="4" w:space="0" w:color="788184"/>
              <w:right w:val="single" w:sz="4" w:space="0" w:color="788184"/>
            </w:tcBorders>
            <w:vAlign w:val="top"/>
          </w:tcPr>
          <w:p w:rsidR="00740735" w:rsidRPr="00F149FB"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-2,750.0 </w:t>
            </w:r>
          </w:p>
        </w:tc>
        <w:tc>
          <w:tcPr>
            <w:tcW w:w="322" w:type="pct"/>
            <w:tcBorders>
              <w:top w:val="single" w:sz="4" w:space="0" w:color="788184"/>
              <w:left w:val="single" w:sz="4" w:space="0" w:color="788184"/>
              <w:bottom w:val="single" w:sz="4" w:space="0" w:color="788184"/>
              <w:right w:val="single" w:sz="4" w:space="0" w:color="788184"/>
            </w:tcBorders>
            <w:vAlign w:val="top"/>
          </w:tcPr>
          <w:p w:rsidR="00740735" w:rsidRPr="00F149FB"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-2,900.0 </w:t>
            </w:r>
          </w:p>
        </w:tc>
        <w:tc>
          <w:tcPr>
            <w:tcW w:w="322" w:type="pct"/>
            <w:tcBorders>
              <w:top w:val="single" w:sz="4" w:space="0" w:color="788184"/>
              <w:left w:val="single" w:sz="4" w:space="0" w:color="788184"/>
              <w:bottom w:val="single" w:sz="4" w:space="0" w:color="788184"/>
              <w:right w:val="single" w:sz="4" w:space="0" w:color="788184"/>
            </w:tcBorders>
            <w:vAlign w:val="top"/>
          </w:tcPr>
          <w:p w:rsidR="00740735" w:rsidRPr="00F149FB"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-3,050.0 </w:t>
            </w:r>
          </w:p>
        </w:tc>
        <w:tc>
          <w:tcPr>
            <w:tcW w:w="352" w:type="pct"/>
            <w:tcBorders>
              <w:top w:val="single" w:sz="4" w:space="0" w:color="788184"/>
              <w:left w:val="single" w:sz="4" w:space="0" w:color="788184"/>
              <w:bottom w:val="single" w:sz="4" w:space="0" w:color="788184"/>
              <w:right w:val="single" w:sz="4" w:space="0" w:color="788184"/>
            </w:tcBorders>
            <w:vAlign w:val="top"/>
          </w:tcPr>
          <w:p w:rsidR="00740735" w:rsidRPr="00F149FB"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 xml:space="preserve">-3,200.0 </w:t>
            </w:r>
          </w:p>
        </w:tc>
        <w:tc>
          <w:tcPr>
            <w:tcW w:w="380" w:type="pct"/>
            <w:tcBorders>
              <w:top w:val="single" w:sz="4" w:space="0" w:color="788184"/>
              <w:left w:val="single" w:sz="4" w:space="0" w:color="788184"/>
              <w:bottom w:val="single" w:sz="4" w:space="0" w:color="788184"/>
              <w:right w:val="single" w:sz="4" w:space="0" w:color="788184"/>
            </w:tcBorders>
            <w:vAlign w:val="top"/>
          </w:tcPr>
          <w:p w:rsidR="00740735" w:rsidRPr="00F149FB"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F149FB">
              <w:rPr>
                <w:b/>
                <w:i w:val="0"/>
              </w:rPr>
              <w:t>-2</w:t>
            </w:r>
            <w:r w:rsidR="005E6163">
              <w:rPr>
                <w:b/>
                <w:i w:val="0"/>
              </w:rPr>
              <w:t>5</w:t>
            </w:r>
            <w:r w:rsidRPr="00F149FB">
              <w:rPr>
                <w:b/>
                <w:i w:val="0"/>
              </w:rPr>
              <w:t>,</w:t>
            </w:r>
            <w:r w:rsidR="005E6163">
              <w:rPr>
                <w:b/>
                <w:i w:val="0"/>
              </w:rPr>
              <w:t>8</w:t>
            </w:r>
            <w:r w:rsidRPr="00F149FB">
              <w:rPr>
                <w:b/>
                <w:i w:val="0"/>
              </w:rPr>
              <w:t xml:space="preserve">00.0 </w:t>
            </w:r>
          </w:p>
        </w:tc>
      </w:tr>
      <w:tr w:rsidR="00740735" w:rsidTr="00AE44B2">
        <w:trPr>
          <w:cantSplit/>
        </w:trPr>
        <w:tc>
          <w:tcPr>
            <w:cnfStyle w:val="001000000000" w:firstRow="0" w:lastRow="0" w:firstColumn="1" w:lastColumn="0" w:oddVBand="0" w:evenVBand="0" w:oddHBand="0" w:evenHBand="0" w:firstRowFirstColumn="0" w:firstRowLastColumn="0" w:lastRowFirstColumn="0" w:lastRowLastColumn="0"/>
            <w:tcW w:w="706" w:type="pct"/>
            <w:tcBorders>
              <w:top w:val="single" w:sz="4" w:space="0" w:color="788184"/>
              <w:left w:val="single" w:sz="4" w:space="0" w:color="788184"/>
              <w:bottom w:val="single" w:sz="4" w:space="0" w:color="788184"/>
              <w:right w:val="single" w:sz="4" w:space="0" w:color="788184"/>
            </w:tcBorders>
          </w:tcPr>
          <w:p w:rsidR="00740735" w:rsidRPr="00BF79B9" w:rsidRDefault="00740735" w:rsidP="00AB201A">
            <w:pPr>
              <w:keepNext/>
              <w:keepLines/>
              <w:spacing w:before="70" w:after="70" w:line="240" w:lineRule="auto"/>
              <w:ind w:left="57" w:right="57"/>
              <w:rPr>
                <w:b/>
              </w:rPr>
            </w:pPr>
            <w:r>
              <w:rPr>
                <w:b/>
              </w:rPr>
              <w:t>Outlays</w:t>
            </w:r>
          </w:p>
        </w:tc>
        <w:tc>
          <w:tcPr>
            <w:tcW w:w="322" w:type="pct"/>
            <w:tcBorders>
              <w:top w:val="single" w:sz="4" w:space="0" w:color="788184"/>
              <w:left w:val="single" w:sz="4" w:space="0" w:color="788184"/>
              <w:bottom w:val="single" w:sz="4" w:space="0" w:color="788184"/>
              <w:right w:val="single" w:sz="4" w:space="0" w:color="788184"/>
            </w:tcBorders>
            <w:vAlign w:val="top"/>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-6.9 </w:t>
            </w:r>
          </w:p>
        </w:tc>
        <w:tc>
          <w:tcPr>
            <w:tcW w:w="321" w:type="pct"/>
            <w:tcBorders>
              <w:top w:val="single" w:sz="4" w:space="0" w:color="788184"/>
              <w:left w:val="single" w:sz="4" w:space="0" w:color="788184"/>
              <w:bottom w:val="single" w:sz="4" w:space="0" w:color="788184"/>
              <w:right w:val="single" w:sz="4" w:space="0" w:color="788184"/>
            </w:tcBorders>
            <w:vAlign w:val="top"/>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1,744.7 </w:t>
            </w:r>
          </w:p>
        </w:tc>
        <w:tc>
          <w:tcPr>
            <w:tcW w:w="321" w:type="pct"/>
            <w:tcBorders>
              <w:top w:val="single" w:sz="4" w:space="0" w:color="788184"/>
              <w:left w:val="single" w:sz="4" w:space="0" w:color="788184"/>
              <w:bottom w:val="single" w:sz="4" w:space="0" w:color="788184"/>
              <w:right w:val="single" w:sz="4" w:space="0" w:color="788184"/>
            </w:tcBorders>
            <w:vAlign w:val="top"/>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2,148.7 </w:t>
            </w:r>
          </w:p>
        </w:tc>
        <w:tc>
          <w:tcPr>
            <w:tcW w:w="320" w:type="pct"/>
            <w:tcBorders>
              <w:top w:val="single" w:sz="4" w:space="0" w:color="788184"/>
              <w:left w:val="single" w:sz="4" w:space="0" w:color="788184"/>
              <w:bottom w:val="single" w:sz="4" w:space="0" w:color="788184"/>
              <w:right w:val="single" w:sz="4" w:space="0" w:color="788184"/>
            </w:tcBorders>
            <w:vAlign w:val="top"/>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2,249.2 </w:t>
            </w:r>
          </w:p>
        </w:tc>
        <w:tc>
          <w:tcPr>
            <w:tcW w:w="352" w:type="pct"/>
            <w:tcBorders>
              <w:top w:val="single" w:sz="4" w:space="0" w:color="788184"/>
              <w:left w:val="single" w:sz="4" w:space="0" w:color="788184"/>
              <w:bottom w:val="single" w:sz="4" w:space="0" w:color="788184"/>
              <w:right w:val="single" w:sz="4" w:space="0" w:color="788184"/>
            </w:tcBorders>
            <w:vAlign w:val="top"/>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6,135.7 </w:t>
            </w:r>
          </w:p>
        </w:tc>
        <w:tc>
          <w:tcPr>
            <w:tcW w:w="320" w:type="pct"/>
            <w:tcBorders>
              <w:top w:val="single" w:sz="4" w:space="0" w:color="788184"/>
              <w:left w:val="single" w:sz="4" w:space="0" w:color="788184"/>
              <w:bottom w:val="single" w:sz="4" w:space="0" w:color="788184"/>
              <w:right w:val="single" w:sz="4" w:space="0" w:color="788184"/>
            </w:tcBorders>
            <w:vAlign w:val="top"/>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2,350.0 </w:t>
            </w:r>
          </w:p>
        </w:tc>
        <w:tc>
          <w:tcPr>
            <w:tcW w:w="320" w:type="pct"/>
            <w:tcBorders>
              <w:top w:val="single" w:sz="4" w:space="0" w:color="788184"/>
              <w:left w:val="single" w:sz="4" w:space="0" w:color="788184"/>
              <w:bottom w:val="single" w:sz="4" w:space="0" w:color="788184"/>
              <w:right w:val="single" w:sz="4" w:space="0" w:color="788184"/>
            </w:tcBorders>
            <w:vAlign w:val="top"/>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2,450.0 </w:t>
            </w:r>
          </w:p>
        </w:tc>
        <w:tc>
          <w:tcPr>
            <w:tcW w:w="321" w:type="pct"/>
            <w:tcBorders>
              <w:top w:val="single" w:sz="4" w:space="0" w:color="788184"/>
              <w:left w:val="single" w:sz="4" w:space="0" w:color="788184"/>
              <w:bottom w:val="single" w:sz="4" w:space="0" w:color="788184"/>
              <w:right w:val="single" w:sz="4" w:space="0" w:color="788184"/>
            </w:tcBorders>
            <w:vAlign w:val="top"/>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2,600.0 </w:t>
            </w:r>
          </w:p>
        </w:tc>
        <w:tc>
          <w:tcPr>
            <w:tcW w:w="321" w:type="pct"/>
            <w:tcBorders>
              <w:top w:val="single" w:sz="4" w:space="0" w:color="788184"/>
              <w:left w:val="single" w:sz="4" w:space="0" w:color="788184"/>
              <w:bottom w:val="single" w:sz="4" w:space="0" w:color="788184"/>
              <w:right w:val="single" w:sz="4" w:space="0" w:color="788184"/>
            </w:tcBorders>
            <w:vAlign w:val="top"/>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2,750.0 </w:t>
            </w:r>
          </w:p>
        </w:tc>
        <w:tc>
          <w:tcPr>
            <w:tcW w:w="322" w:type="pct"/>
            <w:tcBorders>
              <w:top w:val="single" w:sz="4" w:space="0" w:color="788184"/>
              <w:left w:val="single" w:sz="4" w:space="0" w:color="788184"/>
              <w:bottom w:val="single" w:sz="4" w:space="0" w:color="788184"/>
              <w:right w:val="single" w:sz="4" w:space="0" w:color="788184"/>
            </w:tcBorders>
            <w:vAlign w:val="top"/>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2,900.0 </w:t>
            </w:r>
          </w:p>
        </w:tc>
        <w:tc>
          <w:tcPr>
            <w:tcW w:w="322" w:type="pct"/>
            <w:tcBorders>
              <w:top w:val="single" w:sz="4" w:space="0" w:color="788184"/>
              <w:left w:val="single" w:sz="4" w:space="0" w:color="788184"/>
              <w:bottom w:val="single" w:sz="4" w:space="0" w:color="788184"/>
              <w:right w:val="single" w:sz="4" w:space="0" w:color="788184"/>
            </w:tcBorders>
            <w:vAlign w:val="top"/>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3,050.0 </w:t>
            </w:r>
          </w:p>
        </w:tc>
        <w:tc>
          <w:tcPr>
            <w:tcW w:w="352" w:type="pct"/>
            <w:tcBorders>
              <w:top w:val="single" w:sz="4" w:space="0" w:color="788184"/>
              <w:left w:val="single" w:sz="4" w:space="0" w:color="788184"/>
              <w:bottom w:val="single" w:sz="4" w:space="0" w:color="788184"/>
              <w:right w:val="single" w:sz="4" w:space="0" w:color="788184"/>
            </w:tcBorders>
            <w:vAlign w:val="top"/>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3,200.0 </w:t>
            </w:r>
          </w:p>
        </w:tc>
        <w:tc>
          <w:tcPr>
            <w:tcW w:w="380" w:type="pct"/>
            <w:tcBorders>
              <w:top w:val="single" w:sz="4" w:space="0" w:color="788184"/>
              <w:left w:val="single" w:sz="4" w:space="0" w:color="788184"/>
              <w:bottom w:val="single" w:sz="4" w:space="0" w:color="788184"/>
              <w:right w:val="single" w:sz="4" w:space="0" w:color="788184"/>
            </w:tcBorders>
            <w:vAlign w:val="top"/>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25,435.7 </w:t>
            </w:r>
          </w:p>
        </w:tc>
      </w:tr>
      <w:tr w:rsidR="00740735" w:rsidTr="00AE44B2">
        <w:trPr>
          <w:cantSplit/>
        </w:trPr>
        <w:tc>
          <w:tcPr>
            <w:cnfStyle w:val="001000000000" w:firstRow="0" w:lastRow="0" w:firstColumn="1" w:lastColumn="0" w:oddVBand="0" w:evenVBand="0" w:oddHBand="0" w:evenHBand="0" w:firstRowFirstColumn="0" w:firstRowLastColumn="0" w:lastRowFirstColumn="0" w:lastRowLastColumn="0"/>
            <w:tcW w:w="706" w:type="pct"/>
            <w:tcBorders>
              <w:top w:val="single" w:sz="4" w:space="0" w:color="788184"/>
              <w:left w:val="single" w:sz="4" w:space="0" w:color="788184"/>
              <w:bottom w:val="single" w:sz="4" w:space="0" w:color="788184"/>
              <w:right w:val="single" w:sz="4" w:space="0" w:color="788184"/>
            </w:tcBorders>
            <w:hideMark/>
          </w:tcPr>
          <w:p w:rsidR="00740735" w:rsidRDefault="00740735" w:rsidP="00AB201A">
            <w:pPr>
              <w:keepNext/>
              <w:keepLines/>
              <w:spacing w:before="70" w:after="70" w:line="240" w:lineRule="auto"/>
              <w:ind w:left="57" w:right="57"/>
              <w:rPr>
                <w:szCs w:val="20"/>
              </w:rPr>
            </w:pPr>
            <w:r>
              <w:rPr>
                <w:szCs w:val="20"/>
              </w:rPr>
              <w:t>Administered</w:t>
            </w:r>
          </w:p>
        </w:tc>
        <w:tc>
          <w:tcPr>
            <w:tcW w:w="322" w:type="pct"/>
            <w:tcBorders>
              <w:top w:val="single" w:sz="4" w:space="0" w:color="788184"/>
              <w:left w:val="single" w:sz="4" w:space="0" w:color="788184"/>
              <w:bottom w:val="single" w:sz="4" w:space="0" w:color="788184"/>
              <w:right w:val="single" w:sz="4" w:space="0" w:color="788184"/>
            </w:tcBorders>
            <w:vAlign w:val="top"/>
            <w:hideMark/>
          </w:tcPr>
          <w:p w:rsidR="00740735" w:rsidRPr="00843F66"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   </w:t>
            </w:r>
          </w:p>
        </w:tc>
        <w:tc>
          <w:tcPr>
            <w:tcW w:w="321" w:type="pct"/>
            <w:tcBorders>
              <w:top w:val="single" w:sz="4" w:space="0" w:color="788184"/>
              <w:left w:val="single" w:sz="4" w:space="0" w:color="788184"/>
              <w:bottom w:val="single" w:sz="4" w:space="0" w:color="788184"/>
              <w:right w:val="single" w:sz="4" w:space="0" w:color="788184"/>
            </w:tcBorders>
            <w:vAlign w:val="top"/>
            <w:hideMark/>
          </w:tcPr>
          <w:p w:rsidR="00740735" w:rsidRPr="00843F66"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1,740.0 </w:t>
            </w:r>
          </w:p>
        </w:tc>
        <w:tc>
          <w:tcPr>
            <w:tcW w:w="321" w:type="pct"/>
            <w:tcBorders>
              <w:top w:val="single" w:sz="4" w:space="0" w:color="788184"/>
              <w:left w:val="single" w:sz="4" w:space="0" w:color="788184"/>
              <w:bottom w:val="single" w:sz="4" w:space="0" w:color="788184"/>
              <w:right w:val="single" w:sz="4" w:space="0" w:color="788184"/>
            </w:tcBorders>
            <w:vAlign w:val="top"/>
            <w:hideMark/>
          </w:tcPr>
          <w:p w:rsidR="00740735" w:rsidRPr="00843F66"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2,140.0 </w:t>
            </w:r>
          </w:p>
        </w:tc>
        <w:tc>
          <w:tcPr>
            <w:tcW w:w="320" w:type="pct"/>
            <w:tcBorders>
              <w:top w:val="single" w:sz="4" w:space="0" w:color="788184"/>
              <w:left w:val="single" w:sz="4" w:space="0" w:color="788184"/>
              <w:bottom w:val="single" w:sz="4" w:space="0" w:color="788184"/>
              <w:right w:val="single" w:sz="4" w:space="0" w:color="788184"/>
            </w:tcBorders>
            <w:vAlign w:val="top"/>
            <w:hideMark/>
          </w:tcPr>
          <w:p w:rsidR="00740735" w:rsidRPr="00843F66"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2,240.0 </w:t>
            </w:r>
          </w:p>
        </w:tc>
        <w:tc>
          <w:tcPr>
            <w:tcW w:w="352" w:type="pct"/>
            <w:tcBorders>
              <w:top w:val="single" w:sz="4" w:space="0" w:color="788184"/>
              <w:left w:val="single" w:sz="4" w:space="0" w:color="788184"/>
              <w:bottom w:val="single" w:sz="4" w:space="0" w:color="788184"/>
              <w:right w:val="single" w:sz="4" w:space="0" w:color="788184"/>
            </w:tcBorders>
            <w:vAlign w:val="top"/>
            <w:hideMark/>
          </w:tcPr>
          <w:p w:rsidR="00740735" w:rsidRPr="00343282"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343282">
              <w:rPr>
                <w:b/>
              </w:rPr>
              <w:t xml:space="preserve"> 6,120.0 </w:t>
            </w:r>
          </w:p>
        </w:tc>
        <w:tc>
          <w:tcPr>
            <w:tcW w:w="320" w:type="pct"/>
            <w:tcBorders>
              <w:top w:val="single" w:sz="4" w:space="0" w:color="788184"/>
              <w:left w:val="single" w:sz="4" w:space="0" w:color="788184"/>
              <w:bottom w:val="single" w:sz="4" w:space="0" w:color="788184"/>
              <w:right w:val="single" w:sz="4" w:space="0" w:color="788184"/>
            </w:tcBorders>
            <w:vAlign w:val="top"/>
            <w:hideMark/>
          </w:tcPr>
          <w:p w:rsidR="00740735" w:rsidRPr="00843F66"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2,340.0 </w:t>
            </w:r>
          </w:p>
        </w:tc>
        <w:tc>
          <w:tcPr>
            <w:tcW w:w="320" w:type="pct"/>
            <w:tcBorders>
              <w:top w:val="single" w:sz="4" w:space="0" w:color="788184"/>
              <w:left w:val="single" w:sz="4" w:space="0" w:color="788184"/>
              <w:bottom w:val="single" w:sz="4" w:space="0" w:color="788184"/>
              <w:right w:val="single" w:sz="4" w:space="0" w:color="788184"/>
            </w:tcBorders>
            <w:vAlign w:val="top"/>
            <w:hideMark/>
          </w:tcPr>
          <w:p w:rsidR="00740735" w:rsidRPr="00843F66"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2,440.0 </w:t>
            </w:r>
          </w:p>
        </w:tc>
        <w:tc>
          <w:tcPr>
            <w:tcW w:w="321" w:type="pct"/>
            <w:tcBorders>
              <w:top w:val="single" w:sz="4" w:space="0" w:color="788184"/>
              <w:left w:val="single" w:sz="4" w:space="0" w:color="788184"/>
              <w:bottom w:val="single" w:sz="4" w:space="0" w:color="788184"/>
              <w:right w:val="single" w:sz="4" w:space="0" w:color="788184"/>
            </w:tcBorders>
            <w:vAlign w:val="top"/>
            <w:hideMark/>
          </w:tcPr>
          <w:p w:rsidR="00740735" w:rsidRPr="00843F66"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2,590.0 </w:t>
            </w:r>
          </w:p>
        </w:tc>
        <w:tc>
          <w:tcPr>
            <w:tcW w:w="321" w:type="pct"/>
            <w:tcBorders>
              <w:top w:val="single" w:sz="4" w:space="0" w:color="788184"/>
              <w:left w:val="single" w:sz="4" w:space="0" w:color="788184"/>
              <w:bottom w:val="single" w:sz="4" w:space="0" w:color="788184"/>
              <w:right w:val="single" w:sz="4" w:space="0" w:color="788184"/>
            </w:tcBorders>
            <w:vAlign w:val="top"/>
            <w:hideMark/>
          </w:tcPr>
          <w:p w:rsidR="00740735" w:rsidRPr="00843F66"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2,740.0 </w:t>
            </w:r>
          </w:p>
        </w:tc>
        <w:tc>
          <w:tcPr>
            <w:tcW w:w="322" w:type="pct"/>
            <w:tcBorders>
              <w:top w:val="single" w:sz="4" w:space="0" w:color="788184"/>
              <w:left w:val="single" w:sz="4" w:space="0" w:color="788184"/>
              <w:bottom w:val="single" w:sz="4" w:space="0" w:color="788184"/>
              <w:right w:val="single" w:sz="4" w:space="0" w:color="788184"/>
            </w:tcBorders>
            <w:vAlign w:val="top"/>
            <w:hideMark/>
          </w:tcPr>
          <w:p w:rsidR="00740735" w:rsidRPr="00843F66"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2,890.0 </w:t>
            </w:r>
          </w:p>
        </w:tc>
        <w:tc>
          <w:tcPr>
            <w:tcW w:w="322" w:type="pct"/>
            <w:tcBorders>
              <w:top w:val="single" w:sz="4" w:space="0" w:color="788184"/>
              <w:left w:val="single" w:sz="4" w:space="0" w:color="788184"/>
              <w:bottom w:val="single" w:sz="4" w:space="0" w:color="788184"/>
              <w:right w:val="single" w:sz="4" w:space="0" w:color="788184"/>
            </w:tcBorders>
            <w:vAlign w:val="top"/>
            <w:hideMark/>
          </w:tcPr>
          <w:p w:rsidR="00740735" w:rsidRPr="00843F66"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3,040.0 </w:t>
            </w:r>
          </w:p>
        </w:tc>
        <w:tc>
          <w:tcPr>
            <w:tcW w:w="352" w:type="pct"/>
            <w:tcBorders>
              <w:top w:val="single" w:sz="4" w:space="0" w:color="788184"/>
              <w:left w:val="single" w:sz="4" w:space="0" w:color="788184"/>
              <w:bottom w:val="single" w:sz="4" w:space="0" w:color="788184"/>
              <w:right w:val="single" w:sz="4" w:space="0" w:color="788184"/>
            </w:tcBorders>
            <w:vAlign w:val="top"/>
            <w:hideMark/>
          </w:tcPr>
          <w:p w:rsidR="00740735" w:rsidRPr="00843F66"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3,190.0 </w:t>
            </w:r>
          </w:p>
        </w:tc>
        <w:tc>
          <w:tcPr>
            <w:tcW w:w="380" w:type="pct"/>
            <w:tcBorders>
              <w:top w:val="single" w:sz="4" w:space="0" w:color="788184"/>
              <w:left w:val="single" w:sz="4" w:space="0" w:color="788184"/>
              <w:bottom w:val="single" w:sz="4" w:space="0" w:color="788184"/>
              <w:right w:val="single" w:sz="4" w:space="0" w:color="788184"/>
            </w:tcBorders>
            <w:vAlign w:val="top"/>
            <w:hideMark/>
          </w:tcPr>
          <w:p w:rsidR="00740735" w:rsidRPr="00343282"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343282">
              <w:rPr>
                <w:b/>
              </w:rPr>
              <w:t xml:space="preserve"> 25,350.0 </w:t>
            </w:r>
          </w:p>
        </w:tc>
      </w:tr>
      <w:tr w:rsidR="00740735" w:rsidTr="00AE44B2">
        <w:trPr>
          <w:cantSplit/>
        </w:trPr>
        <w:tc>
          <w:tcPr>
            <w:cnfStyle w:val="001000000000" w:firstRow="0" w:lastRow="0" w:firstColumn="1" w:lastColumn="0" w:oddVBand="0" w:evenVBand="0" w:oddHBand="0" w:evenHBand="0" w:firstRowFirstColumn="0" w:firstRowLastColumn="0" w:lastRowFirstColumn="0" w:lastRowLastColumn="0"/>
            <w:tcW w:w="706" w:type="pct"/>
            <w:tcBorders>
              <w:top w:val="single" w:sz="4" w:space="0" w:color="788184"/>
              <w:left w:val="single" w:sz="4" w:space="0" w:color="788184"/>
              <w:bottom w:val="single" w:sz="4" w:space="0" w:color="788184"/>
              <w:right w:val="single" w:sz="4" w:space="0" w:color="788184"/>
            </w:tcBorders>
            <w:hideMark/>
          </w:tcPr>
          <w:p w:rsidR="00740735" w:rsidRDefault="00740735" w:rsidP="00AB201A">
            <w:pPr>
              <w:keepNext/>
              <w:keepLines/>
              <w:spacing w:before="70" w:after="70" w:line="240" w:lineRule="auto"/>
              <w:ind w:left="57" w:right="57"/>
              <w:rPr>
                <w:szCs w:val="20"/>
              </w:rPr>
            </w:pPr>
            <w:r>
              <w:rPr>
                <w:szCs w:val="20"/>
              </w:rPr>
              <w:t>Departmental</w:t>
            </w:r>
          </w:p>
        </w:tc>
        <w:tc>
          <w:tcPr>
            <w:tcW w:w="322" w:type="pct"/>
            <w:tcBorders>
              <w:top w:val="single" w:sz="4" w:space="0" w:color="788184"/>
              <w:left w:val="single" w:sz="4" w:space="0" w:color="788184"/>
              <w:bottom w:val="single" w:sz="4" w:space="0" w:color="788184"/>
              <w:right w:val="single" w:sz="4" w:space="0" w:color="788184"/>
            </w:tcBorders>
            <w:hideMark/>
          </w:tcPr>
          <w:p w:rsidR="00740735" w:rsidRDefault="00740735" w:rsidP="00AB201A">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szCs w:val="20"/>
              </w:rPr>
            </w:pPr>
            <w:r>
              <w:rPr>
                <w:i/>
                <w:szCs w:val="20"/>
              </w:rPr>
              <w:t>-6.9</w:t>
            </w:r>
          </w:p>
        </w:tc>
        <w:tc>
          <w:tcPr>
            <w:tcW w:w="321" w:type="pct"/>
            <w:tcBorders>
              <w:top w:val="single" w:sz="4" w:space="0" w:color="788184"/>
              <w:left w:val="single" w:sz="4" w:space="0" w:color="788184"/>
              <w:bottom w:val="single" w:sz="4" w:space="0" w:color="788184"/>
              <w:right w:val="single" w:sz="4" w:space="0" w:color="788184"/>
            </w:tcBorders>
            <w:hideMark/>
          </w:tcPr>
          <w:p w:rsidR="00740735" w:rsidRDefault="00740735" w:rsidP="00AB201A">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szCs w:val="20"/>
              </w:rPr>
            </w:pPr>
            <w:r>
              <w:rPr>
                <w:i/>
                <w:szCs w:val="20"/>
              </w:rPr>
              <w:t>4.7</w:t>
            </w:r>
          </w:p>
        </w:tc>
        <w:tc>
          <w:tcPr>
            <w:tcW w:w="321" w:type="pct"/>
            <w:tcBorders>
              <w:top w:val="single" w:sz="4" w:space="0" w:color="788184"/>
              <w:left w:val="single" w:sz="4" w:space="0" w:color="788184"/>
              <w:bottom w:val="single" w:sz="4" w:space="0" w:color="788184"/>
              <w:right w:val="single" w:sz="4" w:space="0" w:color="788184"/>
            </w:tcBorders>
            <w:hideMark/>
          </w:tcPr>
          <w:p w:rsidR="00740735" w:rsidRDefault="00740735" w:rsidP="00AB201A">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szCs w:val="20"/>
              </w:rPr>
            </w:pPr>
            <w:r>
              <w:rPr>
                <w:i/>
                <w:szCs w:val="20"/>
              </w:rPr>
              <w:t>8.7</w:t>
            </w:r>
          </w:p>
        </w:tc>
        <w:tc>
          <w:tcPr>
            <w:tcW w:w="320" w:type="pct"/>
            <w:tcBorders>
              <w:top w:val="single" w:sz="4" w:space="0" w:color="788184"/>
              <w:left w:val="single" w:sz="4" w:space="0" w:color="788184"/>
              <w:bottom w:val="single" w:sz="4" w:space="0" w:color="788184"/>
              <w:right w:val="single" w:sz="4" w:space="0" w:color="788184"/>
            </w:tcBorders>
            <w:hideMark/>
          </w:tcPr>
          <w:p w:rsidR="00740735" w:rsidRDefault="00740735" w:rsidP="00AB201A">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szCs w:val="20"/>
              </w:rPr>
            </w:pPr>
            <w:r>
              <w:rPr>
                <w:i/>
                <w:szCs w:val="20"/>
              </w:rPr>
              <w:t>9.2</w:t>
            </w:r>
          </w:p>
        </w:tc>
        <w:tc>
          <w:tcPr>
            <w:tcW w:w="352" w:type="pct"/>
            <w:tcBorders>
              <w:top w:val="single" w:sz="4" w:space="0" w:color="788184"/>
              <w:left w:val="single" w:sz="4" w:space="0" w:color="788184"/>
              <w:bottom w:val="single" w:sz="4" w:space="0" w:color="788184"/>
              <w:right w:val="single" w:sz="4" w:space="0" w:color="788184"/>
            </w:tcBorders>
            <w:hideMark/>
          </w:tcPr>
          <w:p w:rsidR="00740735" w:rsidRDefault="00740735" w:rsidP="00AB201A">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
                <w:szCs w:val="20"/>
              </w:rPr>
            </w:pPr>
            <w:r>
              <w:rPr>
                <w:b/>
                <w:i/>
                <w:szCs w:val="20"/>
              </w:rPr>
              <w:t>15.7</w:t>
            </w:r>
          </w:p>
        </w:tc>
        <w:tc>
          <w:tcPr>
            <w:tcW w:w="320" w:type="pct"/>
            <w:tcBorders>
              <w:top w:val="single" w:sz="4" w:space="0" w:color="788184"/>
              <w:left w:val="single" w:sz="4" w:space="0" w:color="788184"/>
              <w:bottom w:val="single" w:sz="4" w:space="0" w:color="788184"/>
              <w:right w:val="single" w:sz="4" w:space="0" w:color="788184"/>
            </w:tcBorders>
            <w:vAlign w:val="top"/>
            <w:hideMark/>
          </w:tcPr>
          <w:p w:rsidR="00740735"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10.0 </w:t>
            </w:r>
          </w:p>
        </w:tc>
        <w:tc>
          <w:tcPr>
            <w:tcW w:w="320" w:type="pct"/>
            <w:tcBorders>
              <w:top w:val="single" w:sz="4" w:space="0" w:color="788184"/>
              <w:left w:val="single" w:sz="4" w:space="0" w:color="788184"/>
              <w:bottom w:val="single" w:sz="4" w:space="0" w:color="788184"/>
              <w:right w:val="single" w:sz="4" w:space="0" w:color="788184"/>
            </w:tcBorders>
            <w:vAlign w:val="top"/>
            <w:hideMark/>
          </w:tcPr>
          <w:p w:rsidR="00740735"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10.0 </w:t>
            </w:r>
          </w:p>
        </w:tc>
        <w:tc>
          <w:tcPr>
            <w:tcW w:w="321" w:type="pct"/>
            <w:tcBorders>
              <w:top w:val="single" w:sz="4" w:space="0" w:color="788184"/>
              <w:left w:val="single" w:sz="4" w:space="0" w:color="788184"/>
              <w:bottom w:val="single" w:sz="4" w:space="0" w:color="788184"/>
              <w:right w:val="single" w:sz="4" w:space="0" w:color="788184"/>
            </w:tcBorders>
            <w:vAlign w:val="top"/>
            <w:hideMark/>
          </w:tcPr>
          <w:p w:rsidR="00740735"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10.0 </w:t>
            </w:r>
          </w:p>
        </w:tc>
        <w:tc>
          <w:tcPr>
            <w:tcW w:w="321" w:type="pct"/>
            <w:tcBorders>
              <w:top w:val="single" w:sz="4" w:space="0" w:color="788184"/>
              <w:left w:val="single" w:sz="4" w:space="0" w:color="788184"/>
              <w:bottom w:val="single" w:sz="4" w:space="0" w:color="788184"/>
              <w:right w:val="single" w:sz="4" w:space="0" w:color="788184"/>
            </w:tcBorders>
            <w:vAlign w:val="top"/>
            <w:hideMark/>
          </w:tcPr>
          <w:p w:rsidR="00740735"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10.0 </w:t>
            </w:r>
          </w:p>
        </w:tc>
        <w:tc>
          <w:tcPr>
            <w:tcW w:w="322" w:type="pct"/>
            <w:tcBorders>
              <w:top w:val="single" w:sz="4" w:space="0" w:color="788184"/>
              <w:left w:val="single" w:sz="4" w:space="0" w:color="788184"/>
              <w:bottom w:val="single" w:sz="4" w:space="0" w:color="788184"/>
              <w:right w:val="single" w:sz="4" w:space="0" w:color="788184"/>
            </w:tcBorders>
            <w:vAlign w:val="top"/>
            <w:hideMark/>
          </w:tcPr>
          <w:p w:rsidR="00740735"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10.0 </w:t>
            </w:r>
          </w:p>
        </w:tc>
        <w:tc>
          <w:tcPr>
            <w:tcW w:w="322" w:type="pct"/>
            <w:tcBorders>
              <w:top w:val="single" w:sz="4" w:space="0" w:color="788184"/>
              <w:left w:val="single" w:sz="4" w:space="0" w:color="788184"/>
              <w:bottom w:val="single" w:sz="4" w:space="0" w:color="788184"/>
              <w:right w:val="single" w:sz="4" w:space="0" w:color="788184"/>
            </w:tcBorders>
            <w:vAlign w:val="top"/>
            <w:hideMark/>
          </w:tcPr>
          <w:p w:rsidR="00740735"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10.0 </w:t>
            </w:r>
          </w:p>
        </w:tc>
        <w:tc>
          <w:tcPr>
            <w:tcW w:w="352" w:type="pct"/>
            <w:tcBorders>
              <w:top w:val="single" w:sz="4" w:space="0" w:color="788184"/>
              <w:left w:val="single" w:sz="4" w:space="0" w:color="788184"/>
              <w:bottom w:val="single" w:sz="4" w:space="0" w:color="788184"/>
              <w:right w:val="single" w:sz="4" w:space="0" w:color="788184"/>
            </w:tcBorders>
            <w:vAlign w:val="top"/>
            <w:hideMark/>
          </w:tcPr>
          <w:p w:rsidR="00740735"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10.0 </w:t>
            </w:r>
          </w:p>
        </w:tc>
        <w:tc>
          <w:tcPr>
            <w:tcW w:w="380" w:type="pct"/>
            <w:tcBorders>
              <w:top w:val="single" w:sz="4" w:space="0" w:color="788184"/>
              <w:left w:val="single" w:sz="4" w:space="0" w:color="788184"/>
              <w:bottom w:val="single" w:sz="4" w:space="0" w:color="788184"/>
              <w:right w:val="single" w:sz="4" w:space="0" w:color="788184"/>
            </w:tcBorders>
            <w:hideMark/>
          </w:tcPr>
          <w:p w:rsidR="00740735" w:rsidRDefault="00740735" w:rsidP="00AB201A">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
                <w:szCs w:val="20"/>
              </w:rPr>
            </w:pPr>
            <w:r>
              <w:rPr>
                <w:b/>
                <w:i/>
                <w:szCs w:val="20"/>
              </w:rPr>
              <w:t>85.7</w:t>
            </w:r>
          </w:p>
        </w:tc>
      </w:tr>
      <w:tr w:rsidR="00740735" w:rsidTr="00AE44B2">
        <w:trPr>
          <w:cantSplit/>
        </w:trPr>
        <w:tc>
          <w:tcPr>
            <w:cnfStyle w:val="001000000000" w:firstRow="0" w:lastRow="0" w:firstColumn="1" w:lastColumn="0" w:oddVBand="0" w:evenVBand="0" w:oddHBand="0" w:evenHBand="0" w:firstRowFirstColumn="0" w:firstRowLastColumn="0" w:lastRowFirstColumn="0" w:lastRowLastColumn="0"/>
            <w:tcW w:w="706" w:type="pct"/>
            <w:tcBorders>
              <w:top w:val="single" w:sz="4" w:space="0" w:color="788184"/>
              <w:left w:val="single" w:sz="4" w:space="0" w:color="788184"/>
              <w:bottom w:val="single" w:sz="4" w:space="0" w:color="788184"/>
              <w:right w:val="single" w:sz="4" w:space="0" w:color="788184"/>
            </w:tcBorders>
            <w:shd w:val="clear" w:color="auto" w:fill="D7DDE9"/>
            <w:hideMark/>
          </w:tcPr>
          <w:p w:rsidR="00740735" w:rsidRDefault="00740735" w:rsidP="00AB201A">
            <w:pPr>
              <w:keepNext/>
              <w:keepLines/>
              <w:spacing w:before="70" w:after="70" w:line="240" w:lineRule="auto"/>
              <w:ind w:left="57" w:right="57"/>
              <w:rPr>
                <w:b/>
                <w:szCs w:val="20"/>
              </w:rPr>
            </w:pPr>
            <w:r>
              <w:rPr>
                <w:b/>
                <w:szCs w:val="20"/>
              </w:rPr>
              <w:t>Total</w:t>
            </w:r>
          </w:p>
        </w:tc>
        <w:tc>
          <w:tcPr>
            <w:tcW w:w="322"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-6.9 </w:t>
            </w:r>
          </w:p>
        </w:tc>
        <w:tc>
          <w:tcPr>
            <w:tcW w:w="321"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740735" w:rsidRPr="00BF79B9" w:rsidRDefault="005E6163"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00740735" w:rsidRPr="00BF79B9">
              <w:rPr>
                <w:b/>
                <w:i w:val="0"/>
              </w:rPr>
              <w:t xml:space="preserve">55.3 </w:t>
            </w:r>
          </w:p>
        </w:tc>
        <w:tc>
          <w:tcPr>
            <w:tcW w:w="321"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-101.3 </w:t>
            </w:r>
          </w:p>
        </w:tc>
        <w:tc>
          <w:tcPr>
            <w:tcW w:w="320"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-150.8 </w:t>
            </w:r>
          </w:p>
        </w:tc>
        <w:tc>
          <w:tcPr>
            <w:tcW w:w="352"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740735" w:rsidRPr="00BF79B9" w:rsidRDefault="00097C4F"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-3</w:t>
            </w:r>
            <w:r w:rsidR="00740735" w:rsidRPr="00BF79B9">
              <w:rPr>
                <w:b/>
                <w:i w:val="0"/>
              </w:rPr>
              <w:t xml:space="preserve">14.3 </w:t>
            </w:r>
          </w:p>
        </w:tc>
        <w:tc>
          <w:tcPr>
            <w:tcW w:w="320"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-150.0 </w:t>
            </w:r>
          </w:p>
        </w:tc>
        <w:tc>
          <w:tcPr>
            <w:tcW w:w="320"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100.0 </w:t>
            </w:r>
          </w:p>
        </w:tc>
        <w:tc>
          <w:tcPr>
            <w:tcW w:w="321"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1"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2"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2"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52"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740735" w:rsidRPr="00BF79B9" w:rsidRDefault="00740735"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80" w:type="pct"/>
            <w:tcBorders>
              <w:top w:val="single" w:sz="4" w:space="0" w:color="788184"/>
              <w:left w:val="single" w:sz="4" w:space="0" w:color="788184"/>
              <w:bottom w:val="single" w:sz="4" w:space="0" w:color="788184"/>
              <w:right w:val="single" w:sz="4" w:space="0" w:color="788184"/>
            </w:tcBorders>
            <w:shd w:val="clear" w:color="auto" w:fill="D7DDE9"/>
            <w:vAlign w:val="top"/>
            <w:hideMark/>
          </w:tcPr>
          <w:p w:rsidR="00740735" w:rsidRPr="00BF79B9" w:rsidRDefault="005E6163" w:rsidP="00AB201A">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-3</w:t>
            </w:r>
            <w:r w:rsidR="00740735" w:rsidRPr="00BF79B9">
              <w:rPr>
                <w:b/>
                <w:i w:val="0"/>
              </w:rPr>
              <w:t xml:space="preserve">64.3 </w:t>
            </w:r>
          </w:p>
        </w:tc>
      </w:tr>
    </w:tbl>
    <w:p w:rsidR="00740735" w:rsidRDefault="00740735" w:rsidP="00AB201A">
      <w:pPr>
        <w:pStyle w:val="Footnotes"/>
        <w:numPr>
          <w:ilvl w:val="0"/>
          <w:numId w:val="25"/>
        </w:numPr>
        <w:ind w:left="284" w:hanging="284"/>
      </w:pPr>
      <w:r>
        <w:t xml:space="preserve">A positive </w:t>
      </w:r>
      <w:r w:rsidRPr="00740735">
        <w:t xml:space="preserve">number </w:t>
      </w:r>
      <w:r w:rsidR="00E459A2">
        <w:t xml:space="preserve">for the underlying cash balance </w:t>
      </w:r>
      <w:r w:rsidRPr="00740735">
        <w:t xml:space="preserve">indicates an increase in revenue or decrease in expenses or net capital investment in </w:t>
      </w:r>
      <w:r>
        <w:t>cash</w:t>
      </w:r>
      <w:r w:rsidRPr="00740735">
        <w:t xml:space="preserve"> terms. A negative number </w:t>
      </w:r>
      <w:r w:rsidR="00E459A2">
        <w:t xml:space="preserve">for the underlying cash balance </w:t>
      </w:r>
      <w:r w:rsidRPr="00740735">
        <w:t xml:space="preserve">indicates a decrease in revenue or an increase in expenses or net capital investment in </w:t>
      </w:r>
      <w:r>
        <w:t>cash</w:t>
      </w:r>
      <w:r w:rsidRPr="00740735">
        <w:t xml:space="preserve"> terms.</w:t>
      </w:r>
    </w:p>
    <w:p w:rsidR="00740735" w:rsidRDefault="00740735" w:rsidP="00AB201A">
      <w:pPr>
        <w:pStyle w:val="Footnotes"/>
        <w:ind w:left="284" w:hanging="284"/>
      </w:pPr>
      <w:r>
        <w:t>Figures may not sum to totals due to rounding.</w:t>
      </w:r>
    </w:p>
    <w:p w:rsidR="00740735" w:rsidRDefault="00740735" w:rsidP="00AB201A">
      <w:pPr>
        <w:pStyle w:val="Footnotes"/>
        <w:numPr>
          <w:ilvl w:val="0"/>
          <w:numId w:val="0"/>
        </w:numPr>
        <w:ind w:left="284" w:hanging="284"/>
      </w:pPr>
      <w:r>
        <w:t>-</w:t>
      </w:r>
      <w:r>
        <w:tab/>
        <w:t>Indicates nil.</w:t>
      </w:r>
    </w:p>
    <w:p w:rsidR="00F52474" w:rsidRDefault="00F52474" w:rsidP="00FC6579">
      <w:pPr>
        <w:pStyle w:val="Captionheading"/>
        <w:rPr>
          <w:vertAlign w:val="superscript"/>
        </w:rPr>
      </w:pPr>
      <w:r w:rsidRPr="00FC6579">
        <w:lastRenderedPageBreak/>
        <w:t xml:space="preserve">Table </w:t>
      </w:r>
      <w:r w:rsidR="002E2F16">
        <w:t>A</w:t>
      </w:r>
      <w:r w:rsidR="00740735">
        <w:t>3</w:t>
      </w:r>
      <w:r w:rsidRPr="00FC6579">
        <w:t xml:space="preserve">: </w:t>
      </w:r>
      <w:r w:rsidR="002E2F16">
        <w:t>Component 1:</w:t>
      </w:r>
      <w:r w:rsidR="0082072B" w:rsidRPr="0082072B">
        <w:t xml:space="preserve"> </w:t>
      </w:r>
      <w:r w:rsidR="000F48AC">
        <w:t>Reinstate loss carry back–</w:t>
      </w:r>
      <w:r w:rsidR="002E2F16" w:rsidRPr="002E2F16">
        <w:t>Financial implications</w:t>
      </w:r>
      <w:r w:rsidR="00C60FCF" w:rsidRPr="00844776">
        <w:rPr>
          <w:vertAlign w:val="superscript"/>
        </w:rPr>
        <w:t>(a)</w:t>
      </w:r>
      <w:r w:rsidR="00C60FCF">
        <w:rPr>
          <w:vertAlign w:val="superscript"/>
        </w:rPr>
        <w:t>(b)</w:t>
      </w:r>
    </w:p>
    <w:tbl>
      <w:tblPr>
        <w:tblStyle w:val="TableGrid"/>
        <w:tblW w:w="5003" w:type="pct"/>
        <w:tblLook w:val="0680" w:firstRow="0" w:lastRow="0" w:firstColumn="1" w:lastColumn="0" w:noHBand="1" w:noVBand="1"/>
      </w:tblPr>
      <w:tblGrid>
        <w:gridCol w:w="2130"/>
        <w:gridCol w:w="908"/>
        <w:gridCol w:w="908"/>
        <w:gridCol w:w="908"/>
        <w:gridCol w:w="909"/>
        <w:gridCol w:w="909"/>
        <w:gridCol w:w="909"/>
        <w:gridCol w:w="909"/>
        <w:gridCol w:w="909"/>
        <w:gridCol w:w="909"/>
        <w:gridCol w:w="909"/>
        <w:gridCol w:w="909"/>
        <w:gridCol w:w="909"/>
        <w:gridCol w:w="987"/>
      </w:tblGrid>
      <w:tr w:rsidR="00B03363" w:rsidRPr="00B31810" w:rsidTr="003D7D88">
        <w:trPr>
          <w:cantSplit/>
        </w:trPr>
        <w:tc>
          <w:tcPr>
            <w:cnfStyle w:val="001000000000" w:firstRow="0" w:lastRow="0" w:firstColumn="1" w:lastColumn="0" w:oddVBand="0" w:evenVBand="0" w:oddHBand="0" w:evenHBand="0" w:firstRowFirstColumn="0" w:firstRowLastColumn="0" w:lastRowFirstColumn="0" w:lastRowLastColumn="0"/>
            <w:tcW w:w="760" w:type="pct"/>
            <w:shd w:val="clear" w:color="auto" w:fill="D7DDE9"/>
          </w:tcPr>
          <w:p w:rsidR="00957285" w:rsidRPr="00B31810" w:rsidRDefault="00957285" w:rsidP="00AB201A">
            <w:pPr>
              <w:keepNext/>
              <w:keepLines/>
              <w:spacing w:before="70" w:after="70" w:line="240" w:lineRule="auto"/>
              <w:ind w:left="57" w:right="57"/>
            </w:pPr>
            <w:r w:rsidRPr="00B31810">
              <w:t>($m)</w:t>
            </w:r>
          </w:p>
        </w:tc>
        <w:tc>
          <w:tcPr>
            <w:tcW w:w="324" w:type="pct"/>
            <w:shd w:val="clear" w:color="auto" w:fill="D7DDE9"/>
          </w:tcPr>
          <w:p w:rsidR="00957285" w:rsidRPr="00C24267" w:rsidRDefault="0095728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4" w:type="pct"/>
            <w:shd w:val="clear" w:color="auto" w:fill="D7DDE9"/>
          </w:tcPr>
          <w:p w:rsidR="00957285" w:rsidRPr="00C24267" w:rsidRDefault="0095728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4" w:type="pct"/>
            <w:shd w:val="clear" w:color="auto" w:fill="D7DDE9"/>
          </w:tcPr>
          <w:p w:rsidR="00957285" w:rsidRPr="00C24267" w:rsidRDefault="0095728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4" w:type="pct"/>
            <w:shd w:val="clear" w:color="auto" w:fill="D7DDE9"/>
          </w:tcPr>
          <w:p w:rsidR="00957285" w:rsidRPr="00C24267" w:rsidRDefault="0095728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24" w:type="pct"/>
            <w:shd w:val="clear" w:color="auto" w:fill="D7DDE9"/>
          </w:tcPr>
          <w:p w:rsidR="00957285" w:rsidRPr="00343282" w:rsidRDefault="0095728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343282">
              <w:rPr>
                <w:b/>
              </w:rPr>
              <w:t>Total to 2019–20</w:t>
            </w:r>
          </w:p>
        </w:tc>
        <w:tc>
          <w:tcPr>
            <w:tcW w:w="324" w:type="pct"/>
            <w:shd w:val="clear" w:color="auto" w:fill="D7DDE9"/>
          </w:tcPr>
          <w:p w:rsidR="00957285" w:rsidRPr="00C24267" w:rsidRDefault="0095728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4" w:type="pct"/>
            <w:shd w:val="clear" w:color="auto" w:fill="D7DDE9"/>
          </w:tcPr>
          <w:p w:rsidR="00957285" w:rsidRPr="00C24267" w:rsidRDefault="0095728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4" w:type="pct"/>
            <w:shd w:val="clear" w:color="auto" w:fill="D7DDE9"/>
          </w:tcPr>
          <w:p w:rsidR="00957285" w:rsidRPr="00C24267" w:rsidRDefault="0095728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4" w:type="pct"/>
            <w:shd w:val="clear" w:color="auto" w:fill="D7DDE9"/>
          </w:tcPr>
          <w:p w:rsidR="00957285" w:rsidRPr="00C24267" w:rsidRDefault="0095728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4" w:type="pct"/>
            <w:shd w:val="clear" w:color="auto" w:fill="D7DDE9"/>
          </w:tcPr>
          <w:p w:rsidR="00957285" w:rsidRPr="00C24267" w:rsidRDefault="0095728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4" w:type="pct"/>
            <w:shd w:val="clear" w:color="auto" w:fill="D7DDE9"/>
          </w:tcPr>
          <w:p w:rsidR="00957285" w:rsidRPr="00C24267" w:rsidRDefault="0095728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24" w:type="pct"/>
            <w:shd w:val="clear" w:color="auto" w:fill="D7DDE9"/>
          </w:tcPr>
          <w:p w:rsidR="00957285" w:rsidRPr="00C24267" w:rsidRDefault="0095728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2026–27</w:t>
            </w:r>
          </w:p>
        </w:tc>
        <w:tc>
          <w:tcPr>
            <w:tcW w:w="348" w:type="pct"/>
            <w:shd w:val="clear" w:color="auto" w:fill="D7DDE9"/>
          </w:tcPr>
          <w:p w:rsidR="00957285" w:rsidRPr="00343282" w:rsidRDefault="00957285" w:rsidP="00AB201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343282">
              <w:rPr>
                <w:b/>
              </w:rPr>
              <w:t>Total to 2026–27</w:t>
            </w:r>
          </w:p>
        </w:tc>
      </w:tr>
      <w:tr w:rsidR="002E2F16" w:rsidRPr="00BC75B9" w:rsidTr="002E2F16">
        <w:trPr>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bottom w:val="single" w:sz="4" w:space="0" w:color="788184"/>
            </w:tcBorders>
            <w:shd w:val="clear" w:color="auto" w:fill="D7DDE9"/>
          </w:tcPr>
          <w:p w:rsidR="002E2F16" w:rsidRPr="00BC75B9" w:rsidRDefault="002E2F16" w:rsidP="00AB201A">
            <w:pPr>
              <w:pStyle w:val="TableHeadingCentred"/>
              <w:spacing w:line="240" w:lineRule="auto"/>
              <w:ind w:left="57" w:right="57"/>
              <w:jc w:val="left"/>
              <w:rPr>
                <w:b/>
              </w:rPr>
            </w:pPr>
            <w:r>
              <w:rPr>
                <w:b/>
              </w:rPr>
              <w:t>Impact on f</w:t>
            </w:r>
            <w:r w:rsidRPr="00BC75B9">
              <w:rPr>
                <w:b/>
              </w:rPr>
              <w:t xml:space="preserve">iscal and underlying cash balances </w:t>
            </w:r>
          </w:p>
        </w:tc>
      </w:tr>
      <w:tr w:rsidR="003D7D88" w:rsidRPr="00BF79B9" w:rsidTr="003D7D88">
        <w:trPr>
          <w:cantSplit/>
        </w:trPr>
        <w:tc>
          <w:tcPr>
            <w:cnfStyle w:val="001000000000" w:firstRow="0" w:lastRow="0" w:firstColumn="1" w:lastColumn="0" w:oddVBand="0" w:evenVBand="0" w:oddHBand="0" w:evenHBand="0" w:firstRowFirstColumn="0" w:firstRowLastColumn="0" w:lastRowFirstColumn="0" w:lastRowLastColumn="0"/>
            <w:tcW w:w="760" w:type="pct"/>
          </w:tcPr>
          <w:p w:rsidR="002E2F16" w:rsidRPr="00BF79B9" w:rsidRDefault="002E2F16" w:rsidP="00AB201A">
            <w:pPr>
              <w:keepNext/>
              <w:keepLines/>
              <w:spacing w:before="70" w:after="70" w:line="240" w:lineRule="auto"/>
              <w:ind w:left="57" w:right="57"/>
              <w:rPr>
                <w:b/>
              </w:rPr>
            </w:pPr>
            <w:r w:rsidRPr="00BF79B9">
              <w:rPr>
                <w:b/>
              </w:rPr>
              <w:t>Revenue</w:t>
            </w:r>
            <w:r w:rsidR="00D6034A">
              <w:rPr>
                <w:b/>
              </w:rPr>
              <w:t xml:space="preserve"> – Company tax</w:t>
            </w:r>
          </w:p>
        </w:tc>
        <w:tc>
          <w:tcPr>
            <w:tcW w:w="324" w:type="pct"/>
          </w:tcPr>
          <w:p w:rsidR="002E2F16" w:rsidRPr="002E2F16"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2E2F16">
              <w:rPr>
                <w:b/>
                <w:i w:val="0"/>
              </w:rPr>
              <w:t xml:space="preserve"> -   </w:t>
            </w:r>
          </w:p>
        </w:tc>
        <w:tc>
          <w:tcPr>
            <w:tcW w:w="324" w:type="pct"/>
          </w:tcPr>
          <w:p w:rsidR="002E2F16" w:rsidRPr="002E2F16"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2E2F16">
              <w:rPr>
                <w:b/>
                <w:i w:val="0"/>
              </w:rPr>
              <w:t xml:space="preserve">-50.0 </w:t>
            </w:r>
          </w:p>
        </w:tc>
        <w:tc>
          <w:tcPr>
            <w:tcW w:w="324" w:type="pct"/>
          </w:tcPr>
          <w:p w:rsidR="002E2F16" w:rsidRPr="002E2F16"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2E2F16">
              <w:rPr>
                <w:b/>
                <w:i w:val="0"/>
              </w:rPr>
              <w:t xml:space="preserve">-100.0 </w:t>
            </w:r>
          </w:p>
        </w:tc>
        <w:tc>
          <w:tcPr>
            <w:tcW w:w="324" w:type="pct"/>
          </w:tcPr>
          <w:p w:rsidR="002E2F16" w:rsidRPr="002E2F16"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2E2F16">
              <w:rPr>
                <w:b/>
                <w:i w:val="0"/>
              </w:rPr>
              <w:t xml:space="preserve">-150.0 </w:t>
            </w:r>
          </w:p>
        </w:tc>
        <w:tc>
          <w:tcPr>
            <w:tcW w:w="324" w:type="pct"/>
          </w:tcPr>
          <w:p w:rsidR="002E2F16" w:rsidRPr="002E2F16"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2E2F16">
              <w:rPr>
                <w:b/>
                <w:i w:val="0"/>
              </w:rPr>
              <w:t xml:space="preserve">-300.0 </w:t>
            </w:r>
          </w:p>
        </w:tc>
        <w:tc>
          <w:tcPr>
            <w:tcW w:w="324" w:type="pct"/>
          </w:tcPr>
          <w:p w:rsidR="002E2F16" w:rsidRPr="002E2F16"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2E2F16">
              <w:rPr>
                <w:b/>
                <w:i w:val="0"/>
              </w:rPr>
              <w:t xml:space="preserve">-150.0 </w:t>
            </w:r>
          </w:p>
        </w:tc>
        <w:tc>
          <w:tcPr>
            <w:tcW w:w="324" w:type="pct"/>
          </w:tcPr>
          <w:p w:rsidR="002E2F16" w:rsidRPr="002E2F16"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2E2F16">
              <w:rPr>
                <w:b/>
                <w:i w:val="0"/>
              </w:rPr>
              <w:t xml:space="preserve"> 100.0 </w:t>
            </w:r>
          </w:p>
        </w:tc>
        <w:tc>
          <w:tcPr>
            <w:tcW w:w="324" w:type="pct"/>
          </w:tcPr>
          <w:p w:rsidR="002E2F16" w:rsidRPr="002E2F16"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2E2F16">
              <w:rPr>
                <w:b/>
                <w:i w:val="0"/>
              </w:rPr>
              <w:t>..</w:t>
            </w:r>
          </w:p>
        </w:tc>
        <w:tc>
          <w:tcPr>
            <w:tcW w:w="324" w:type="pct"/>
          </w:tcPr>
          <w:p w:rsidR="002E2F16" w:rsidRPr="002E2F16"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2E2F16">
              <w:rPr>
                <w:b/>
                <w:i w:val="0"/>
              </w:rPr>
              <w:t>..</w:t>
            </w:r>
          </w:p>
        </w:tc>
        <w:tc>
          <w:tcPr>
            <w:tcW w:w="324" w:type="pct"/>
          </w:tcPr>
          <w:p w:rsidR="002E2F16" w:rsidRPr="002E2F16"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2E2F16">
              <w:rPr>
                <w:b/>
                <w:i w:val="0"/>
              </w:rPr>
              <w:t xml:space="preserve"> -   </w:t>
            </w:r>
          </w:p>
        </w:tc>
        <w:tc>
          <w:tcPr>
            <w:tcW w:w="324" w:type="pct"/>
          </w:tcPr>
          <w:p w:rsidR="002E2F16" w:rsidRPr="002E2F16"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2E2F16">
              <w:rPr>
                <w:b/>
                <w:i w:val="0"/>
              </w:rPr>
              <w:t xml:space="preserve"> -   </w:t>
            </w:r>
          </w:p>
        </w:tc>
        <w:tc>
          <w:tcPr>
            <w:tcW w:w="324" w:type="pct"/>
          </w:tcPr>
          <w:p w:rsidR="002E2F16" w:rsidRPr="002E2F16"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2E2F16">
              <w:rPr>
                <w:b/>
                <w:i w:val="0"/>
              </w:rPr>
              <w:t xml:space="preserve"> -   </w:t>
            </w:r>
          </w:p>
        </w:tc>
        <w:tc>
          <w:tcPr>
            <w:tcW w:w="348" w:type="pct"/>
          </w:tcPr>
          <w:p w:rsidR="002E2F16" w:rsidRPr="002E2F16"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2E2F16">
              <w:rPr>
                <w:b/>
                <w:i w:val="0"/>
              </w:rPr>
              <w:t xml:space="preserve">-350.0 </w:t>
            </w:r>
          </w:p>
        </w:tc>
      </w:tr>
      <w:tr w:rsidR="003D7D88" w:rsidRPr="00BF79B9" w:rsidTr="003D7D88">
        <w:trPr>
          <w:cantSplit/>
        </w:trPr>
        <w:tc>
          <w:tcPr>
            <w:cnfStyle w:val="001000000000" w:firstRow="0" w:lastRow="0" w:firstColumn="1" w:lastColumn="0" w:oddVBand="0" w:evenVBand="0" w:oddHBand="0" w:evenHBand="0" w:firstRowFirstColumn="0" w:firstRowLastColumn="0" w:lastRowFirstColumn="0" w:lastRowLastColumn="0"/>
            <w:tcW w:w="760" w:type="pct"/>
          </w:tcPr>
          <w:p w:rsidR="002E2F16" w:rsidRPr="00BF79B9" w:rsidRDefault="002E2F16" w:rsidP="00AB201A">
            <w:pPr>
              <w:keepNext/>
              <w:keepLines/>
              <w:spacing w:before="70" w:after="70" w:line="240" w:lineRule="auto"/>
              <w:ind w:left="57" w:right="57"/>
              <w:rPr>
                <w:b/>
              </w:rPr>
            </w:pPr>
            <w:r w:rsidRPr="00BF79B9">
              <w:rPr>
                <w:b/>
              </w:rPr>
              <w:t>Expenses</w:t>
            </w:r>
          </w:p>
        </w:tc>
        <w:tc>
          <w:tcPr>
            <w:tcW w:w="324" w:type="pct"/>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-6.9 </w:t>
            </w:r>
          </w:p>
        </w:tc>
        <w:tc>
          <w:tcPr>
            <w:tcW w:w="324" w:type="pct"/>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w:t>
            </w:r>
            <w:r>
              <w:rPr>
                <w:b/>
                <w:i w:val="0"/>
              </w:rPr>
              <w:t>-5.3</w:t>
            </w:r>
            <w:r w:rsidRPr="00BF79B9">
              <w:rPr>
                <w:b/>
                <w:i w:val="0"/>
              </w:rPr>
              <w:t xml:space="preserve"> </w:t>
            </w:r>
          </w:p>
        </w:tc>
        <w:tc>
          <w:tcPr>
            <w:tcW w:w="324" w:type="pct"/>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w:t>
            </w:r>
            <w:r>
              <w:rPr>
                <w:b/>
                <w:i w:val="0"/>
              </w:rPr>
              <w:t>-1.3</w:t>
            </w:r>
            <w:r w:rsidRPr="00BF79B9">
              <w:rPr>
                <w:b/>
                <w:i w:val="0"/>
              </w:rPr>
              <w:t xml:space="preserve"> </w:t>
            </w:r>
          </w:p>
        </w:tc>
        <w:tc>
          <w:tcPr>
            <w:tcW w:w="324" w:type="pct"/>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-0.8</w:t>
            </w:r>
            <w:r w:rsidRPr="00BF79B9">
              <w:rPr>
                <w:b/>
                <w:i w:val="0"/>
              </w:rPr>
              <w:t xml:space="preserve"> </w:t>
            </w:r>
          </w:p>
        </w:tc>
        <w:tc>
          <w:tcPr>
            <w:tcW w:w="324" w:type="pct"/>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w:t>
            </w:r>
            <w:r>
              <w:rPr>
                <w:b/>
                <w:i w:val="0"/>
              </w:rPr>
              <w:t>-14.3</w:t>
            </w:r>
            <w:r w:rsidRPr="00BF79B9">
              <w:rPr>
                <w:b/>
                <w:i w:val="0"/>
              </w:rPr>
              <w:t xml:space="preserve"> </w:t>
            </w:r>
          </w:p>
        </w:tc>
        <w:tc>
          <w:tcPr>
            <w:tcW w:w="324" w:type="pct"/>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Pr="00BF79B9">
              <w:rPr>
                <w:b/>
                <w:i w:val="0"/>
              </w:rPr>
              <w:t xml:space="preserve"> </w:t>
            </w:r>
          </w:p>
        </w:tc>
        <w:tc>
          <w:tcPr>
            <w:tcW w:w="324" w:type="pct"/>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Pr="00BF79B9">
              <w:rPr>
                <w:b/>
                <w:i w:val="0"/>
              </w:rPr>
              <w:t xml:space="preserve"> </w:t>
            </w:r>
          </w:p>
        </w:tc>
        <w:tc>
          <w:tcPr>
            <w:tcW w:w="324" w:type="pct"/>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w:t>
            </w:r>
            <w:r>
              <w:rPr>
                <w:b/>
                <w:i w:val="0"/>
              </w:rPr>
              <w:t>-</w:t>
            </w:r>
            <w:r w:rsidRPr="00BF79B9">
              <w:rPr>
                <w:b/>
                <w:i w:val="0"/>
              </w:rPr>
              <w:t xml:space="preserve"> </w:t>
            </w:r>
          </w:p>
        </w:tc>
        <w:tc>
          <w:tcPr>
            <w:tcW w:w="324" w:type="pct"/>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w:t>
            </w:r>
            <w:r>
              <w:rPr>
                <w:b/>
                <w:i w:val="0"/>
              </w:rPr>
              <w:t>-</w:t>
            </w:r>
            <w:r w:rsidRPr="00BF79B9">
              <w:rPr>
                <w:b/>
                <w:i w:val="0"/>
              </w:rPr>
              <w:t xml:space="preserve"> </w:t>
            </w:r>
          </w:p>
        </w:tc>
        <w:tc>
          <w:tcPr>
            <w:tcW w:w="324" w:type="pct"/>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w:t>
            </w:r>
            <w:r>
              <w:rPr>
                <w:b/>
                <w:i w:val="0"/>
              </w:rPr>
              <w:t>-</w:t>
            </w:r>
            <w:r w:rsidRPr="00BF79B9">
              <w:rPr>
                <w:b/>
                <w:i w:val="0"/>
              </w:rPr>
              <w:t xml:space="preserve"> </w:t>
            </w:r>
          </w:p>
        </w:tc>
        <w:tc>
          <w:tcPr>
            <w:tcW w:w="324" w:type="pct"/>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w:t>
            </w:r>
            <w:r>
              <w:rPr>
                <w:b/>
                <w:i w:val="0"/>
              </w:rPr>
              <w:t>-</w:t>
            </w:r>
            <w:r w:rsidRPr="00BF79B9">
              <w:rPr>
                <w:b/>
                <w:i w:val="0"/>
              </w:rPr>
              <w:t xml:space="preserve"> </w:t>
            </w:r>
          </w:p>
        </w:tc>
        <w:tc>
          <w:tcPr>
            <w:tcW w:w="324" w:type="pct"/>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w:t>
            </w:r>
            <w:r>
              <w:rPr>
                <w:b/>
                <w:i w:val="0"/>
              </w:rPr>
              <w:t>-</w:t>
            </w:r>
            <w:r w:rsidRPr="00BF79B9">
              <w:rPr>
                <w:b/>
                <w:i w:val="0"/>
              </w:rPr>
              <w:t xml:space="preserve"> </w:t>
            </w:r>
          </w:p>
        </w:tc>
        <w:tc>
          <w:tcPr>
            <w:tcW w:w="348" w:type="pct"/>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w:t>
            </w:r>
            <w:r>
              <w:rPr>
                <w:b/>
                <w:i w:val="0"/>
              </w:rPr>
              <w:t>-14.3</w:t>
            </w:r>
            <w:r w:rsidRPr="00BF79B9">
              <w:rPr>
                <w:b/>
                <w:i w:val="0"/>
              </w:rPr>
              <w:t xml:space="preserve"> </w:t>
            </w:r>
          </w:p>
        </w:tc>
      </w:tr>
      <w:tr w:rsidR="003D7D88" w:rsidTr="003D7D88">
        <w:trPr>
          <w:cantSplit/>
        </w:trPr>
        <w:tc>
          <w:tcPr>
            <w:cnfStyle w:val="001000000000" w:firstRow="0" w:lastRow="0" w:firstColumn="1" w:lastColumn="0" w:oddVBand="0" w:evenVBand="0" w:oddHBand="0" w:evenHBand="0" w:firstRowFirstColumn="0" w:firstRowLastColumn="0" w:lastRowFirstColumn="0" w:lastRowLastColumn="0"/>
            <w:tcW w:w="760" w:type="pct"/>
          </w:tcPr>
          <w:p w:rsidR="002E2F16" w:rsidRPr="00C50419" w:rsidRDefault="002E2F16" w:rsidP="00AB201A">
            <w:pPr>
              <w:keepNext/>
              <w:keepLines/>
              <w:spacing w:before="70" w:after="70" w:line="240" w:lineRule="auto"/>
              <w:ind w:left="57" w:right="57"/>
              <w:rPr>
                <w:i/>
              </w:rPr>
            </w:pPr>
            <w:r w:rsidRPr="00C50419">
              <w:rPr>
                <w:i/>
              </w:rPr>
              <w:t xml:space="preserve">Departmental </w:t>
            </w:r>
            <w:r w:rsidR="00D6034A">
              <w:rPr>
                <w:i/>
              </w:rPr>
              <w:t>–</w:t>
            </w:r>
            <w:r w:rsidR="00AE44B2">
              <w:rPr>
                <w:i/>
              </w:rPr>
              <w:t xml:space="preserve"> ATO</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-4.1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-3.4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-1.3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-0.8 </w:t>
            </w:r>
          </w:p>
        </w:tc>
        <w:tc>
          <w:tcPr>
            <w:tcW w:w="324" w:type="pct"/>
          </w:tcPr>
          <w:p w:rsidR="002E2F16" w:rsidRPr="00343282"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343282">
              <w:rPr>
                <w:b/>
              </w:rPr>
              <w:t xml:space="preserve">-9.6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   </w:t>
            </w:r>
          </w:p>
        </w:tc>
        <w:tc>
          <w:tcPr>
            <w:tcW w:w="348" w:type="pct"/>
          </w:tcPr>
          <w:p w:rsidR="002E2F16" w:rsidRPr="00343282"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343282">
              <w:rPr>
                <w:b/>
              </w:rPr>
              <w:t xml:space="preserve">-9.6 </w:t>
            </w:r>
          </w:p>
        </w:tc>
      </w:tr>
      <w:tr w:rsidR="003D7D88" w:rsidTr="003D7D88">
        <w:trPr>
          <w:cantSplit/>
        </w:trPr>
        <w:tc>
          <w:tcPr>
            <w:cnfStyle w:val="001000000000" w:firstRow="0" w:lastRow="0" w:firstColumn="1" w:lastColumn="0" w:oddVBand="0" w:evenVBand="0" w:oddHBand="0" w:evenHBand="0" w:firstRowFirstColumn="0" w:firstRowLastColumn="0" w:lastRowFirstColumn="0" w:lastRowLastColumn="0"/>
            <w:tcW w:w="760" w:type="pct"/>
          </w:tcPr>
          <w:p w:rsidR="002E2F16" w:rsidRPr="00C50419" w:rsidRDefault="002E2F16" w:rsidP="00AB201A">
            <w:pPr>
              <w:keepNext/>
              <w:keepLines/>
              <w:spacing w:before="70" w:after="70" w:line="240" w:lineRule="auto"/>
              <w:ind w:left="57" w:right="57"/>
              <w:rPr>
                <w:i/>
              </w:rPr>
            </w:pPr>
            <w:r w:rsidRPr="00C50419">
              <w:rPr>
                <w:i/>
              </w:rPr>
              <w:t xml:space="preserve">Departmental </w:t>
            </w:r>
            <w:r w:rsidR="00AE44B2">
              <w:rPr>
                <w:i/>
              </w:rPr>
              <w:t xml:space="preserve">– </w:t>
            </w:r>
            <w:r w:rsidRPr="00C50419">
              <w:rPr>
                <w:i/>
              </w:rPr>
              <w:t>capital</w:t>
            </w:r>
            <w:r w:rsidR="00FC6D90">
              <w:rPr>
                <w:i/>
              </w:rPr>
              <w:t xml:space="preserve"> </w:t>
            </w:r>
            <w:r w:rsidR="00FC6D90">
              <w:rPr>
                <w:i/>
              </w:rPr>
              <w:noBreakHyphen/>
              <w:t xml:space="preserve"> ATO</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-2.8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-1.9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   </w:t>
            </w:r>
          </w:p>
        </w:tc>
        <w:tc>
          <w:tcPr>
            <w:tcW w:w="324" w:type="pct"/>
          </w:tcPr>
          <w:p w:rsidR="002E2F16" w:rsidRPr="00343282"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343282">
              <w:rPr>
                <w:b/>
              </w:rPr>
              <w:t xml:space="preserve">-4.7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   </w:t>
            </w:r>
          </w:p>
        </w:tc>
        <w:tc>
          <w:tcPr>
            <w:tcW w:w="324" w:type="pct"/>
          </w:tcPr>
          <w:p w:rsidR="002E2F16" w:rsidRPr="00C5041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6351D">
              <w:t xml:space="preserve"> -   </w:t>
            </w:r>
          </w:p>
        </w:tc>
        <w:tc>
          <w:tcPr>
            <w:tcW w:w="348" w:type="pct"/>
          </w:tcPr>
          <w:p w:rsidR="002E2F16" w:rsidRPr="00343282"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343282">
              <w:rPr>
                <w:b/>
              </w:rPr>
              <w:t xml:space="preserve">-4.7 </w:t>
            </w:r>
          </w:p>
        </w:tc>
      </w:tr>
      <w:tr w:rsidR="003D7D88" w:rsidRPr="00BF79B9" w:rsidTr="003D7D88">
        <w:trPr>
          <w:cantSplit/>
        </w:trPr>
        <w:tc>
          <w:tcPr>
            <w:cnfStyle w:val="001000000000" w:firstRow="0" w:lastRow="0" w:firstColumn="1" w:lastColumn="0" w:oddVBand="0" w:evenVBand="0" w:oddHBand="0" w:evenHBand="0" w:firstRowFirstColumn="0" w:firstRowLastColumn="0" w:lastRowFirstColumn="0" w:lastRowLastColumn="0"/>
            <w:tcW w:w="760" w:type="pct"/>
            <w:shd w:val="clear" w:color="auto" w:fill="E9ECF3"/>
          </w:tcPr>
          <w:p w:rsidR="002E2F16" w:rsidRPr="00BF79B9" w:rsidRDefault="002E2F16" w:rsidP="00AB201A">
            <w:pPr>
              <w:keepNext/>
              <w:keepLines/>
              <w:spacing w:before="70" w:after="70" w:line="240" w:lineRule="auto"/>
              <w:ind w:left="57" w:right="57"/>
              <w:rPr>
                <w:b/>
              </w:rPr>
            </w:pPr>
            <w:r w:rsidRPr="00BF79B9">
              <w:rPr>
                <w:b/>
              </w:rPr>
              <w:t>Total</w:t>
            </w:r>
          </w:p>
        </w:tc>
        <w:tc>
          <w:tcPr>
            <w:tcW w:w="324" w:type="pct"/>
            <w:shd w:val="clear" w:color="auto" w:fill="E9ECF3"/>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-6.9 </w:t>
            </w:r>
          </w:p>
        </w:tc>
        <w:tc>
          <w:tcPr>
            <w:tcW w:w="324" w:type="pct"/>
            <w:shd w:val="clear" w:color="auto" w:fill="E9ECF3"/>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Pr="00BF79B9">
              <w:rPr>
                <w:b/>
                <w:i w:val="0"/>
              </w:rPr>
              <w:t xml:space="preserve">55.3 </w:t>
            </w:r>
          </w:p>
        </w:tc>
        <w:tc>
          <w:tcPr>
            <w:tcW w:w="324" w:type="pct"/>
            <w:shd w:val="clear" w:color="auto" w:fill="E9ECF3"/>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-101.3 </w:t>
            </w:r>
          </w:p>
        </w:tc>
        <w:tc>
          <w:tcPr>
            <w:tcW w:w="324" w:type="pct"/>
            <w:shd w:val="clear" w:color="auto" w:fill="E9ECF3"/>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-150.8 </w:t>
            </w:r>
          </w:p>
        </w:tc>
        <w:tc>
          <w:tcPr>
            <w:tcW w:w="324" w:type="pct"/>
            <w:shd w:val="clear" w:color="auto" w:fill="E9ECF3"/>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-3</w:t>
            </w:r>
            <w:r w:rsidRPr="00BF79B9">
              <w:rPr>
                <w:b/>
                <w:i w:val="0"/>
              </w:rPr>
              <w:t xml:space="preserve">14.3 </w:t>
            </w:r>
          </w:p>
        </w:tc>
        <w:tc>
          <w:tcPr>
            <w:tcW w:w="324" w:type="pct"/>
            <w:shd w:val="clear" w:color="auto" w:fill="E9ECF3"/>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-150.0 </w:t>
            </w:r>
          </w:p>
        </w:tc>
        <w:tc>
          <w:tcPr>
            <w:tcW w:w="324" w:type="pct"/>
            <w:shd w:val="clear" w:color="auto" w:fill="E9ECF3"/>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100.0 </w:t>
            </w:r>
          </w:p>
        </w:tc>
        <w:tc>
          <w:tcPr>
            <w:tcW w:w="324" w:type="pct"/>
            <w:shd w:val="clear" w:color="auto" w:fill="E9ECF3"/>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4" w:type="pct"/>
            <w:shd w:val="clear" w:color="auto" w:fill="E9ECF3"/>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4" w:type="pct"/>
            <w:shd w:val="clear" w:color="auto" w:fill="E9ECF3"/>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4" w:type="pct"/>
            <w:shd w:val="clear" w:color="auto" w:fill="E9ECF3"/>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4" w:type="pct"/>
            <w:shd w:val="clear" w:color="auto" w:fill="E9ECF3"/>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48" w:type="pct"/>
            <w:shd w:val="clear" w:color="auto" w:fill="E9ECF3"/>
          </w:tcPr>
          <w:p w:rsidR="002E2F16" w:rsidRPr="00BF79B9" w:rsidRDefault="002E2F16" w:rsidP="00AB201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-3</w:t>
            </w:r>
            <w:r w:rsidRPr="00BF79B9">
              <w:rPr>
                <w:b/>
                <w:i w:val="0"/>
              </w:rPr>
              <w:t xml:space="preserve">64.3 </w:t>
            </w:r>
          </w:p>
        </w:tc>
      </w:tr>
    </w:tbl>
    <w:p w:rsidR="00485374" w:rsidRDefault="00C50419" w:rsidP="00B90DE7">
      <w:pPr>
        <w:pStyle w:val="Footnotes"/>
        <w:numPr>
          <w:ilvl w:val="0"/>
          <w:numId w:val="20"/>
        </w:numPr>
        <w:ind w:left="284" w:hanging="284"/>
      </w:pPr>
      <w:r>
        <w:t>A positive number indicates an increase in revenue or decrease in expenses or net capital investment in accrual and cash terms. A negative number indicates a decrease in revenue or an increase in expenses or net capital investment in accrual and cash terms.</w:t>
      </w:r>
    </w:p>
    <w:p w:rsidR="00C50419" w:rsidRDefault="00C50419" w:rsidP="00C50419">
      <w:pPr>
        <w:pStyle w:val="Footnotes"/>
        <w:ind w:left="284" w:hanging="284"/>
      </w:pPr>
      <w:r>
        <w:t>Figures may not sum to totals due to rounding.</w:t>
      </w:r>
    </w:p>
    <w:p w:rsidR="00C50419" w:rsidRDefault="003A5821" w:rsidP="003A5821">
      <w:pPr>
        <w:pStyle w:val="Footnotes"/>
        <w:numPr>
          <w:ilvl w:val="0"/>
          <w:numId w:val="0"/>
        </w:numPr>
        <w:ind w:left="284" w:hanging="284"/>
      </w:pPr>
      <w:r>
        <w:t>..</w:t>
      </w:r>
      <w:r>
        <w:tab/>
      </w:r>
      <w:r w:rsidR="00C50419">
        <w:t>Not zero but rounded to zero.</w:t>
      </w:r>
    </w:p>
    <w:p w:rsidR="00090CFE" w:rsidRDefault="00090CFE" w:rsidP="003A5821">
      <w:pPr>
        <w:pStyle w:val="Footnotes"/>
        <w:numPr>
          <w:ilvl w:val="0"/>
          <w:numId w:val="0"/>
        </w:numPr>
        <w:ind w:left="284" w:hanging="284"/>
      </w:pPr>
      <w:r>
        <w:t>-</w:t>
      </w:r>
      <w:r>
        <w:tab/>
        <w:t>Indicates nil.</w:t>
      </w:r>
    </w:p>
    <w:p w:rsidR="00095E76" w:rsidRDefault="00095E76" w:rsidP="00095E76">
      <w:pPr>
        <w:pStyle w:val="Captionheading"/>
        <w:rPr>
          <w:vertAlign w:val="superscript"/>
        </w:rPr>
      </w:pPr>
      <w:r w:rsidRPr="00FC6579">
        <w:lastRenderedPageBreak/>
        <w:t xml:space="preserve">Table </w:t>
      </w:r>
      <w:r>
        <w:t>A</w:t>
      </w:r>
      <w:r w:rsidR="00740735">
        <w:t>4</w:t>
      </w:r>
      <w:r w:rsidRPr="00FC6579">
        <w:t xml:space="preserve">: </w:t>
      </w:r>
      <w:r>
        <w:t>Component 2:</w:t>
      </w:r>
      <w:r w:rsidRPr="0082072B">
        <w:t xml:space="preserve"> </w:t>
      </w:r>
      <w:r w:rsidR="000F48AC" w:rsidRPr="000F48AC">
        <w:t>Increase GST registration threshold</w:t>
      </w:r>
      <w:r w:rsidR="000F48AC">
        <w:t>–</w:t>
      </w:r>
      <w:r w:rsidRPr="002E2F16">
        <w:t>Fi</w:t>
      </w:r>
      <w:r>
        <w:t>scal balance</w:t>
      </w:r>
      <w:r w:rsidRPr="00844776">
        <w:rPr>
          <w:vertAlign w:val="superscript"/>
        </w:rPr>
        <w:t>(a)</w:t>
      </w:r>
      <w:r>
        <w:rPr>
          <w:vertAlign w:val="superscript"/>
        </w:rPr>
        <w:t>(b)</w:t>
      </w:r>
    </w:p>
    <w:tbl>
      <w:tblPr>
        <w:tblStyle w:val="TableGrid"/>
        <w:tblW w:w="5003" w:type="pct"/>
        <w:tblLook w:val="0680" w:firstRow="0" w:lastRow="0" w:firstColumn="1" w:lastColumn="0" w:noHBand="1" w:noVBand="1"/>
      </w:tblPr>
      <w:tblGrid>
        <w:gridCol w:w="2135"/>
        <w:gridCol w:w="910"/>
        <w:gridCol w:w="910"/>
        <w:gridCol w:w="910"/>
        <w:gridCol w:w="909"/>
        <w:gridCol w:w="909"/>
        <w:gridCol w:w="909"/>
        <w:gridCol w:w="909"/>
        <w:gridCol w:w="909"/>
        <w:gridCol w:w="909"/>
        <w:gridCol w:w="909"/>
        <w:gridCol w:w="909"/>
        <w:gridCol w:w="909"/>
        <w:gridCol w:w="976"/>
      </w:tblGrid>
      <w:tr w:rsidR="00090CFE" w:rsidRPr="00B31810" w:rsidTr="00090CFE">
        <w:trPr>
          <w:cantSplit/>
        </w:trPr>
        <w:tc>
          <w:tcPr>
            <w:cnfStyle w:val="001000000000" w:firstRow="0" w:lastRow="0" w:firstColumn="1" w:lastColumn="0" w:oddVBand="0" w:evenVBand="0" w:oddHBand="0" w:evenHBand="0" w:firstRowFirstColumn="0" w:firstRowLastColumn="0" w:lastRowFirstColumn="0" w:lastRowLastColumn="0"/>
            <w:tcW w:w="761" w:type="pct"/>
            <w:shd w:val="clear" w:color="auto" w:fill="D7DDE9"/>
          </w:tcPr>
          <w:p w:rsidR="00095E76" w:rsidRPr="00B31810" w:rsidRDefault="00095E76" w:rsidP="00676307">
            <w:pPr>
              <w:keepNext/>
              <w:keepLines/>
              <w:spacing w:before="70" w:after="70" w:line="240" w:lineRule="auto"/>
              <w:ind w:left="57" w:right="57"/>
            </w:pPr>
            <w:r w:rsidRPr="00B31810">
              <w:t>($m)</w:t>
            </w:r>
          </w:p>
        </w:tc>
        <w:tc>
          <w:tcPr>
            <w:tcW w:w="324" w:type="pct"/>
            <w:shd w:val="clear" w:color="auto" w:fill="D7DDE9"/>
          </w:tcPr>
          <w:p w:rsidR="00095E76" w:rsidRPr="00C24267" w:rsidRDefault="00095E76"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4" w:type="pct"/>
            <w:shd w:val="clear" w:color="auto" w:fill="D7DDE9"/>
          </w:tcPr>
          <w:p w:rsidR="00095E76" w:rsidRPr="00C24267" w:rsidRDefault="00095E76"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4" w:type="pct"/>
            <w:shd w:val="clear" w:color="auto" w:fill="D7DDE9"/>
          </w:tcPr>
          <w:p w:rsidR="00095E76" w:rsidRPr="00C24267" w:rsidRDefault="00095E76"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4" w:type="pct"/>
            <w:shd w:val="clear" w:color="auto" w:fill="D7DDE9"/>
          </w:tcPr>
          <w:p w:rsidR="00095E76" w:rsidRPr="00C24267" w:rsidRDefault="00095E76"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24" w:type="pct"/>
            <w:shd w:val="clear" w:color="auto" w:fill="D7DDE9"/>
          </w:tcPr>
          <w:p w:rsidR="00095E76" w:rsidRPr="00343282" w:rsidRDefault="00095E76"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343282">
              <w:rPr>
                <w:b/>
              </w:rPr>
              <w:t>Total to 2019–20</w:t>
            </w:r>
          </w:p>
        </w:tc>
        <w:tc>
          <w:tcPr>
            <w:tcW w:w="324" w:type="pct"/>
            <w:shd w:val="clear" w:color="auto" w:fill="D7DDE9"/>
          </w:tcPr>
          <w:p w:rsidR="00095E76" w:rsidRPr="00C24267" w:rsidRDefault="00095E76"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4" w:type="pct"/>
            <w:shd w:val="clear" w:color="auto" w:fill="D7DDE9"/>
          </w:tcPr>
          <w:p w:rsidR="00095E76" w:rsidRPr="00C24267" w:rsidRDefault="00095E76"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4" w:type="pct"/>
            <w:shd w:val="clear" w:color="auto" w:fill="D7DDE9"/>
          </w:tcPr>
          <w:p w:rsidR="00095E76" w:rsidRPr="00C24267" w:rsidRDefault="00095E76"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4" w:type="pct"/>
            <w:shd w:val="clear" w:color="auto" w:fill="D7DDE9"/>
          </w:tcPr>
          <w:p w:rsidR="00095E76" w:rsidRPr="00C24267" w:rsidRDefault="00095E76"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4" w:type="pct"/>
            <w:shd w:val="clear" w:color="auto" w:fill="D7DDE9"/>
          </w:tcPr>
          <w:p w:rsidR="00095E76" w:rsidRPr="00C24267" w:rsidRDefault="00095E76"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4" w:type="pct"/>
            <w:shd w:val="clear" w:color="auto" w:fill="D7DDE9"/>
          </w:tcPr>
          <w:p w:rsidR="00095E76" w:rsidRPr="00C24267" w:rsidRDefault="00095E76"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24" w:type="pct"/>
            <w:shd w:val="clear" w:color="auto" w:fill="D7DDE9"/>
          </w:tcPr>
          <w:p w:rsidR="00095E76" w:rsidRPr="00C24267" w:rsidRDefault="00095E76"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2026–27</w:t>
            </w:r>
          </w:p>
        </w:tc>
        <w:tc>
          <w:tcPr>
            <w:tcW w:w="348" w:type="pct"/>
            <w:shd w:val="clear" w:color="auto" w:fill="D7DDE9"/>
          </w:tcPr>
          <w:p w:rsidR="00095E76" w:rsidRPr="00343282" w:rsidRDefault="00095E76"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343282">
              <w:rPr>
                <w:b/>
              </w:rPr>
              <w:t>Total to 2026–27</w:t>
            </w:r>
          </w:p>
        </w:tc>
      </w:tr>
      <w:tr w:rsidR="00090CFE" w:rsidRPr="00BF79B9" w:rsidTr="00090CFE">
        <w:trPr>
          <w:cantSplit/>
        </w:trPr>
        <w:tc>
          <w:tcPr>
            <w:cnfStyle w:val="001000000000" w:firstRow="0" w:lastRow="0" w:firstColumn="1" w:lastColumn="0" w:oddVBand="0" w:evenVBand="0" w:oddHBand="0" w:evenHBand="0" w:firstRowFirstColumn="0" w:firstRowLastColumn="0" w:lastRowFirstColumn="0" w:lastRowLastColumn="0"/>
            <w:tcW w:w="761" w:type="pct"/>
          </w:tcPr>
          <w:p w:rsidR="00090CFE" w:rsidRPr="00BF79B9" w:rsidRDefault="00090CFE" w:rsidP="00676307">
            <w:pPr>
              <w:keepNext/>
              <w:keepLines/>
              <w:spacing w:before="70" w:after="70" w:line="240" w:lineRule="auto"/>
              <w:ind w:left="57" w:right="57"/>
              <w:rPr>
                <w:b/>
              </w:rPr>
            </w:pPr>
            <w:r w:rsidRPr="00BF79B9">
              <w:rPr>
                <w:b/>
              </w:rPr>
              <w:t>Revenue</w:t>
            </w:r>
            <w:r w:rsidR="00FC6D90">
              <w:rPr>
                <w:b/>
              </w:rPr>
              <w:t xml:space="preserve"> </w:t>
            </w:r>
            <w:r w:rsidR="00D6034A">
              <w:rPr>
                <w:b/>
              </w:rPr>
              <w:t>–</w:t>
            </w:r>
            <w:r w:rsidR="00FC6D90">
              <w:rPr>
                <w:b/>
              </w:rPr>
              <w:t xml:space="preserve"> GST</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w:t>
            </w:r>
            <w:r>
              <w:rPr>
                <w:b/>
                <w:i w:val="0"/>
              </w:rPr>
              <w:t>2</w:t>
            </w:r>
            <w:r w:rsidRPr="00BF79B9">
              <w:rPr>
                <w:b/>
                <w:i w:val="0"/>
              </w:rPr>
              <w:t>,</w:t>
            </w:r>
            <w:r>
              <w:rPr>
                <w:b/>
                <w:i w:val="0"/>
              </w:rPr>
              <w:t>050</w:t>
            </w:r>
            <w:r w:rsidRPr="00BF79B9">
              <w:rPr>
                <w:b/>
                <w:i w:val="0"/>
              </w:rPr>
              <w:t xml:space="preserve">.0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-2,</w:t>
            </w:r>
            <w:r>
              <w:rPr>
                <w:b/>
                <w:i w:val="0"/>
              </w:rPr>
              <w:t>1</w:t>
            </w:r>
            <w:r w:rsidRPr="00BF79B9">
              <w:rPr>
                <w:b/>
                <w:i w:val="0"/>
              </w:rPr>
              <w:t xml:space="preserve">50.0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-2,</w:t>
            </w:r>
            <w:r>
              <w:rPr>
                <w:b/>
                <w:i w:val="0"/>
              </w:rPr>
              <w:t>25</w:t>
            </w:r>
            <w:r w:rsidRPr="00BF79B9">
              <w:rPr>
                <w:b/>
                <w:i w:val="0"/>
              </w:rPr>
              <w:t xml:space="preserve">0.0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-6,450.0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-2,</w:t>
            </w:r>
            <w:r>
              <w:rPr>
                <w:b/>
                <w:i w:val="0"/>
              </w:rPr>
              <w:t>35</w:t>
            </w:r>
            <w:r w:rsidRPr="00BF79B9">
              <w:rPr>
                <w:b/>
                <w:i w:val="0"/>
              </w:rPr>
              <w:t xml:space="preserve">0.0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-2,</w:t>
            </w:r>
            <w:r>
              <w:rPr>
                <w:b/>
                <w:i w:val="0"/>
              </w:rPr>
              <w:t>4</w:t>
            </w:r>
            <w:r w:rsidRPr="00BF79B9">
              <w:rPr>
                <w:b/>
                <w:i w:val="0"/>
              </w:rPr>
              <w:t xml:space="preserve">50.0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-2,600.0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-2,750.0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-2,900.0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-3,050.0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-3,200.0 </w:t>
            </w:r>
          </w:p>
        </w:tc>
        <w:tc>
          <w:tcPr>
            <w:tcW w:w="348"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-25,</w:t>
            </w:r>
            <w:r>
              <w:rPr>
                <w:b/>
                <w:i w:val="0"/>
              </w:rPr>
              <w:t>75</w:t>
            </w:r>
            <w:r w:rsidRPr="00BF79B9">
              <w:rPr>
                <w:b/>
                <w:i w:val="0"/>
              </w:rPr>
              <w:t xml:space="preserve">0.0 </w:t>
            </w:r>
          </w:p>
        </w:tc>
      </w:tr>
      <w:tr w:rsidR="00090CFE" w:rsidRPr="00BF79B9" w:rsidTr="00090CFE">
        <w:trPr>
          <w:cantSplit/>
        </w:trPr>
        <w:tc>
          <w:tcPr>
            <w:cnfStyle w:val="001000000000" w:firstRow="0" w:lastRow="0" w:firstColumn="1" w:lastColumn="0" w:oddVBand="0" w:evenVBand="0" w:oddHBand="0" w:evenHBand="0" w:firstRowFirstColumn="0" w:firstRowLastColumn="0" w:lastRowFirstColumn="0" w:lastRowLastColumn="0"/>
            <w:tcW w:w="761" w:type="pct"/>
          </w:tcPr>
          <w:p w:rsidR="00090CFE" w:rsidRPr="00BF79B9" w:rsidRDefault="00090CFE" w:rsidP="00676307">
            <w:pPr>
              <w:keepNext/>
              <w:keepLines/>
              <w:spacing w:before="70" w:after="70" w:line="240" w:lineRule="auto"/>
              <w:ind w:left="57" w:right="57"/>
              <w:rPr>
                <w:b/>
              </w:rPr>
            </w:pPr>
            <w:r w:rsidRPr="00BF79B9">
              <w:rPr>
                <w:b/>
              </w:rPr>
              <w:t>Expenses</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1</w:t>
            </w:r>
            <w:r w:rsidRPr="00BF79B9">
              <w:rPr>
                <w:b/>
                <w:i w:val="0"/>
              </w:rPr>
              <w:t>,</w:t>
            </w:r>
            <w:r>
              <w:rPr>
                <w:b/>
                <w:i w:val="0"/>
              </w:rPr>
              <w:t>750</w:t>
            </w:r>
            <w:r w:rsidRPr="00BF79B9">
              <w:rPr>
                <w:b/>
                <w:i w:val="0"/>
              </w:rPr>
              <w:t xml:space="preserve">.0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2,</w:t>
            </w:r>
            <w:r>
              <w:rPr>
                <w:b/>
                <w:i w:val="0"/>
              </w:rPr>
              <w:t>1</w:t>
            </w:r>
            <w:r w:rsidRPr="00BF79B9">
              <w:rPr>
                <w:b/>
                <w:i w:val="0"/>
              </w:rPr>
              <w:t xml:space="preserve">50.0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2,</w:t>
            </w:r>
            <w:r>
              <w:rPr>
                <w:b/>
                <w:i w:val="0"/>
              </w:rPr>
              <w:t>25</w:t>
            </w:r>
            <w:r w:rsidRPr="00BF79B9">
              <w:rPr>
                <w:b/>
                <w:i w:val="0"/>
              </w:rPr>
              <w:t xml:space="preserve">0.0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6,</w:t>
            </w:r>
            <w:r>
              <w:rPr>
                <w:b/>
                <w:i w:val="0"/>
              </w:rPr>
              <w:t>1</w:t>
            </w:r>
            <w:r w:rsidRPr="00BF79B9">
              <w:rPr>
                <w:b/>
                <w:i w:val="0"/>
              </w:rPr>
              <w:t xml:space="preserve">50.0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2,</w:t>
            </w:r>
            <w:r>
              <w:rPr>
                <w:b/>
                <w:i w:val="0"/>
              </w:rPr>
              <w:t>35</w:t>
            </w:r>
            <w:r w:rsidRPr="00BF79B9">
              <w:rPr>
                <w:b/>
                <w:i w:val="0"/>
              </w:rPr>
              <w:t xml:space="preserve">0.0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2,</w:t>
            </w:r>
            <w:r>
              <w:rPr>
                <w:b/>
                <w:i w:val="0"/>
              </w:rPr>
              <w:t>4</w:t>
            </w:r>
            <w:r w:rsidRPr="00BF79B9">
              <w:rPr>
                <w:b/>
                <w:i w:val="0"/>
              </w:rPr>
              <w:t xml:space="preserve">50.0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2,600.0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2,750.0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2,900.0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3,050.0 </w:t>
            </w:r>
          </w:p>
        </w:tc>
        <w:tc>
          <w:tcPr>
            <w:tcW w:w="324"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3,200.0 </w:t>
            </w:r>
          </w:p>
        </w:tc>
        <w:tc>
          <w:tcPr>
            <w:tcW w:w="348" w:type="pct"/>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25,</w:t>
            </w:r>
            <w:r>
              <w:rPr>
                <w:b/>
                <w:i w:val="0"/>
              </w:rPr>
              <w:t>45</w:t>
            </w:r>
            <w:r w:rsidRPr="00BF79B9">
              <w:rPr>
                <w:b/>
                <w:i w:val="0"/>
              </w:rPr>
              <w:t xml:space="preserve">0.0 </w:t>
            </w:r>
          </w:p>
        </w:tc>
      </w:tr>
      <w:tr w:rsidR="00090CFE" w:rsidTr="00090CFE">
        <w:trPr>
          <w:cantSplit/>
        </w:trPr>
        <w:tc>
          <w:tcPr>
            <w:cnfStyle w:val="001000000000" w:firstRow="0" w:lastRow="0" w:firstColumn="1" w:lastColumn="0" w:oddVBand="0" w:evenVBand="0" w:oddHBand="0" w:evenHBand="0" w:firstRowFirstColumn="0" w:firstRowLastColumn="0" w:lastRowFirstColumn="0" w:lastRowLastColumn="0"/>
            <w:tcW w:w="761" w:type="pct"/>
          </w:tcPr>
          <w:p w:rsidR="00090CFE" w:rsidRPr="00C50419" w:rsidRDefault="00090CFE" w:rsidP="00676307">
            <w:pPr>
              <w:keepNext/>
              <w:keepLines/>
              <w:spacing w:before="70" w:after="70" w:line="240" w:lineRule="auto"/>
              <w:ind w:left="57" w:right="57"/>
              <w:rPr>
                <w:i/>
              </w:rPr>
            </w:pPr>
            <w:r>
              <w:rPr>
                <w:i/>
              </w:rPr>
              <w:t>Administered</w:t>
            </w:r>
            <w:r w:rsidR="00AE44B2">
              <w:rPr>
                <w:i/>
              </w:rPr>
              <w:t xml:space="preserve"> – GST</w:t>
            </w:r>
          </w:p>
        </w:tc>
        <w:tc>
          <w:tcPr>
            <w:tcW w:w="324" w:type="pct"/>
          </w:tcPr>
          <w:p w:rsidR="00090CFE" w:rsidRP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 xml:space="preserve"> -   </w:t>
            </w:r>
          </w:p>
        </w:tc>
        <w:tc>
          <w:tcPr>
            <w:tcW w:w="324" w:type="pct"/>
          </w:tcPr>
          <w:p w:rsidR="00090CFE" w:rsidRP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1,7</w:t>
            </w:r>
            <w:r>
              <w:t>4</w:t>
            </w:r>
            <w:r w:rsidRPr="00090CFE">
              <w:t xml:space="preserve">0.0 </w:t>
            </w:r>
          </w:p>
        </w:tc>
        <w:tc>
          <w:tcPr>
            <w:tcW w:w="324" w:type="pct"/>
          </w:tcPr>
          <w:p w:rsidR="00090CFE" w:rsidRP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2,1</w:t>
            </w:r>
            <w:r>
              <w:t>4</w:t>
            </w:r>
            <w:r w:rsidRPr="00090CFE">
              <w:t xml:space="preserve">0.0 </w:t>
            </w:r>
          </w:p>
        </w:tc>
        <w:tc>
          <w:tcPr>
            <w:tcW w:w="324" w:type="pct"/>
          </w:tcPr>
          <w:p w:rsidR="00090CFE" w:rsidRP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2,2</w:t>
            </w:r>
            <w:r>
              <w:t>4</w:t>
            </w:r>
            <w:r w:rsidRPr="00090CFE">
              <w:t xml:space="preserve">0.0 </w:t>
            </w:r>
          </w:p>
        </w:tc>
        <w:tc>
          <w:tcPr>
            <w:tcW w:w="324" w:type="pct"/>
          </w:tcPr>
          <w:p w:rsidR="00090CFE" w:rsidRP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090CFE">
              <w:rPr>
                <w:b/>
              </w:rPr>
              <w:t>6,1</w:t>
            </w:r>
            <w:r>
              <w:rPr>
                <w:b/>
              </w:rPr>
              <w:t>2</w:t>
            </w:r>
            <w:r w:rsidRPr="00090CFE">
              <w:rPr>
                <w:b/>
              </w:rPr>
              <w:t xml:space="preserve">0.0 </w:t>
            </w:r>
          </w:p>
        </w:tc>
        <w:tc>
          <w:tcPr>
            <w:tcW w:w="324" w:type="pct"/>
          </w:tcPr>
          <w:p w:rsidR="00090CFE" w:rsidRP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2,3</w:t>
            </w:r>
            <w:r>
              <w:t>4</w:t>
            </w:r>
            <w:r w:rsidRPr="00090CFE">
              <w:t xml:space="preserve">0.0 </w:t>
            </w:r>
          </w:p>
        </w:tc>
        <w:tc>
          <w:tcPr>
            <w:tcW w:w="324" w:type="pct"/>
          </w:tcPr>
          <w:p w:rsidR="00090CFE" w:rsidRP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2,4</w:t>
            </w:r>
            <w:r>
              <w:t>4</w:t>
            </w:r>
            <w:r w:rsidRPr="00090CFE">
              <w:t xml:space="preserve">0.0 </w:t>
            </w:r>
          </w:p>
        </w:tc>
        <w:tc>
          <w:tcPr>
            <w:tcW w:w="324" w:type="pct"/>
          </w:tcPr>
          <w:p w:rsidR="00090CFE" w:rsidRP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2,</w:t>
            </w:r>
            <w:r>
              <w:t>590</w:t>
            </w:r>
            <w:r w:rsidRPr="00090CFE">
              <w:t xml:space="preserve">.0 </w:t>
            </w:r>
          </w:p>
        </w:tc>
        <w:tc>
          <w:tcPr>
            <w:tcW w:w="324" w:type="pct"/>
          </w:tcPr>
          <w:p w:rsidR="00090CFE" w:rsidRP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2,7</w:t>
            </w:r>
            <w:r>
              <w:t>4</w:t>
            </w:r>
            <w:r w:rsidRPr="00090CFE">
              <w:t xml:space="preserve">0.0 </w:t>
            </w:r>
          </w:p>
        </w:tc>
        <w:tc>
          <w:tcPr>
            <w:tcW w:w="324" w:type="pct"/>
          </w:tcPr>
          <w:p w:rsidR="00090CFE" w:rsidRP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2,</w:t>
            </w:r>
            <w:r>
              <w:t>890</w:t>
            </w:r>
            <w:r w:rsidRPr="00090CFE">
              <w:t xml:space="preserve">.0 </w:t>
            </w:r>
          </w:p>
        </w:tc>
        <w:tc>
          <w:tcPr>
            <w:tcW w:w="324" w:type="pct"/>
          </w:tcPr>
          <w:p w:rsidR="00090CFE" w:rsidRP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3,0</w:t>
            </w:r>
            <w:r>
              <w:t>4</w:t>
            </w:r>
            <w:r w:rsidRPr="00090CFE">
              <w:t xml:space="preserve">0.0 </w:t>
            </w:r>
          </w:p>
        </w:tc>
        <w:tc>
          <w:tcPr>
            <w:tcW w:w="324" w:type="pct"/>
          </w:tcPr>
          <w:p w:rsidR="00090CFE" w:rsidRP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3,</w:t>
            </w:r>
            <w:r>
              <w:t>190</w:t>
            </w:r>
            <w:r w:rsidRPr="00090CFE">
              <w:t xml:space="preserve">.0 </w:t>
            </w:r>
          </w:p>
        </w:tc>
        <w:tc>
          <w:tcPr>
            <w:tcW w:w="348" w:type="pct"/>
          </w:tcPr>
          <w:p w:rsidR="00090CFE" w:rsidRP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090CFE">
              <w:rPr>
                <w:b/>
              </w:rPr>
              <w:t>25,</w:t>
            </w:r>
            <w:r>
              <w:rPr>
                <w:b/>
              </w:rPr>
              <w:t>3</w:t>
            </w:r>
            <w:r w:rsidRPr="00090CFE">
              <w:rPr>
                <w:b/>
              </w:rPr>
              <w:t xml:space="preserve">50.0 </w:t>
            </w:r>
          </w:p>
        </w:tc>
      </w:tr>
      <w:tr w:rsidR="00090CFE" w:rsidTr="00090CFE">
        <w:trPr>
          <w:cantSplit/>
        </w:trPr>
        <w:tc>
          <w:tcPr>
            <w:cnfStyle w:val="001000000000" w:firstRow="0" w:lastRow="0" w:firstColumn="1" w:lastColumn="0" w:oddVBand="0" w:evenVBand="0" w:oddHBand="0" w:evenHBand="0" w:firstRowFirstColumn="0" w:firstRowLastColumn="0" w:lastRowFirstColumn="0" w:lastRowLastColumn="0"/>
            <w:tcW w:w="761" w:type="pct"/>
          </w:tcPr>
          <w:p w:rsidR="00090CFE" w:rsidRPr="00C50419" w:rsidRDefault="00090CFE" w:rsidP="00676307">
            <w:pPr>
              <w:keepNext/>
              <w:keepLines/>
              <w:spacing w:before="70" w:after="70" w:line="240" w:lineRule="auto"/>
              <w:ind w:left="57" w:right="57"/>
              <w:rPr>
                <w:i/>
              </w:rPr>
            </w:pPr>
            <w:r>
              <w:rPr>
                <w:i/>
              </w:rPr>
              <w:t>Departmental</w:t>
            </w:r>
            <w:r w:rsidR="00AE44B2">
              <w:rPr>
                <w:i/>
              </w:rPr>
              <w:t xml:space="preserve"> – ATO</w:t>
            </w:r>
          </w:p>
        </w:tc>
        <w:tc>
          <w:tcPr>
            <w:tcW w:w="324" w:type="pct"/>
          </w:tcPr>
          <w:p w:rsid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   </w:t>
            </w:r>
          </w:p>
        </w:tc>
        <w:tc>
          <w:tcPr>
            <w:tcW w:w="324" w:type="pct"/>
          </w:tcPr>
          <w:p w:rsid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24" w:type="pct"/>
          </w:tcPr>
          <w:p w:rsid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24" w:type="pct"/>
          </w:tcPr>
          <w:p w:rsid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24" w:type="pct"/>
          </w:tcPr>
          <w:p w:rsidR="00090CFE" w:rsidRPr="00343282"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343282">
              <w:rPr>
                <w:b/>
              </w:rPr>
              <w:t xml:space="preserve"> 30.0 </w:t>
            </w:r>
          </w:p>
        </w:tc>
        <w:tc>
          <w:tcPr>
            <w:tcW w:w="324" w:type="pct"/>
          </w:tcPr>
          <w:p w:rsid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24" w:type="pct"/>
          </w:tcPr>
          <w:p w:rsid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24" w:type="pct"/>
          </w:tcPr>
          <w:p w:rsid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24" w:type="pct"/>
          </w:tcPr>
          <w:p w:rsid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24" w:type="pct"/>
          </w:tcPr>
          <w:p w:rsid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24" w:type="pct"/>
          </w:tcPr>
          <w:p w:rsid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24" w:type="pct"/>
          </w:tcPr>
          <w:p w:rsidR="00090CFE"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48" w:type="pct"/>
          </w:tcPr>
          <w:p w:rsidR="00090CFE" w:rsidRPr="00343282"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343282">
              <w:rPr>
                <w:b/>
              </w:rPr>
              <w:t xml:space="preserve"> 100.0 </w:t>
            </w:r>
          </w:p>
        </w:tc>
      </w:tr>
      <w:tr w:rsidR="00090CFE" w:rsidRPr="00BF79B9" w:rsidTr="00090CFE">
        <w:trPr>
          <w:cantSplit/>
        </w:trPr>
        <w:tc>
          <w:tcPr>
            <w:cnfStyle w:val="001000000000" w:firstRow="0" w:lastRow="0" w:firstColumn="1" w:lastColumn="0" w:oddVBand="0" w:evenVBand="0" w:oddHBand="0" w:evenHBand="0" w:firstRowFirstColumn="0" w:firstRowLastColumn="0" w:lastRowFirstColumn="0" w:lastRowLastColumn="0"/>
            <w:tcW w:w="761" w:type="pct"/>
            <w:shd w:val="clear" w:color="auto" w:fill="E9ECF3"/>
          </w:tcPr>
          <w:p w:rsidR="00090CFE" w:rsidRPr="00BF79B9" w:rsidRDefault="00090CFE" w:rsidP="00676307">
            <w:pPr>
              <w:keepNext/>
              <w:keepLines/>
              <w:spacing w:before="70" w:after="70" w:line="240" w:lineRule="auto"/>
              <w:ind w:left="57" w:right="57"/>
              <w:rPr>
                <w:b/>
              </w:rPr>
            </w:pPr>
            <w:r w:rsidRPr="00BF79B9">
              <w:rPr>
                <w:b/>
              </w:rPr>
              <w:t>Total</w:t>
            </w:r>
          </w:p>
        </w:tc>
        <w:tc>
          <w:tcPr>
            <w:tcW w:w="324" w:type="pct"/>
            <w:shd w:val="clear" w:color="auto" w:fill="E9ECF3"/>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Pr="00BF79B9">
              <w:rPr>
                <w:b/>
                <w:i w:val="0"/>
              </w:rPr>
              <w:t xml:space="preserve"> </w:t>
            </w:r>
          </w:p>
        </w:tc>
        <w:tc>
          <w:tcPr>
            <w:tcW w:w="324" w:type="pct"/>
            <w:shd w:val="clear" w:color="auto" w:fill="E9ECF3"/>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-300.0</w:t>
            </w:r>
            <w:r w:rsidRPr="00BF79B9">
              <w:rPr>
                <w:b/>
                <w:i w:val="0"/>
              </w:rPr>
              <w:t xml:space="preserve"> </w:t>
            </w:r>
          </w:p>
        </w:tc>
        <w:tc>
          <w:tcPr>
            <w:tcW w:w="324" w:type="pct"/>
            <w:shd w:val="clear" w:color="auto" w:fill="E9ECF3"/>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w:t>
            </w:r>
          </w:p>
        </w:tc>
        <w:tc>
          <w:tcPr>
            <w:tcW w:w="324" w:type="pct"/>
            <w:shd w:val="clear" w:color="auto" w:fill="E9ECF3"/>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w:t>
            </w:r>
          </w:p>
        </w:tc>
        <w:tc>
          <w:tcPr>
            <w:tcW w:w="324" w:type="pct"/>
            <w:shd w:val="clear" w:color="auto" w:fill="E9ECF3"/>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00DC34D4">
              <w:rPr>
                <w:b/>
                <w:i w:val="0"/>
              </w:rPr>
              <w:t>300.0</w:t>
            </w:r>
            <w:r w:rsidRPr="00BF79B9">
              <w:rPr>
                <w:b/>
                <w:i w:val="0"/>
              </w:rPr>
              <w:t xml:space="preserve"> </w:t>
            </w:r>
          </w:p>
        </w:tc>
        <w:tc>
          <w:tcPr>
            <w:tcW w:w="324" w:type="pct"/>
            <w:shd w:val="clear" w:color="auto" w:fill="E9ECF3"/>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w:t>
            </w:r>
          </w:p>
        </w:tc>
        <w:tc>
          <w:tcPr>
            <w:tcW w:w="324" w:type="pct"/>
            <w:shd w:val="clear" w:color="auto" w:fill="E9ECF3"/>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w:t>
            </w:r>
            <w:r>
              <w:rPr>
                <w:b/>
                <w:i w:val="0"/>
              </w:rPr>
              <w:t>-</w:t>
            </w:r>
            <w:r w:rsidRPr="00BF79B9">
              <w:rPr>
                <w:b/>
                <w:i w:val="0"/>
              </w:rPr>
              <w:t xml:space="preserve"> </w:t>
            </w:r>
          </w:p>
        </w:tc>
        <w:tc>
          <w:tcPr>
            <w:tcW w:w="324" w:type="pct"/>
            <w:shd w:val="clear" w:color="auto" w:fill="E9ECF3"/>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4" w:type="pct"/>
            <w:shd w:val="clear" w:color="auto" w:fill="E9ECF3"/>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4" w:type="pct"/>
            <w:shd w:val="clear" w:color="auto" w:fill="E9ECF3"/>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4" w:type="pct"/>
            <w:shd w:val="clear" w:color="auto" w:fill="E9ECF3"/>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4" w:type="pct"/>
            <w:shd w:val="clear" w:color="auto" w:fill="E9ECF3"/>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48" w:type="pct"/>
            <w:shd w:val="clear" w:color="auto" w:fill="E9ECF3"/>
          </w:tcPr>
          <w:p w:rsidR="00090CFE" w:rsidRPr="00BF79B9" w:rsidRDefault="00090CFE"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-300.0</w:t>
            </w:r>
            <w:r w:rsidRPr="00BF79B9">
              <w:rPr>
                <w:b/>
                <w:i w:val="0"/>
              </w:rPr>
              <w:t xml:space="preserve"> </w:t>
            </w:r>
          </w:p>
        </w:tc>
      </w:tr>
    </w:tbl>
    <w:p w:rsidR="00095E76" w:rsidRDefault="00095E76" w:rsidP="00676307">
      <w:pPr>
        <w:pStyle w:val="Footnotes"/>
        <w:numPr>
          <w:ilvl w:val="0"/>
          <w:numId w:val="26"/>
        </w:numPr>
        <w:ind w:left="284" w:hanging="284"/>
      </w:pPr>
      <w:r>
        <w:t xml:space="preserve">A positive number </w:t>
      </w:r>
      <w:r w:rsidR="00E459A2">
        <w:t xml:space="preserve">for the fiscal balance </w:t>
      </w:r>
      <w:r>
        <w:t xml:space="preserve">indicates an increase in revenue or decrease in expenses or net capital investment in accrual terms. A negative number </w:t>
      </w:r>
      <w:r w:rsidR="00E459A2">
        <w:t xml:space="preserve">for the fiscal balance </w:t>
      </w:r>
      <w:r>
        <w:t>indicates a decrease in revenue or an increase in expenses or net capital investment in accrual terms.</w:t>
      </w:r>
    </w:p>
    <w:p w:rsidR="00095E76" w:rsidRDefault="00095E76" w:rsidP="00676307">
      <w:pPr>
        <w:pStyle w:val="Footnotes"/>
        <w:ind w:left="284" w:hanging="284"/>
      </w:pPr>
      <w:r>
        <w:t>Figures may not sum to totals due to rounding.</w:t>
      </w:r>
    </w:p>
    <w:p w:rsidR="00095E76" w:rsidRDefault="00090CFE" w:rsidP="00676307">
      <w:pPr>
        <w:pStyle w:val="Footnotes"/>
        <w:numPr>
          <w:ilvl w:val="0"/>
          <w:numId w:val="0"/>
        </w:numPr>
        <w:ind w:left="284" w:hanging="284"/>
      </w:pPr>
      <w:r>
        <w:t>-</w:t>
      </w:r>
      <w:r>
        <w:tab/>
        <w:t>Indicates nil.</w:t>
      </w:r>
    </w:p>
    <w:p w:rsidR="007437F3" w:rsidRDefault="007437F3" w:rsidP="007437F3">
      <w:pPr>
        <w:pStyle w:val="Captionheading"/>
        <w:rPr>
          <w:vertAlign w:val="superscript"/>
        </w:rPr>
      </w:pPr>
      <w:r w:rsidRPr="00FC6579">
        <w:lastRenderedPageBreak/>
        <w:t xml:space="preserve">Table </w:t>
      </w:r>
      <w:r w:rsidR="00095E76">
        <w:t>A</w:t>
      </w:r>
      <w:r w:rsidR="00740735">
        <w:t>5</w:t>
      </w:r>
      <w:r w:rsidRPr="00FC6579">
        <w:t xml:space="preserve">: </w:t>
      </w:r>
      <w:r w:rsidR="00095E76">
        <w:t>Component 2</w:t>
      </w:r>
      <w:r w:rsidR="0082072B" w:rsidRPr="0082072B">
        <w:t xml:space="preserve">: </w:t>
      </w:r>
      <w:r w:rsidR="000F48AC" w:rsidRPr="000F48AC">
        <w:t>Increase GST registration threshold</w:t>
      </w:r>
      <w:r>
        <w:t>–Underlying cash balance</w:t>
      </w:r>
      <w:r w:rsidRPr="00844776">
        <w:rPr>
          <w:vertAlign w:val="superscript"/>
        </w:rPr>
        <w:t>(a)</w:t>
      </w:r>
      <w:r>
        <w:rPr>
          <w:vertAlign w:val="superscript"/>
        </w:rPr>
        <w:t>(b)</w:t>
      </w:r>
    </w:p>
    <w:tbl>
      <w:tblPr>
        <w:tblStyle w:val="TableGrid"/>
        <w:tblW w:w="5005" w:type="pct"/>
        <w:tblLook w:val="0680" w:firstRow="0" w:lastRow="0" w:firstColumn="1" w:lastColumn="0" w:noHBand="1" w:noVBand="1"/>
      </w:tblPr>
      <w:tblGrid>
        <w:gridCol w:w="2133"/>
        <w:gridCol w:w="910"/>
        <w:gridCol w:w="910"/>
        <w:gridCol w:w="910"/>
        <w:gridCol w:w="910"/>
        <w:gridCol w:w="910"/>
        <w:gridCol w:w="909"/>
        <w:gridCol w:w="909"/>
        <w:gridCol w:w="909"/>
        <w:gridCol w:w="909"/>
        <w:gridCol w:w="909"/>
        <w:gridCol w:w="909"/>
        <w:gridCol w:w="909"/>
        <w:gridCol w:w="982"/>
      </w:tblGrid>
      <w:tr w:rsidR="00F16315" w:rsidRPr="00B31810" w:rsidTr="003D7D88">
        <w:trPr>
          <w:cantSplit/>
        </w:trPr>
        <w:tc>
          <w:tcPr>
            <w:cnfStyle w:val="001000000000" w:firstRow="0" w:lastRow="0" w:firstColumn="1" w:lastColumn="0" w:oddVBand="0" w:evenVBand="0" w:oddHBand="0" w:evenHBand="0" w:firstRowFirstColumn="0" w:firstRowLastColumn="0" w:lastRowFirstColumn="0" w:lastRowLastColumn="0"/>
            <w:tcW w:w="760" w:type="pct"/>
            <w:shd w:val="clear" w:color="auto" w:fill="D7DDE9"/>
          </w:tcPr>
          <w:p w:rsidR="00BF4D13" w:rsidRPr="00B31810" w:rsidRDefault="00BF4D13" w:rsidP="00676307">
            <w:pPr>
              <w:keepNext/>
              <w:keepLines/>
              <w:spacing w:before="70" w:after="70" w:line="240" w:lineRule="auto"/>
              <w:ind w:left="57" w:right="57"/>
            </w:pPr>
            <w:r w:rsidRPr="00B31810">
              <w:t>($m)</w:t>
            </w:r>
          </w:p>
        </w:tc>
        <w:tc>
          <w:tcPr>
            <w:tcW w:w="324" w:type="pct"/>
            <w:shd w:val="clear" w:color="auto" w:fill="D7DDE9"/>
          </w:tcPr>
          <w:p w:rsidR="00BF4D13" w:rsidRPr="00C24267" w:rsidRDefault="00BF4D13"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4" w:type="pct"/>
            <w:shd w:val="clear" w:color="auto" w:fill="D7DDE9"/>
          </w:tcPr>
          <w:p w:rsidR="00BF4D13" w:rsidRPr="00C24267" w:rsidRDefault="00BF4D13"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4" w:type="pct"/>
            <w:shd w:val="clear" w:color="auto" w:fill="D7DDE9"/>
          </w:tcPr>
          <w:p w:rsidR="00BF4D13" w:rsidRPr="00C24267" w:rsidRDefault="00BF4D13"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4" w:type="pct"/>
            <w:shd w:val="clear" w:color="auto" w:fill="D7DDE9"/>
          </w:tcPr>
          <w:p w:rsidR="00BF4D13" w:rsidRPr="00C24267" w:rsidRDefault="00BF4D13"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24" w:type="pct"/>
            <w:shd w:val="clear" w:color="auto" w:fill="D7DDE9"/>
          </w:tcPr>
          <w:p w:rsidR="00BF4D13" w:rsidRPr="00343282" w:rsidRDefault="00BF4D13"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343282">
              <w:rPr>
                <w:b/>
              </w:rPr>
              <w:t>Total to 2019–20</w:t>
            </w:r>
          </w:p>
        </w:tc>
        <w:tc>
          <w:tcPr>
            <w:tcW w:w="324" w:type="pct"/>
            <w:shd w:val="clear" w:color="auto" w:fill="D7DDE9"/>
          </w:tcPr>
          <w:p w:rsidR="00BF4D13" w:rsidRPr="00C24267" w:rsidRDefault="00BF4D13"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4" w:type="pct"/>
            <w:shd w:val="clear" w:color="auto" w:fill="D7DDE9"/>
          </w:tcPr>
          <w:p w:rsidR="00BF4D13" w:rsidRPr="00C24267" w:rsidRDefault="00BF4D13"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4" w:type="pct"/>
            <w:shd w:val="clear" w:color="auto" w:fill="D7DDE9"/>
          </w:tcPr>
          <w:p w:rsidR="00BF4D13" w:rsidRPr="00C24267" w:rsidRDefault="00BF4D13"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4" w:type="pct"/>
            <w:shd w:val="clear" w:color="auto" w:fill="D7DDE9"/>
          </w:tcPr>
          <w:p w:rsidR="00BF4D13" w:rsidRPr="00C24267" w:rsidRDefault="00BF4D13"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4" w:type="pct"/>
            <w:shd w:val="clear" w:color="auto" w:fill="D7DDE9"/>
          </w:tcPr>
          <w:p w:rsidR="00BF4D13" w:rsidRPr="00C24267" w:rsidRDefault="00BF4D13"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4" w:type="pct"/>
            <w:shd w:val="clear" w:color="auto" w:fill="D7DDE9"/>
          </w:tcPr>
          <w:p w:rsidR="00BF4D13" w:rsidRPr="00C24267" w:rsidRDefault="00BF4D13"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24" w:type="pct"/>
            <w:shd w:val="clear" w:color="auto" w:fill="D7DDE9"/>
          </w:tcPr>
          <w:p w:rsidR="00BF4D13" w:rsidRPr="00C24267" w:rsidRDefault="00BF4D13"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2026–27</w:t>
            </w:r>
          </w:p>
        </w:tc>
        <w:tc>
          <w:tcPr>
            <w:tcW w:w="350" w:type="pct"/>
            <w:shd w:val="clear" w:color="auto" w:fill="D7DDE9"/>
          </w:tcPr>
          <w:p w:rsidR="00BF4D13" w:rsidRPr="00343282" w:rsidRDefault="00BF4D13" w:rsidP="0067630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343282">
              <w:rPr>
                <w:b/>
              </w:rPr>
              <w:t>Total to 2026–27</w:t>
            </w:r>
          </w:p>
        </w:tc>
      </w:tr>
      <w:tr w:rsidR="003D7D88" w:rsidRPr="00BF79B9" w:rsidTr="003D7D88">
        <w:trPr>
          <w:cantSplit/>
        </w:trPr>
        <w:tc>
          <w:tcPr>
            <w:cnfStyle w:val="001000000000" w:firstRow="0" w:lastRow="0" w:firstColumn="1" w:lastColumn="0" w:oddVBand="0" w:evenVBand="0" w:oddHBand="0" w:evenHBand="0" w:firstRowFirstColumn="0" w:firstRowLastColumn="0" w:lastRowFirstColumn="0" w:lastRowLastColumn="0"/>
            <w:tcW w:w="760" w:type="pct"/>
          </w:tcPr>
          <w:p w:rsidR="003D7D88" w:rsidRPr="00BF79B9" w:rsidRDefault="003D7D88" w:rsidP="00676307">
            <w:pPr>
              <w:keepNext/>
              <w:keepLines/>
              <w:spacing w:before="70" w:after="70" w:line="240" w:lineRule="auto"/>
              <w:ind w:left="57" w:right="57"/>
              <w:rPr>
                <w:b/>
              </w:rPr>
            </w:pPr>
            <w:r w:rsidRPr="00BF79B9">
              <w:rPr>
                <w:b/>
              </w:rPr>
              <w:t>Receipts</w:t>
            </w:r>
            <w:r w:rsidR="00D6034A">
              <w:rPr>
                <w:b/>
              </w:rPr>
              <w:t xml:space="preserve"> – GST</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-1</w:t>
            </w:r>
            <w:r w:rsidRPr="00BF79B9">
              <w:rPr>
                <w:b/>
                <w:i w:val="0"/>
              </w:rPr>
              <w:t>,</w:t>
            </w:r>
            <w:r>
              <w:rPr>
                <w:b/>
                <w:i w:val="0"/>
              </w:rPr>
              <w:t>750</w:t>
            </w:r>
            <w:r w:rsidRPr="00BF79B9">
              <w:rPr>
                <w:b/>
                <w:i w:val="0"/>
              </w:rPr>
              <w:t xml:space="preserve">.0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Pr="00BF79B9">
              <w:rPr>
                <w:b/>
                <w:i w:val="0"/>
              </w:rPr>
              <w:t>2,</w:t>
            </w:r>
            <w:r>
              <w:rPr>
                <w:b/>
                <w:i w:val="0"/>
              </w:rPr>
              <w:t>1</w:t>
            </w:r>
            <w:r w:rsidRPr="00BF79B9">
              <w:rPr>
                <w:b/>
                <w:i w:val="0"/>
              </w:rPr>
              <w:t xml:space="preserve">50.0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Pr="00BF79B9">
              <w:rPr>
                <w:b/>
                <w:i w:val="0"/>
              </w:rPr>
              <w:t>2,</w:t>
            </w:r>
            <w:r>
              <w:rPr>
                <w:b/>
                <w:i w:val="0"/>
              </w:rPr>
              <w:t>25</w:t>
            </w:r>
            <w:r w:rsidRPr="00BF79B9">
              <w:rPr>
                <w:b/>
                <w:i w:val="0"/>
              </w:rPr>
              <w:t xml:space="preserve">0.0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Pr="00BF79B9">
              <w:rPr>
                <w:b/>
                <w:i w:val="0"/>
              </w:rPr>
              <w:t>6,</w:t>
            </w:r>
            <w:r>
              <w:rPr>
                <w:b/>
                <w:i w:val="0"/>
              </w:rPr>
              <w:t>1</w:t>
            </w:r>
            <w:r w:rsidRPr="00BF79B9">
              <w:rPr>
                <w:b/>
                <w:i w:val="0"/>
              </w:rPr>
              <w:t xml:space="preserve">50.0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Pr="00BF79B9">
              <w:rPr>
                <w:b/>
                <w:i w:val="0"/>
              </w:rPr>
              <w:t>2,</w:t>
            </w:r>
            <w:r>
              <w:rPr>
                <w:b/>
                <w:i w:val="0"/>
              </w:rPr>
              <w:t>35</w:t>
            </w:r>
            <w:r w:rsidRPr="00BF79B9">
              <w:rPr>
                <w:b/>
                <w:i w:val="0"/>
              </w:rPr>
              <w:t xml:space="preserve">0.0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Pr="00BF79B9">
              <w:rPr>
                <w:b/>
                <w:i w:val="0"/>
              </w:rPr>
              <w:t>2,</w:t>
            </w:r>
            <w:r>
              <w:rPr>
                <w:b/>
                <w:i w:val="0"/>
              </w:rPr>
              <w:t>4</w:t>
            </w:r>
            <w:r w:rsidRPr="00BF79B9">
              <w:rPr>
                <w:b/>
                <w:i w:val="0"/>
              </w:rPr>
              <w:t xml:space="preserve">50.0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Pr="00BF79B9">
              <w:rPr>
                <w:b/>
                <w:i w:val="0"/>
              </w:rPr>
              <w:t xml:space="preserve">2,600.0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Pr="00BF79B9">
              <w:rPr>
                <w:b/>
                <w:i w:val="0"/>
              </w:rPr>
              <w:t xml:space="preserve">2,750.0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Pr="00BF79B9">
              <w:rPr>
                <w:b/>
                <w:i w:val="0"/>
              </w:rPr>
              <w:t xml:space="preserve">2,900.0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Pr="00BF79B9">
              <w:rPr>
                <w:b/>
                <w:i w:val="0"/>
              </w:rPr>
              <w:t xml:space="preserve">3,050.0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Pr="00BF79B9">
              <w:rPr>
                <w:b/>
                <w:i w:val="0"/>
              </w:rPr>
              <w:t xml:space="preserve">3,200.0 </w:t>
            </w:r>
          </w:p>
        </w:tc>
        <w:tc>
          <w:tcPr>
            <w:tcW w:w="350"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Pr="00BF79B9">
              <w:rPr>
                <w:b/>
                <w:i w:val="0"/>
              </w:rPr>
              <w:t>25,</w:t>
            </w:r>
            <w:r>
              <w:rPr>
                <w:b/>
                <w:i w:val="0"/>
              </w:rPr>
              <w:t>45</w:t>
            </w:r>
            <w:r w:rsidRPr="00BF79B9">
              <w:rPr>
                <w:b/>
                <w:i w:val="0"/>
              </w:rPr>
              <w:t xml:space="preserve">0.0 </w:t>
            </w:r>
          </w:p>
        </w:tc>
      </w:tr>
      <w:tr w:rsidR="003D7D88" w:rsidRPr="00BF79B9" w:rsidTr="003D7D88">
        <w:trPr>
          <w:cantSplit/>
        </w:trPr>
        <w:tc>
          <w:tcPr>
            <w:cnfStyle w:val="001000000000" w:firstRow="0" w:lastRow="0" w:firstColumn="1" w:lastColumn="0" w:oddVBand="0" w:evenVBand="0" w:oddHBand="0" w:evenHBand="0" w:firstRowFirstColumn="0" w:firstRowLastColumn="0" w:lastRowFirstColumn="0" w:lastRowLastColumn="0"/>
            <w:tcW w:w="760" w:type="pct"/>
          </w:tcPr>
          <w:p w:rsidR="003D7D88" w:rsidRPr="00BF79B9" w:rsidRDefault="003D7D88" w:rsidP="00676307">
            <w:pPr>
              <w:keepNext/>
              <w:keepLines/>
              <w:spacing w:before="70" w:after="70" w:line="240" w:lineRule="auto"/>
              <w:ind w:left="57" w:right="57"/>
              <w:rPr>
                <w:b/>
              </w:rPr>
            </w:pPr>
            <w:r>
              <w:rPr>
                <w:b/>
              </w:rPr>
              <w:t>Outlays</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1</w:t>
            </w:r>
            <w:r w:rsidRPr="00BF79B9">
              <w:rPr>
                <w:b/>
                <w:i w:val="0"/>
              </w:rPr>
              <w:t>,</w:t>
            </w:r>
            <w:r>
              <w:rPr>
                <w:b/>
                <w:i w:val="0"/>
              </w:rPr>
              <w:t>750</w:t>
            </w:r>
            <w:r w:rsidRPr="00BF79B9">
              <w:rPr>
                <w:b/>
                <w:i w:val="0"/>
              </w:rPr>
              <w:t xml:space="preserve">.0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2,</w:t>
            </w:r>
            <w:r>
              <w:rPr>
                <w:b/>
                <w:i w:val="0"/>
              </w:rPr>
              <w:t>1</w:t>
            </w:r>
            <w:r w:rsidRPr="00BF79B9">
              <w:rPr>
                <w:b/>
                <w:i w:val="0"/>
              </w:rPr>
              <w:t xml:space="preserve">50.0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2,</w:t>
            </w:r>
            <w:r>
              <w:rPr>
                <w:b/>
                <w:i w:val="0"/>
              </w:rPr>
              <w:t>25</w:t>
            </w:r>
            <w:r w:rsidRPr="00BF79B9">
              <w:rPr>
                <w:b/>
                <w:i w:val="0"/>
              </w:rPr>
              <w:t xml:space="preserve">0.0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6,</w:t>
            </w:r>
            <w:r>
              <w:rPr>
                <w:b/>
                <w:i w:val="0"/>
              </w:rPr>
              <w:t>1</w:t>
            </w:r>
            <w:r w:rsidRPr="00BF79B9">
              <w:rPr>
                <w:b/>
                <w:i w:val="0"/>
              </w:rPr>
              <w:t xml:space="preserve">50.0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2,</w:t>
            </w:r>
            <w:r>
              <w:rPr>
                <w:b/>
                <w:i w:val="0"/>
              </w:rPr>
              <w:t>35</w:t>
            </w:r>
            <w:r w:rsidRPr="00BF79B9">
              <w:rPr>
                <w:b/>
                <w:i w:val="0"/>
              </w:rPr>
              <w:t xml:space="preserve">0.0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2,</w:t>
            </w:r>
            <w:r>
              <w:rPr>
                <w:b/>
                <w:i w:val="0"/>
              </w:rPr>
              <w:t>4</w:t>
            </w:r>
            <w:r w:rsidRPr="00BF79B9">
              <w:rPr>
                <w:b/>
                <w:i w:val="0"/>
              </w:rPr>
              <w:t xml:space="preserve">50.0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2,600.0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2,750.0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2,900.0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3,050.0 </w:t>
            </w:r>
          </w:p>
        </w:tc>
        <w:tc>
          <w:tcPr>
            <w:tcW w:w="324"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3,200.0 </w:t>
            </w:r>
          </w:p>
        </w:tc>
        <w:tc>
          <w:tcPr>
            <w:tcW w:w="350" w:type="pct"/>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25,</w:t>
            </w:r>
            <w:r>
              <w:rPr>
                <w:b/>
                <w:i w:val="0"/>
              </w:rPr>
              <w:t>45</w:t>
            </w:r>
            <w:r w:rsidRPr="00BF79B9">
              <w:rPr>
                <w:b/>
                <w:i w:val="0"/>
              </w:rPr>
              <w:t xml:space="preserve">0.0 </w:t>
            </w:r>
          </w:p>
        </w:tc>
      </w:tr>
      <w:tr w:rsidR="003D7D88" w:rsidTr="003D7D88">
        <w:trPr>
          <w:cantSplit/>
        </w:trPr>
        <w:tc>
          <w:tcPr>
            <w:cnfStyle w:val="001000000000" w:firstRow="0" w:lastRow="0" w:firstColumn="1" w:lastColumn="0" w:oddVBand="0" w:evenVBand="0" w:oddHBand="0" w:evenHBand="0" w:firstRowFirstColumn="0" w:firstRowLastColumn="0" w:lastRowFirstColumn="0" w:lastRowLastColumn="0"/>
            <w:tcW w:w="760" w:type="pct"/>
          </w:tcPr>
          <w:p w:rsidR="003D7D88" w:rsidRPr="00C50419" w:rsidRDefault="003D7D88" w:rsidP="00676307">
            <w:pPr>
              <w:keepNext/>
              <w:keepLines/>
              <w:spacing w:before="70" w:after="70" w:line="240" w:lineRule="auto"/>
              <w:ind w:left="57" w:right="57"/>
              <w:rPr>
                <w:i/>
              </w:rPr>
            </w:pPr>
            <w:r>
              <w:rPr>
                <w:i/>
              </w:rPr>
              <w:t>Administered</w:t>
            </w:r>
            <w:r w:rsidR="00D6034A">
              <w:rPr>
                <w:i/>
              </w:rPr>
              <w:t xml:space="preserve"> – GST</w:t>
            </w:r>
          </w:p>
        </w:tc>
        <w:tc>
          <w:tcPr>
            <w:tcW w:w="324" w:type="pct"/>
          </w:tcPr>
          <w:p w:rsidR="003D7D88" w:rsidRPr="00090CFE"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 xml:space="preserve"> -   </w:t>
            </w:r>
          </w:p>
        </w:tc>
        <w:tc>
          <w:tcPr>
            <w:tcW w:w="324" w:type="pct"/>
          </w:tcPr>
          <w:p w:rsidR="003D7D88" w:rsidRPr="00090CFE"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1,7</w:t>
            </w:r>
            <w:r>
              <w:t>4</w:t>
            </w:r>
            <w:r w:rsidRPr="00090CFE">
              <w:t xml:space="preserve">0.0 </w:t>
            </w:r>
          </w:p>
        </w:tc>
        <w:tc>
          <w:tcPr>
            <w:tcW w:w="324" w:type="pct"/>
          </w:tcPr>
          <w:p w:rsidR="003D7D88" w:rsidRPr="00090CFE"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2,1</w:t>
            </w:r>
            <w:r>
              <w:t>4</w:t>
            </w:r>
            <w:r w:rsidRPr="00090CFE">
              <w:t xml:space="preserve">0.0 </w:t>
            </w:r>
          </w:p>
        </w:tc>
        <w:tc>
          <w:tcPr>
            <w:tcW w:w="324" w:type="pct"/>
          </w:tcPr>
          <w:p w:rsidR="003D7D88" w:rsidRPr="00090CFE"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2,2</w:t>
            </w:r>
            <w:r>
              <w:t>4</w:t>
            </w:r>
            <w:r w:rsidRPr="00090CFE">
              <w:t xml:space="preserve">0.0 </w:t>
            </w:r>
          </w:p>
        </w:tc>
        <w:tc>
          <w:tcPr>
            <w:tcW w:w="324" w:type="pct"/>
          </w:tcPr>
          <w:p w:rsidR="003D7D88" w:rsidRPr="00090CFE"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090CFE">
              <w:rPr>
                <w:b/>
              </w:rPr>
              <w:t>6,1</w:t>
            </w:r>
            <w:r>
              <w:rPr>
                <w:b/>
              </w:rPr>
              <w:t>2</w:t>
            </w:r>
            <w:r w:rsidRPr="00090CFE">
              <w:rPr>
                <w:b/>
              </w:rPr>
              <w:t xml:space="preserve">0.0 </w:t>
            </w:r>
          </w:p>
        </w:tc>
        <w:tc>
          <w:tcPr>
            <w:tcW w:w="324" w:type="pct"/>
          </w:tcPr>
          <w:p w:rsidR="003D7D88" w:rsidRPr="00090CFE"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2,3</w:t>
            </w:r>
            <w:r>
              <w:t>4</w:t>
            </w:r>
            <w:r w:rsidRPr="00090CFE">
              <w:t xml:space="preserve">0.0 </w:t>
            </w:r>
          </w:p>
        </w:tc>
        <w:tc>
          <w:tcPr>
            <w:tcW w:w="324" w:type="pct"/>
          </w:tcPr>
          <w:p w:rsidR="003D7D88" w:rsidRPr="00090CFE"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2,4</w:t>
            </w:r>
            <w:r>
              <w:t>4</w:t>
            </w:r>
            <w:r w:rsidRPr="00090CFE">
              <w:t xml:space="preserve">0.0 </w:t>
            </w:r>
          </w:p>
        </w:tc>
        <w:tc>
          <w:tcPr>
            <w:tcW w:w="324" w:type="pct"/>
          </w:tcPr>
          <w:p w:rsidR="003D7D88" w:rsidRPr="00090CFE"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2,</w:t>
            </w:r>
            <w:r>
              <w:t>590</w:t>
            </w:r>
            <w:r w:rsidRPr="00090CFE">
              <w:t xml:space="preserve">.0 </w:t>
            </w:r>
          </w:p>
        </w:tc>
        <w:tc>
          <w:tcPr>
            <w:tcW w:w="324" w:type="pct"/>
          </w:tcPr>
          <w:p w:rsidR="003D7D88" w:rsidRPr="00090CFE"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2,7</w:t>
            </w:r>
            <w:r>
              <w:t>4</w:t>
            </w:r>
            <w:r w:rsidRPr="00090CFE">
              <w:t xml:space="preserve">0.0 </w:t>
            </w:r>
          </w:p>
        </w:tc>
        <w:tc>
          <w:tcPr>
            <w:tcW w:w="324" w:type="pct"/>
          </w:tcPr>
          <w:p w:rsidR="003D7D88" w:rsidRPr="00090CFE"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2,</w:t>
            </w:r>
            <w:r>
              <w:t>890</w:t>
            </w:r>
            <w:r w:rsidRPr="00090CFE">
              <w:t xml:space="preserve">.0 </w:t>
            </w:r>
          </w:p>
        </w:tc>
        <w:tc>
          <w:tcPr>
            <w:tcW w:w="324" w:type="pct"/>
          </w:tcPr>
          <w:p w:rsidR="003D7D88" w:rsidRPr="00090CFE"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3,0</w:t>
            </w:r>
            <w:r>
              <w:t>4</w:t>
            </w:r>
            <w:r w:rsidRPr="00090CFE">
              <w:t xml:space="preserve">0.0 </w:t>
            </w:r>
          </w:p>
        </w:tc>
        <w:tc>
          <w:tcPr>
            <w:tcW w:w="324" w:type="pct"/>
          </w:tcPr>
          <w:p w:rsidR="003D7D88" w:rsidRPr="00090CFE"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090CFE">
              <w:t>3,</w:t>
            </w:r>
            <w:r>
              <w:t>190</w:t>
            </w:r>
            <w:r w:rsidRPr="00090CFE">
              <w:t xml:space="preserve">.0 </w:t>
            </w:r>
          </w:p>
        </w:tc>
        <w:tc>
          <w:tcPr>
            <w:tcW w:w="350" w:type="pct"/>
          </w:tcPr>
          <w:p w:rsidR="003D7D88" w:rsidRPr="00090CFE"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090CFE">
              <w:rPr>
                <w:b/>
              </w:rPr>
              <w:t>25,</w:t>
            </w:r>
            <w:r>
              <w:rPr>
                <w:b/>
              </w:rPr>
              <w:t>3</w:t>
            </w:r>
            <w:r w:rsidRPr="00090CFE">
              <w:rPr>
                <w:b/>
              </w:rPr>
              <w:t xml:space="preserve">50.0 </w:t>
            </w:r>
          </w:p>
        </w:tc>
      </w:tr>
      <w:tr w:rsidR="003D7D88" w:rsidTr="003D7D88">
        <w:trPr>
          <w:cantSplit/>
        </w:trPr>
        <w:tc>
          <w:tcPr>
            <w:cnfStyle w:val="001000000000" w:firstRow="0" w:lastRow="0" w:firstColumn="1" w:lastColumn="0" w:oddVBand="0" w:evenVBand="0" w:oddHBand="0" w:evenHBand="0" w:firstRowFirstColumn="0" w:firstRowLastColumn="0" w:lastRowFirstColumn="0" w:lastRowLastColumn="0"/>
            <w:tcW w:w="760" w:type="pct"/>
          </w:tcPr>
          <w:p w:rsidR="003D7D88" w:rsidRPr="00C50419" w:rsidRDefault="003D7D88" w:rsidP="00676307">
            <w:pPr>
              <w:keepNext/>
              <w:keepLines/>
              <w:spacing w:before="70" w:after="70" w:line="240" w:lineRule="auto"/>
              <w:ind w:left="57" w:right="57"/>
              <w:rPr>
                <w:i/>
              </w:rPr>
            </w:pPr>
            <w:r>
              <w:rPr>
                <w:i/>
              </w:rPr>
              <w:t>Departmental</w:t>
            </w:r>
            <w:r w:rsidR="00D6034A">
              <w:rPr>
                <w:i/>
              </w:rPr>
              <w:t xml:space="preserve"> – ATO</w:t>
            </w:r>
          </w:p>
        </w:tc>
        <w:tc>
          <w:tcPr>
            <w:tcW w:w="324" w:type="pct"/>
          </w:tcPr>
          <w:p w:rsidR="003D7D88"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   </w:t>
            </w:r>
          </w:p>
        </w:tc>
        <w:tc>
          <w:tcPr>
            <w:tcW w:w="324" w:type="pct"/>
          </w:tcPr>
          <w:p w:rsidR="003D7D88"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24" w:type="pct"/>
          </w:tcPr>
          <w:p w:rsidR="003D7D88"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24" w:type="pct"/>
          </w:tcPr>
          <w:p w:rsidR="003D7D88"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24" w:type="pct"/>
          </w:tcPr>
          <w:p w:rsidR="003D7D88" w:rsidRPr="00343282"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343282">
              <w:rPr>
                <w:b/>
              </w:rPr>
              <w:t xml:space="preserve"> 30.0 </w:t>
            </w:r>
          </w:p>
        </w:tc>
        <w:tc>
          <w:tcPr>
            <w:tcW w:w="324" w:type="pct"/>
          </w:tcPr>
          <w:p w:rsidR="003D7D88"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24" w:type="pct"/>
          </w:tcPr>
          <w:p w:rsidR="003D7D88"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24" w:type="pct"/>
          </w:tcPr>
          <w:p w:rsidR="003D7D88"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24" w:type="pct"/>
          </w:tcPr>
          <w:p w:rsidR="003D7D88"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24" w:type="pct"/>
          </w:tcPr>
          <w:p w:rsidR="003D7D88"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24" w:type="pct"/>
          </w:tcPr>
          <w:p w:rsidR="003D7D88"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24" w:type="pct"/>
          </w:tcPr>
          <w:p w:rsidR="003D7D88"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CF75D7">
              <w:t xml:space="preserve"> 10.0 </w:t>
            </w:r>
          </w:p>
        </w:tc>
        <w:tc>
          <w:tcPr>
            <w:tcW w:w="350" w:type="pct"/>
          </w:tcPr>
          <w:p w:rsidR="003D7D88" w:rsidRPr="00343282"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343282">
              <w:rPr>
                <w:b/>
              </w:rPr>
              <w:t xml:space="preserve"> 100.0 </w:t>
            </w:r>
          </w:p>
        </w:tc>
      </w:tr>
      <w:tr w:rsidR="003D7D88" w:rsidRPr="00BF79B9" w:rsidTr="003D7D88">
        <w:trPr>
          <w:cantSplit/>
        </w:trPr>
        <w:tc>
          <w:tcPr>
            <w:cnfStyle w:val="001000000000" w:firstRow="0" w:lastRow="0" w:firstColumn="1" w:lastColumn="0" w:oddVBand="0" w:evenVBand="0" w:oddHBand="0" w:evenHBand="0" w:firstRowFirstColumn="0" w:firstRowLastColumn="0" w:lastRowFirstColumn="0" w:lastRowLastColumn="0"/>
            <w:tcW w:w="760" w:type="pct"/>
            <w:shd w:val="clear" w:color="auto" w:fill="E9ECF3"/>
          </w:tcPr>
          <w:p w:rsidR="003D7D88" w:rsidRPr="00BF79B9" w:rsidRDefault="003D7D88" w:rsidP="00676307">
            <w:pPr>
              <w:keepNext/>
              <w:keepLines/>
              <w:spacing w:before="70" w:after="70" w:line="240" w:lineRule="auto"/>
              <w:ind w:left="57" w:right="57"/>
              <w:rPr>
                <w:b/>
              </w:rPr>
            </w:pPr>
            <w:r w:rsidRPr="00BF79B9">
              <w:rPr>
                <w:b/>
              </w:rPr>
              <w:t>Total</w:t>
            </w:r>
          </w:p>
        </w:tc>
        <w:tc>
          <w:tcPr>
            <w:tcW w:w="324" w:type="pct"/>
            <w:shd w:val="clear" w:color="auto" w:fill="E9ECF3"/>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Pr="00BF79B9">
              <w:rPr>
                <w:b/>
                <w:i w:val="0"/>
              </w:rPr>
              <w:t xml:space="preserve"> </w:t>
            </w:r>
          </w:p>
        </w:tc>
        <w:tc>
          <w:tcPr>
            <w:tcW w:w="324" w:type="pct"/>
            <w:shd w:val="clear" w:color="auto" w:fill="E9ECF3"/>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Pr="00BF79B9">
              <w:rPr>
                <w:b/>
                <w:i w:val="0"/>
              </w:rPr>
              <w:t xml:space="preserve"> </w:t>
            </w:r>
          </w:p>
        </w:tc>
        <w:tc>
          <w:tcPr>
            <w:tcW w:w="324" w:type="pct"/>
            <w:shd w:val="clear" w:color="auto" w:fill="E9ECF3"/>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Pr="00BF79B9">
              <w:rPr>
                <w:b/>
                <w:i w:val="0"/>
              </w:rPr>
              <w:t xml:space="preserve"> </w:t>
            </w:r>
          </w:p>
        </w:tc>
        <w:tc>
          <w:tcPr>
            <w:tcW w:w="324" w:type="pct"/>
            <w:shd w:val="clear" w:color="auto" w:fill="E9ECF3"/>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w:t>
            </w:r>
          </w:p>
        </w:tc>
        <w:tc>
          <w:tcPr>
            <w:tcW w:w="324" w:type="pct"/>
            <w:shd w:val="clear" w:color="auto" w:fill="E9ECF3"/>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w:t>
            </w:r>
          </w:p>
        </w:tc>
        <w:tc>
          <w:tcPr>
            <w:tcW w:w="324" w:type="pct"/>
            <w:shd w:val="clear" w:color="auto" w:fill="E9ECF3"/>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w:t>
            </w:r>
          </w:p>
        </w:tc>
        <w:tc>
          <w:tcPr>
            <w:tcW w:w="324" w:type="pct"/>
            <w:shd w:val="clear" w:color="auto" w:fill="E9ECF3"/>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w:t>
            </w:r>
            <w:r>
              <w:rPr>
                <w:b/>
                <w:i w:val="0"/>
              </w:rPr>
              <w:t>-</w:t>
            </w:r>
            <w:r w:rsidRPr="00BF79B9">
              <w:rPr>
                <w:b/>
                <w:i w:val="0"/>
              </w:rPr>
              <w:t xml:space="preserve"> </w:t>
            </w:r>
          </w:p>
        </w:tc>
        <w:tc>
          <w:tcPr>
            <w:tcW w:w="324" w:type="pct"/>
            <w:shd w:val="clear" w:color="auto" w:fill="E9ECF3"/>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4" w:type="pct"/>
            <w:shd w:val="clear" w:color="auto" w:fill="E9ECF3"/>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4" w:type="pct"/>
            <w:shd w:val="clear" w:color="auto" w:fill="E9ECF3"/>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4" w:type="pct"/>
            <w:shd w:val="clear" w:color="auto" w:fill="E9ECF3"/>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24" w:type="pct"/>
            <w:shd w:val="clear" w:color="auto" w:fill="E9ECF3"/>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   </w:t>
            </w:r>
          </w:p>
        </w:tc>
        <w:tc>
          <w:tcPr>
            <w:tcW w:w="350" w:type="pct"/>
            <w:shd w:val="clear" w:color="auto" w:fill="E9ECF3"/>
          </w:tcPr>
          <w:p w:rsidR="003D7D88" w:rsidRPr="00BF79B9" w:rsidRDefault="003D7D88" w:rsidP="00676307">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BF79B9">
              <w:rPr>
                <w:b/>
                <w:i w:val="0"/>
              </w:rPr>
              <w:t xml:space="preserve">- </w:t>
            </w:r>
          </w:p>
        </w:tc>
      </w:tr>
    </w:tbl>
    <w:p w:rsidR="007437F3" w:rsidRDefault="007437F3" w:rsidP="00B90DE7">
      <w:pPr>
        <w:pStyle w:val="Footnotes"/>
        <w:numPr>
          <w:ilvl w:val="0"/>
          <w:numId w:val="19"/>
        </w:numPr>
        <w:ind w:left="284" w:hanging="284"/>
      </w:pPr>
      <w:r>
        <w:t xml:space="preserve">A positive number </w:t>
      </w:r>
      <w:r w:rsidR="00E459A2">
        <w:t xml:space="preserve">for the underlying cash balance </w:t>
      </w:r>
      <w:r>
        <w:t>indicates an increase in re</w:t>
      </w:r>
      <w:r w:rsidR="00090CFE">
        <w:t>ceipts</w:t>
      </w:r>
      <w:r>
        <w:t xml:space="preserve"> or decrease in </w:t>
      </w:r>
      <w:r w:rsidR="00090CFE">
        <w:t>outlays</w:t>
      </w:r>
      <w:r>
        <w:t xml:space="preserve"> or net capital investment in cash terms. A negative number </w:t>
      </w:r>
      <w:r w:rsidR="00E459A2">
        <w:t xml:space="preserve">for the underlying cash balance </w:t>
      </w:r>
      <w:r>
        <w:t>indicates a decrease in re</w:t>
      </w:r>
      <w:r w:rsidR="00090CFE">
        <w:t>ceipts or an increase in outlays</w:t>
      </w:r>
      <w:r>
        <w:t xml:space="preserve"> or net capital investment in cash terms.</w:t>
      </w:r>
    </w:p>
    <w:p w:rsidR="007437F3" w:rsidRDefault="007437F3" w:rsidP="00102999">
      <w:pPr>
        <w:pStyle w:val="Footnotes"/>
        <w:ind w:left="284" w:hanging="284"/>
      </w:pPr>
      <w:r>
        <w:t>Figures may not sum to totals due to rounding.</w:t>
      </w:r>
    </w:p>
    <w:p w:rsidR="00090CFE" w:rsidRDefault="00090CFE" w:rsidP="000F527D">
      <w:pPr>
        <w:pStyle w:val="Footnotes"/>
        <w:numPr>
          <w:ilvl w:val="0"/>
          <w:numId w:val="0"/>
        </w:numPr>
        <w:ind w:left="284" w:hanging="284"/>
      </w:pPr>
      <w:r>
        <w:t>-</w:t>
      </w:r>
      <w:r>
        <w:tab/>
        <w:t>Indicates nil.</w:t>
      </w:r>
    </w:p>
    <w:p w:rsidR="007437F3" w:rsidRPr="00FC6579" w:rsidRDefault="007437F3" w:rsidP="00C50419">
      <w:pPr>
        <w:pStyle w:val="Footnotes"/>
        <w:numPr>
          <w:ilvl w:val="0"/>
          <w:numId w:val="0"/>
        </w:numPr>
      </w:pPr>
    </w:p>
    <w:sectPr w:rsidR="007437F3" w:rsidRPr="00FC6579" w:rsidSect="00CA12A0">
      <w:headerReference w:type="first" r:id="rId16"/>
      <w:footerReference w:type="first" r:id="rId17"/>
      <w:pgSz w:w="16839" w:h="11907" w:orient="landscape" w:code="9"/>
      <w:pgMar w:top="1797" w:right="1361" w:bottom="1797"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4B2" w:rsidRDefault="00AE44B2" w:rsidP="008F588A">
      <w:pPr>
        <w:spacing w:line="240" w:lineRule="auto"/>
      </w:pPr>
      <w:r>
        <w:separator/>
      </w:r>
    </w:p>
    <w:p w:rsidR="00AE44B2" w:rsidRDefault="00AE44B2"/>
  </w:endnote>
  <w:endnote w:type="continuationSeparator" w:id="0">
    <w:p w:rsidR="00AE44B2" w:rsidRDefault="00AE44B2" w:rsidP="008F588A">
      <w:pPr>
        <w:spacing w:line="240" w:lineRule="auto"/>
      </w:pPr>
      <w:r>
        <w:continuationSeparator/>
      </w:r>
    </w:p>
    <w:p w:rsidR="00AE44B2" w:rsidRDefault="00AE4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B2" w:rsidRPr="00C24267" w:rsidRDefault="00AE44B2"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E02372">
      <w:rPr>
        <w:noProof/>
      </w:rPr>
      <w:t>4</w:t>
    </w:r>
    <w:r w:rsidRPr="00C24267">
      <w:fldChar w:fldCharType="end"/>
    </w:r>
    <w:r w:rsidRPr="00C24267">
      <w:t xml:space="preserve"> of </w:t>
    </w:r>
    <w:fldSimple w:instr=" NUMPAGES  \* Arabic  \* MERGEFORMAT ">
      <w:r w:rsidR="00E02372">
        <w:rPr>
          <w:noProof/>
        </w:rPr>
        <w:t>10</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B2" w:rsidRPr="00C24267" w:rsidRDefault="00AE44B2" w:rsidP="00C24267">
    <w:pPr>
      <w:pStyle w:val="Letterfooter"/>
    </w:pPr>
    <w:r w:rsidRPr="00C24267">
      <w:t>Parliamentary Budget Office   PO Box 6010   Parliament House   Canberra ACT 2600</w:t>
    </w:r>
  </w:p>
  <w:p w:rsidR="00AE44B2" w:rsidRPr="00C24267" w:rsidRDefault="00AE44B2"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B2" w:rsidRPr="00C24267" w:rsidRDefault="00AE44B2"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E02372">
      <w:rPr>
        <w:noProof/>
      </w:rPr>
      <w:t>2</w:t>
    </w:r>
    <w:r w:rsidRPr="00C24267">
      <w:fldChar w:fldCharType="end"/>
    </w:r>
    <w:r w:rsidRPr="00C24267">
      <w:t xml:space="preserve"> of </w:t>
    </w:r>
    <w:fldSimple w:instr=" NUMPAGES  \* Arabic  \* MERGEFORMAT ">
      <w:r w:rsidR="00E02372">
        <w:rPr>
          <w:noProof/>
        </w:rPr>
        <w:t>10</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B2" w:rsidRPr="00C24267" w:rsidRDefault="00AE44B2"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E02372">
      <w:rPr>
        <w:noProof/>
      </w:rPr>
      <w:t>6</w:t>
    </w:r>
    <w:r w:rsidRPr="00C24267">
      <w:fldChar w:fldCharType="end"/>
    </w:r>
    <w:r w:rsidRPr="00C24267">
      <w:t xml:space="preserve"> of </w:t>
    </w:r>
    <w:fldSimple w:instr=" NUMPAGES  \* Arabic  \* MERGEFORMAT ">
      <w:r w:rsidR="00E02372">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4B2" w:rsidRDefault="00AE44B2" w:rsidP="008F588A">
      <w:pPr>
        <w:spacing w:line="240" w:lineRule="auto"/>
      </w:pPr>
      <w:r>
        <w:separator/>
      </w:r>
    </w:p>
    <w:p w:rsidR="00AE44B2" w:rsidRDefault="00AE44B2"/>
  </w:footnote>
  <w:footnote w:type="continuationSeparator" w:id="0">
    <w:p w:rsidR="00AE44B2" w:rsidRDefault="00AE44B2" w:rsidP="008F588A">
      <w:pPr>
        <w:spacing w:line="240" w:lineRule="auto"/>
      </w:pPr>
      <w:r>
        <w:continuationSeparator/>
      </w:r>
    </w:p>
    <w:p w:rsidR="00AE44B2" w:rsidRDefault="00AE44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B2" w:rsidRDefault="00AE44B2" w:rsidP="00CB40E1">
    <w:pPr>
      <w:pStyle w:val="Header"/>
    </w:pPr>
    <w:r>
      <w:rPr>
        <w:noProof/>
        <w:lang w:eastAsia="en-AU"/>
      </w:rPr>
      <w:drawing>
        <wp:inline distT="0" distB="0" distL="0" distR="0" wp14:anchorId="5D35A9CC" wp14:editId="6EBFE806">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AE44B2" w:rsidRPr="00DA1C8A" w:rsidRDefault="00AE44B2"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B2" w:rsidRPr="00C17112" w:rsidRDefault="00AE44B2" w:rsidP="00C17112">
    <w:pPr>
      <w:pStyle w:val="Header"/>
    </w:pPr>
    <w:r>
      <w:rPr>
        <w:noProof/>
        <w:lang w:eastAsia="en-AU"/>
      </w:rPr>
      <w:drawing>
        <wp:inline distT="0" distB="0" distL="0" distR="0" wp14:anchorId="6545F068" wp14:editId="4724BEB7">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B2" w:rsidRPr="00D541BC" w:rsidRDefault="00AE44B2" w:rsidP="00D541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3">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5">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6">
    <w:nsid w:val="30E45E35"/>
    <w:multiLevelType w:val="hybridMultilevel"/>
    <w:tmpl w:val="462EC6A8"/>
    <w:lvl w:ilvl="0" w:tplc="4510F3BA">
      <w:start w:val="1"/>
      <w:numFmt w:val="lowerLetter"/>
      <w:pStyle w:val="Footnotes"/>
      <w:lvlText w:val="(%1)"/>
      <w:lvlJc w:val="left"/>
      <w:pPr>
        <w:ind w:left="360" w:hanging="36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7">
    <w:nsid w:val="427075E7"/>
    <w:multiLevelType w:val="hybridMultilevel"/>
    <w:tmpl w:val="679AE5EE"/>
    <w:lvl w:ilvl="0" w:tplc="BB2E672C">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num w:numId="1">
    <w:abstractNumId w:val="2"/>
  </w:num>
  <w:num w:numId="2">
    <w:abstractNumId w:val="5"/>
  </w:num>
  <w:num w:numId="3">
    <w:abstractNumId w:val="3"/>
  </w:num>
  <w:num w:numId="4">
    <w:abstractNumId w:val="4"/>
  </w:num>
  <w:num w:numId="5">
    <w:abstractNumId w:val="8"/>
  </w:num>
  <w:num w:numId="6">
    <w:abstractNumId w:val="6"/>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1"/>
  </w:num>
  <w:num w:numId="12">
    <w:abstractNumId w:val="0"/>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num>
  <w:num w:numId="18">
    <w:abstractNumId w:val="7"/>
  </w:num>
  <w:num w:numId="19">
    <w:abstractNumId w:val="6"/>
    <w:lvlOverride w:ilvl="0">
      <w:startOverride w:val="1"/>
    </w:lvlOverride>
  </w:num>
  <w:num w:numId="20">
    <w:abstractNumId w:val="6"/>
    <w:lvlOverride w:ilvl="0">
      <w:startOverride w:val="1"/>
    </w:lvlOverride>
  </w:num>
  <w:num w:numId="2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num>
  <w:num w:numId="25">
    <w:abstractNumId w:val="6"/>
    <w:lvlOverride w:ilvl="0">
      <w:startOverride w:val="1"/>
    </w:lvlOverride>
  </w:num>
  <w:num w:numId="26">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attachedTemplate r:id="rId1"/>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F9"/>
    <w:rsid w:val="00002D5D"/>
    <w:rsid w:val="000100BA"/>
    <w:rsid w:val="00012E3B"/>
    <w:rsid w:val="00015FB2"/>
    <w:rsid w:val="00022655"/>
    <w:rsid w:val="00032396"/>
    <w:rsid w:val="00040DCE"/>
    <w:rsid w:val="00042A72"/>
    <w:rsid w:val="00060F22"/>
    <w:rsid w:val="00066E51"/>
    <w:rsid w:val="00071D58"/>
    <w:rsid w:val="00090CFE"/>
    <w:rsid w:val="00095E76"/>
    <w:rsid w:val="00096F3A"/>
    <w:rsid w:val="00097C4F"/>
    <w:rsid w:val="000A1A23"/>
    <w:rsid w:val="000C1A75"/>
    <w:rsid w:val="000F48AC"/>
    <w:rsid w:val="000F527D"/>
    <w:rsid w:val="00102999"/>
    <w:rsid w:val="0011549C"/>
    <w:rsid w:val="001278D0"/>
    <w:rsid w:val="0014239B"/>
    <w:rsid w:val="00146E63"/>
    <w:rsid w:val="00172026"/>
    <w:rsid w:val="001A02D1"/>
    <w:rsid w:val="001D1FF0"/>
    <w:rsid w:val="001E494E"/>
    <w:rsid w:val="001E55CA"/>
    <w:rsid w:val="001F6E18"/>
    <w:rsid w:val="00217065"/>
    <w:rsid w:val="00220BE5"/>
    <w:rsid w:val="00240906"/>
    <w:rsid w:val="00241B57"/>
    <w:rsid w:val="002422A3"/>
    <w:rsid w:val="00245350"/>
    <w:rsid w:val="002670CB"/>
    <w:rsid w:val="00283553"/>
    <w:rsid w:val="00296A26"/>
    <w:rsid w:val="002A7EEE"/>
    <w:rsid w:val="002D20A5"/>
    <w:rsid w:val="002E2F16"/>
    <w:rsid w:val="002F4666"/>
    <w:rsid w:val="00315E34"/>
    <w:rsid w:val="00326DE2"/>
    <w:rsid w:val="00343282"/>
    <w:rsid w:val="00372248"/>
    <w:rsid w:val="00375F3A"/>
    <w:rsid w:val="00380C3C"/>
    <w:rsid w:val="00394FB4"/>
    <w:rsid w:val="003A5821"/>
    <w:rsid w:val="003B58CC"/>
    <w:rsid w:val="003C32CF"/>
    <w:rsid w:val="003D7744"/>
    <w:rsid w:val="003D7D88"/>
    <w:rsid w:val="003E4F5F"/>
    <w:rsid w:val="003F73CA"/>
    <w:rsid w:val="00410A2C"/>
    <w:rsid w:val="00440E32"/>
    <w:rsid w:val="00461597"/>
    <w:rsid w:val="004748C2"/>
    <w:rsid w:val="0047528C"/>
    <w:rsid w:val="0048481A"/>
    <w:rsid w:val="00485374"/>
    <w:rsid w:val="00487CC8"/>
    <w:rsid w:val="00487F1B"/>
    <w:rsid w:val="00495479"/>
    <w:rsid w:val="004B7B5F"/>
    <w:rsid w:val="004C283B"/>
    <w:rsid w:val="004D13ED"/>
    <w:rsid w:val="004D5525"/>
    <w:rsid w:val="004D7D49"/>
    <w:rsid w:val="004E3CCF"/>
    <w:rsid w:val="005035DA"/>
    <w:rsid w:val="00507897"/>
    <w:rsid w:val="0051553C"/>
    <w:rsid w:val="00515A85"/>
    <w:rsid w:val="00545F24"/>
    <w:rsid w:val="0055581F"/>
    <w:rsid w:val="00561E1A"/>
    <w:rsid w:val="0056229A"/>
    <w:rsid w:val="005624B3"/>
    <w:rsid w:val="00570154"/>
    <w:rsid w:val="00570B5A"/>
    <w:rsid w:val="00574C46"/>
    <w:rsid w:val="005872E5"/>
    <w:rsid w:val="00587422"/>
    <w:rsid w:val="00587752"/>
    <w:rsid w:val="005878E3"/>
    <w:rsid w:val="005B1A4A"/>
    <w:rsid w:val="005B7B75"/>
    <w:rsid w:val="005C29B4"/>
    <w:rsid w:val="005C6967"/>
    <w:rsid w:val="005E3562"/>
    <w:rsid w:val="005E5AFA"/>
    <w:rsid w:val="005E6163"/>
    <w:rsid w:val="005E6385"/>
    <w:rsid w:val="005F7DE0"/>
    <w:rsid w:val="0060721C"/>
    <w:rsid w:val="00633888"/>
    <w:rsid w:val="00640346"/>
    <w:rsid w:val="00660385"/>
    <w:rsid w:val="00662E65"/>
    <w:rsid w:val="0066665A"/>
    <w:rsid w:val="00676307"/>
    <w:rsid w:val="006875AB"/>
    <w:rsid w:val="00692DD8"/>
    <w:rsid w:val="006A256C"/>
    <w:rsid w:val="006B01C5"/>
    <w:rsid w:val="006B264E"/>
    <w:rsid w:val="006B777A"/>
    <w:rsid w:val="006D6D39"/>
    <w:rsid w:val="006F0CE9"/>
    <w:rsid w:val="007202A8"/>
    <w:rsid w:val="007229A9"/>
    <w:rsid w:val="00725F4C"/>
    <w:rsid w:val="007328DE"/>
    <w:rsid w:val="00740735"/>
    <w:rsid w:val="007437F3"/>
    <w:rsid w:val="00775455"/>
    <w:rsid w:val="007A3BFA"/>
    <w:rsid w:val="007B029A"/>
    <w:rsid w:val="007B51F9"/>
    <w:rsid w:val="007D33AA"/>
    <w:rsid w:val="007D3577"/>
    <w:rsid w:val="007D4465"/>
    <w:rsid w:val="007E5318"/>
    <w:rsid w:val="007E6330"/>
    <w:rsid w:val="007F157F"/>
    <w:rsid w:val="007F767E"/>
    <w:rsid w:val="007F7BCF"/>
    <w:rsid w:val="008030EC"/>
    <w:rsid w:val="00807D7C"/>
    <w:rsid w:val="00811D6D"/>
    <w:rsid w:val="00817E8E"/>
    <w:rsid w:val="0082072B"/>
    <w:rsid w:val="00820801"/>
    <w:rsid w:val="00841C3A"/>
    <w:rsid w:val="00843F66"/>
    <w:rsid w:val="00844776"/>
    <w:rsid w:val="00852FB1"/>
    <w:rsid w:val="0085405A"/>
    <w:rsid w:val="008850D9"/>
    <w:rsid w:val="00890B2B"/>
    <w:rsid w:val="008A4578"/>
    <w:rsid w:val="008B538E"/>
    <w:rsid w:val="008B6684"/>
    <w:rsid w:val="008C03C3"/>
    <w:rsid w:val="008D3909"/>
    <w:rsid w:val="008D6ECA"/>
    <w:rsid w:val="008E0CD0"/>
    <w:rsid w:val="008E0CD7"/>
    <w:rsid w:val="008F0E94"/>
    <w:rsid w:val="008F588A"/>
    <w:rsid w:val="008F6E60"/>
    <w:rsid w:val="00902D2D"/>
    <w:rsid w:val="0090460F"/>
    <w:rsid w:val="00915804"/>
    <w:rsid w:val="00920F1A"/>
    <w:rsid w:val="0093250F"/>
    <w:rsid w:val="00944E74"/>
    <w:rsid w:val="00957285"/>
    <w:rsid w:val="009573AF"/>
    <w:rsid w:val="00977D7B"/>
    <w:rsid w:val="009950F5"/>
    <w:rsid w:val="009963ED"/>
    <w:rsid w:val="009D4063"/>
    <w:rsid w:val="009F3483"/>
    <w:rsid w:val="00A037FC"/>
    <w:rsid w:val="00A05DE7"/>
    <w:rsid w:val="00A0730F"/>
    <w:rsid w:val="00A2509E"/>
    <w:rsid w:val="00A41BD3"/>
    <w:rsid w:val="00A449C2"/>
    <w:rsid w:val="00A5079C"/>
    <w:rsid w:val="00A65EA3"/>
    <w:rsid w:val="00A7322F"/>
    <w:rsid w:val="00AA3D6F"/>
    <w:rsid w:val="00AB201A"/>
    <w:rsid w:val="00AB55AE"/>
    <w:rsid w:val="00AB6F7D"/>
    <w:rsid w:val="00AB7BB4"/>
    <w:rsid w:val="00AC7878"/>
    <w:rsid w:val="00AD493E"/>
    <w:rsid w:val="00AE30B5"/>
    <w:rsid w:val="00AE30CC"/>
    <w:rsid w:val="00AE44B2"/>
    <w:rsid w:val="00AE5755"/>
    <w:rsid w:val="00AE728E"/>
    <w:rsid w:val="00AF688E"/>
    <w:rsid w:val="00B00359"/>
    <w:rsid w:val="00B02C2E"/>
    <w:rsid w:val="00B03363"/>
    <w:rsid w:val="00B06055"/>
    <w:rsid w:val="00B44D8A"/>
    <w:rsid w:val="00B5446C"/>
    <w:rsid w:val="00B73AC8"/>
    <w:rsid w:val="00B747A7"/>
    <w:rsid w:val="00B832E1"/>
    <w:rsid w:val="00B90364"/>
    <w:rsid w:val="00B90DE7"/>
    <w:rsid w:val="00BA2BBF"/>
    <w:rsid w:val="00BA31DA"/>
    <w:rsid w:val="00BC559C"/>
    <w:rsid w:val="00BE6B67"/>
    <w:rsid w:val="00BF40A5"/>
    <w:rsid w:val="00BF4D13"/>
    <w:rsid w:val="00BF79B9"/>
    <w:rsid w:val="00C17112"/>
    <w:rsid w:val="00C24267"/>
    <w:rsid w:val="00C50419"/>
    <w:rsid w:val="00C60FCF"/>
    <w:rsid w:val="00C67F00"/>
    <w:rsid w:val="00C75146"/>
    <w:rsid w:val="00C8434B"/>
    <w:rsid w:val="00CA12A0"/>
    <w:rsid w:val="00CA5D42"/>
    <w:rsid w:val="00CB40E1"/>
    <w:rsid w:val="00CB456D"/>
    <w:rsid w:val="00CE5ABF"/>
    <w:rsid w:val="00CF6DB6"/>
    <w:rsid w:val="00CF7D9A"/>
    <w:rsid w:val="00D134CA"/>
    <w:rsid w:val="00D52D5F"/>
    <w:rsid w:val="00D541BC"/>
    <w:rsid w:val="00D6034A"/>
    <w:rsid w:val="00D8343C"/>
    <w:rsid w:val="00D90443"/>
    <w:rsid w:val="00D949A3"/>
    <w:rsid w:val="00D95647"/>
    <w:rsid w:val="00DA1C8A"/>
    <w:rsid w:val="00DA2B54"/>
    <w:rsid w:val="00DA3963"/>
    <w:rsid w:val="00DA3B55"/>
    <w:rsid w:val="00DB0C07"/>
    <w:rsid w:val="00DB44F0"/>
    <w:rsid w:val="00DB58D7"/>
    <w:rsid w:val="00DB5F9A"/>
    <w:rsid w:val="00DC34D4"/>
    <w:rsid w:val="00DD109E"/>
    <w:rsid w:val="00DD36B9"/>
    <w:rsid w:val="00DD3E18"/>
    <w:rsid w:val="00DD6846"/>
    <w:rsid w:val="00DE0372"/>
    <w:rsid w:val="00E02372"/>
    <w:rsid w:val="00E12103"/>
    <w:rsid w:val="00E15AAE"/>
    <w:rsid w:val="00E21184"/>
    <w:rsid w:val="00E33D4B"/>
    <w:rsid w:val="00E40B8B"/>
    <w:rsid w:val="00E43F95"/>
    <w:rsid w:val="00E459A2"/>
    <w:rsid w:val="00E5742E"/>
    <w:rsid w:val="00EA265F"/>
    <w:rsid w:val="00EA5685"/>
    <w:rsid w:val="00EA6532"/>
    <w:rsid w:val="00EB06D8"/>
    <w:rsid w:val="00EC1813"/>
    <w:rsid w:val="00EC2904"/>
    <w:rsid w:val="00EC5E71"/>
    <w:rsid w:val="00ED32D4"/>
    <w:rsid w:val="00ED43FF"/>
    <w:rsid w:val="00ED6D82"/>
    <w:rsid w:val="00ED72F6"/>
    <w:rsid w:val="00EE6600"/>
    <w:rsid w:val="00EF1D6A"/>
    <w:rsid w:val="00EF2E51"/>
    <w:rsid w:val="00F149FB"/>
    <w:rsid w:val="00F16315"/>
    <w:rsid w:val="00F21865"/>
    <w:rsid w:val="00F30A89"/>
    <w:rsid w:val="00F31E24"/>
    <w:rsid w:val="00F44B71"/>
    <w:rsid w:val="00F4535C"/>
    <w:rsid w:val="00F52474"/>
    <w:rsid w:val="00F53598"/>
    <w:rsid w:val="00F5529D"/>
    <w:rsid w:val="00F5669E"/>
    <w:rsid w:val="00F75D33"/>
    <w:rsid w:val="00F954CF"/>
    <w:rsid w:val="00F97DFF"/>
    <w:rsid w:val="00FC02B0"/>
    <w:rsid w:val="00FC6579"/>
    <w:rsid w:val="00FC6D90"/>
    <w:rsid w:val="00FD1398"/>
    <w:rsid w:val="00FD3FB3"/>
    <w:rsid w:val="00FE1053"/>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rPr>
        <w:rFonts w:ascii="Calibri" w:hAnsi="Calibri"/>
        <w:b w:val="0"/>
        <w:i w:val="0"/>
        <w:sz w:val="20"/>
      </w:rPr>
    </w:tblStylePr>
    <w:tblStylePr w:type="lastCol">
      <w:rPr>
        <w:rFonts w:ascii="Calibri" w:hAnsi="Calibri"/>
        <w:sz w:val="20"/>
      </w:rPr>
    </w:tblStylePr>
    <w:tblStylePr w:type="band1Vert">
      <w:rPr>
        <w:sz w:val="20"/>
      </w:rPr>
    </w:tblStylePr>
    <w:tblStylePr w:type="band2Vert">
      <w:rPr>
        <w:rFonts w:ascii="Calibri" w:hAnsi="Calibri"/>
        <w:sz w:val="20"/>
      </w:r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AB201A"/>
    <w:rPr>
      <w:rFonts w:eastAsia="Times New Roman" w:cs="Times New Roman"/>
      <w:spacing w:val="0"/>
      <w:lang w:eastAsia="en-AU"/>
    </w:rPr>
  </w:style>
  <w:style w:type="paragraph" w:customStyle="1" w:styleId="Bullet2">
    <w:name w:val="Bullet 2"/>
    <w:basedOn w:val="ListBullet2"/>
    <w:link w:val="Bullet2Char"/>
    <w:qFormat/>
    <w:rsid w:val="00AB201A"/>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AB201A"/>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AB201A"/>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23"/>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character" w:styleId="CommentReference">
    <w:name w:val="annotation reference"/>
    <w:basedOn w:val="DefaultParagraphFont"/>
    <w:uiPriority w:val="99"/>
    <w:semiHidden/>
    <w:unhideWhenUsed/>
    <w:rsid w:val="0085405A"/>
    <w:rPr>
      <w:sz w:val="16"/>
      <w:szCs w:val="16"/>
    </w:rPr>
  </w:style>
  <w:style w:type="paragraph" w:styleId="CommentText">
    <w:name w:val="annotation text"/>
    <w:basedOn w:val="Normal"/>
    <w:link w:val="CommentTextChar"/>
    <w:uiPriority w:val="99"/>
    <w:semiHidden/>
    <w:unhideWhenUsed/>
    <w:rsid w:val="0085405A"/>
    <w:pPr>
      <w:spacing w:line="240" w:lineRule="auto"/>
    </w:pPr>
    <w:rPr>
      <w:sz w:val="20"/>
      <w:szCs w:val="20"/>
    </w:rPr>
  </w:style>
  <w:style w:type="character" w:customStyle="1" w:styleId="CommentTextChar">
    <w:name w:val="Comment Text Char"/>
    <w:basedOn w:val="DefaultParagraphFont"/>
    <w:link w:val="CommentText"/>
    <w:uiPriority w:val="99"/>
    <w:semiHidden/>
    <w:rsid w:val="0085405A"/>
    <w:rPr>
      <w:sz w:val="20"/>
      <w:szCs w:val="20"/>
    </w:rPr>
  </w:style>
  <w:style w:type="paragraph" w:styleId="CommentSubject">
    <w:name w:val="annotation subject"/>
    <w:basedOn w:val="CommentText"/>
    <w:next w:val="CommentText"/>
    <w:link w:val="CommentSubjectChar"/>
    <w:uiPriority w:val="99"/>
    <w:semiHidden/>
    <w:unhideWhenUsed/>
    <w:rsid w:val="0085405A"/>
    <w:rPr>
      <w:b/>
      <w:bCs/>
    </w:rPr>
  </w:style>
  <w:style w:type="character" w:customStyle="1" w:styleId="CommentSubjectChar">
    <w:name w:val="Comment Subject Char"/>
    <w:basedOn w:val="CommentTextChar"/>
    <w:link w:val="CommentSubject"/>
    <w:uiPriority w:val="99"/>
    <w:semiHidden/>
    <w:rsid w:val="0085405A"/>
    <w:rPr>
      <w:b/>
      <w:bCs/>
      <w:sz w:val="20"/>
      <w:szCs w:val="20"/>
    </w:rPr>
  </w:style>
  <w:style w:type="character" w:styleId="FollowedHyperlink">
    <w:name w:val="FollowedHyperlink"/>
    <w:basedOn w:val="DefaultParagraphFont"/>
    <w:uiPriority w:val="99"/>
    <w:semiHidden/>
    <w:unhideWhenUsed/>
    <w:rsid w:val="00380C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rPr>
        <w:rFonts w:ascii="Calibri" w:hAnsi="Calibri"/>
        <w:b w:val="0"/>
        <w:i w:val="0"/>
        <w:sz w:val="20"/>
      </w:rPr>
    </w:tblStylePr>
    <w:tblStylePr w:type="lastCol">
      <w:rPr>
        <w:rFonts w:ascii="Calibri" w:hAnsi="Calibri"/>
        <w:sz w:val="20"/>
      </w:rPr>
    </w:tblStylePr>
    <w:tblStylePr w:type="band1Vert">
      <w:rPr>
        <w:sz w:val="20"/>
      </w:rPr>
    </w:tblStylePr>
    <w:tblStylePr w:type="band2Vert">
      <w:rPr>
        <w:rFonts w:ascii="Calibri" w:hAnsi="Calibri"/>
        <w:sz w:val="20"/>
      </w:r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AB201A"/>
    <w:rPr>
      <w:rFonts w:eastAsia="Times New Roman" w:cs="Times New Roman"/>
      <w:spacing w:val="0"/>
      <w:lang w:eastAsia="en-AU"/>
    </w:rPr>
  </w:style>
  <w:style w:type="paragraph" w:customStyle="1" w:styleId="Bullet2">
    <w:name w:val="Bullet 2"/>
    <w:basedOn w:val="ListBullet2"/>
    <w:link w:val="Bullet2Char"/>
    <w:qFormat/>
    <w:rsid w:val="00AB201A"/>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AB201A"/>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AB201A"/>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23"/>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character" w:styleId="CommentReference">
    <w:name w:val="annotation reference"/>
    <w:basedOn w:val="DefaultParagraphFont"/>
    <w:uiPriority w:val="99"/>
    <w:semiHidden/>
    <w:unhideWhenUsed/>
    <w:rsid w:val="0085405A"/>
    <w:rPr>
      <w:sz w:val="16"/>
      <w:szCs w:val="16"/>
    </w:rPr>
  </w:style>
  <w:style w:type="paragraph" w:styleId="CommentText">
    <w:name w:val="annotation text"/>
    <w:basedOn w:val="Normal"/>
    <w:link w:val="CommentTextChar"/>
    <w:uiPriority w:val="99"/>
    <w:semiHidden/>
    <w:unhideWhenUsed/>
    <w:rsid w:val="0085405A"/>
    <w:pPr>
      <w:spacing w:line="240" w:lineRule="auto"/>
    </w:pPr>
    <w:rPr>
      <w:sz w:val="20"/>
      <w:szCs w:val="20"/>
    </w:rPr>
  </w:style>
  <w:style w:type="character" w:customStyle="1" w:styleId="CommentTextChar">
    <w:name w:val="Comment Text Char"/>
    <w:basedOn w:val="DefaultParagraphFont"/>
    <w:link w:val="CommentText"/>
    <w:uiPriority w:val="99"/>
    <w:semiHidden/>
    <w:rsid w:val="0085405A"/>
    <w:rPr>
      <w:sz w:val="20"/>
      <w:szCs w:val="20"/>
    </w:rPr>
  </w:style>
  <w:style w:type="paragraph" w:styleId="CommentSubject">
    <w:name w:val="annotation subject"/>
    <w:basedOn w:val="CommentText"/>
    <w:next w:val="CommentText"/>
    <w:link w:val="CommentSubjectChar"/>
    <w:uiPriority w:val="99"/>
    <w:semiHidden/>
    <w:unhideWhenUsed/>
    <w:rsid w:val="0085405A"/>
    <w:rPr>
      <w:b/>
      <w:bCs/>
    </w:rPr>
  </w:style>
  <w:style w:type="character" w:customStyle="1" w:styleId="CommentSubjectChar">
    <w:name w:val="Comment Subject Char"/>
    <w:basedOn w:val="CommentTextChar"/>
    <w:link w:val="CommentSubject"/>
    <w:uiPriority w:val="99"/>
    <w:semiHidden/>
    <w:rsid w:val="0085405A"/>
    <w:rPr>
      <w:b/>
      <w:bCs/>
      <w:sz w:val="20"/>
      <w:szCs w:val="20"/>
    </w:rPr>
  </w:style>
  <w:style w:type="character" w:styleId="FollowedHyperlink">
    <w:name w:val="FollowedHyperlink"/>
    <w:basedOn w:val="DefaultParagraphFont"/>
    <w:uiPriority w:val="99"/>
    <w:semiHidden/>
    <w:unhideWhenUsed/>
    <w:rsid w:val="00380C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0546">
      <w:bodyDiv w:val="1"/>
      <w:marLeft w:val="0"/>
      <w:marRight w:val="0"/>
      <w:marTop w:val="0"/>
      <w:marBottom w:val="0"/>
      <w:divBdr>
        <w:top w:val="none" w:sz="0" w:space="0" w:color="auto"/>
        <w:left w:val="none" w:sz="0" w:space="0" w:color="auto"/>
        <w:bottom w:val="none" w:sz="0" w:space="0" w:color="auto"/>
        <w:right w:val="none" w:sz="0" w:space="0" w:color="auto"/>
      </w:divBdr>
    </w:div>
    <w:div w:id="82000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eens.org.au/small-busine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E6B2779-3918-49BB-91FA-3D72C71A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693</TotalTime>
  <Pages>10</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PBO - GRN042 - Standing Up for Small Business: Loss Carry-back and GST Threshold - 29 June 2016</vt:lpstr>
    </vt:vector>
  </TitlesOfParts>
  <Company>Parliament of Australia</Company>
  <LinksUpToDate>false</LinksUpToDate>
  <CharactersWithSpaces>13761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GRN042 - Standing Up for Small Business: Loss Carry-back and GST Threshold - 29 June 2016</dc:title>
  <dc:creator>Parliamentary Budget Office </dc:creator>
  <cp:lastModifiedBy>Milligan, Louise (PBO)</cp:lastModifiedBy>
  <cp:revision>133</cp:revision>
  <cp:lastPrinted>2016-06-29T06:48:00Z</cp:lastPrinted>
  <dcterms:created xsi:type="dcterms:W3CDTF">2016-06-24T05:39:00Z</dcterms:created>
  <dcterms:modified xsi:type="dcterms:W3CDTF">2016-06-29T12:06:00Z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