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B36E5D" w:rsidP="00C17112">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 Richard Di Natale</w:t>
      </w:r>
    </w:p>
    <w:p w:rsidR="00040DCE" w:rsidRPr="00002D5D" w:rsidRDefault="00B36E5D"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B36E5D">
        <w:rPr>
          <w:rFonts w:ascii="Times New Roman" w:hAnsi="Times New Roman" w:cs="Times New Roman"/>
          <w:sz w:val="24"/>
          <w:szCs w:val="24"/>
        </w:rPr>
        <w:t>Senator</w:t>
      </w:r>
      <w:r w:rsidRPr="00002D5D">
        <w:rPr>
          <w:rFonts w:ascii="Times New Roman" w:hAnsi="Times New Roman" w:cs="Times New Roman"/>
          <w:sz w:val="24"/>
          <w:szCs w:val="24"/>
        </w:rPr>
        <w:t xml:space="preserve"> </w:t>
      </w:r>
      <w:r w:rsidR="00B36E5D">
        <w:rPr>
          <w:rFonts w:ascii="Times New Roman" w:hAnsi="Times New Roman" w:cs="Times New Roman"/>
          <w:sz w:val="24"/>
          <w:szCs w:val="24"/>
        </w:rPr>
        <w:t>Di Natale</w:t>
      </w:r>
    </w:p>
    <w:p w:rsidR="00040DCE" w:rsidRPr="00002D5D" w:rsidRDefault="00040DCE" w:rsidP="00C17112">
      <w:pPr>
        <w:pStyle w:val="Lettertext"/>
      </w:pPr>
      <w:r w:rsidRPr="00002D5D">
        <w:t>Please find attached a r</w:t>
      </w:r>
      <w:r w:rsidR="00BB74BA">
        <w:t>esponse to your costing request</w:t>
      </w:r>
      <w:r w:rsidRPr="00002D5D">
        <w:t xml:space="preserve">, </w:t>
      </w:r>
      <w:r w:rsidR="00FB6794" w:rsidRPr="00D03151">
        <w:rPr>
          <w:i/>
        </w:rPr>
        <w:t>Child Abuse Redress Scheme</w:t>
      </w:r>
      <w:r w:rsidRPr="00002D5D">
        <w:t xml:space="preserve"> (letter of </w:t>
      </w:r>
      <w:r w:rsidR="00BC081A">
        <w:t>28</w:t>
      </w:r>
      <w:r w:rsidR="00727A2F">
        <w:t> </w:t>
      </w:r>
      <w:r w:rsidR="00B36E5D">
        <w:t>June</w:t>
      </w:r>
      <w:r w:rsidR="00727A2F">
        <w:t> </w:t>
      </w:r>
      <w:r w:rsidRPr="00002D5D">
        <w:t>2016).</w:t>
      </w:r>
    </w:p>
    <w:p w:rsidR="00040DCE" w:rsidRPr="00002D5D" w:rsidRDefault="00040DCE" w:rsidP="00C17112">
      <w:pPr>
        <w:pStyle w:val="Lettertext"/>
      </w:pPr>
      <w:r w:rsidRPr="00002D5D">
        <w:t>The response to this request will be released on the PBO website (</w:t>
      </w:r>
      <w:hyperlink r:id="rId8"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Pr="00002D5D">
        <w:t>Brown on (02)</w:t>
      </w:r>
      <w:r w:rsidR="00BB74BA">
        <w:t> </w:t>
      </w:r>
      <w:r w:rsidRPr="00002D5D">
        <w:t>6277</w:t>
      </w:r>
      <w:r w:rsidR="00BB74BA">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713C52" w:rsidP="00713C52">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B36E5D">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9"/>
          <w:headerReference w:type="first" r:id="rId10"/>
          <w:footerReference w:type="first" r:id="rId11"/>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ook w:val="04A0" w:firstRow="1" w:lastRow="0" w:firstColumn="1" w:lastColumn="0" w:noHBand="0" w:noVBand="1"/>
      </w:tblPr>
      <w:tblGrid>
        <w:gridCol w:w="2840"/>
        <w:gridCol w:w="5500"/>
      </w:tblGrid>
      <w:tr w:rsidR="004D5525" w:rsidTr="006A5B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40" w:type="dxa"/>
          </w:tcPr>
          <w:p w:rsidR="004D5525" w:rsidRDefault="004D5525" w:rsidP="004D5525">
            <w:pPr>
              <w:pStyle w:val="BodyText"/>
            </w:pPr>
            <w:r>
              <w:t>Name of proposal:</w:t>
            </w:r>
          </w:p>
        </w:tc>
        <w:tc>
          <w:tcPr>
            <w:tcW w:w="5500" w:type="dxa"/>
          </w:tcPr>
          <w:p w:rsidR="004D5525" w:rsidRDefault="00FB6794" w:rsidP="00BC081A">
            <w:pPr>
              <w:pStyle w:val="BodyText"/>
              <w:cnfStyle w:val="100000000000" w:firstRow="1" w:lastRow="0" w:firstColumn="0" w:lastColumn="0" w:oddVBand="0" w:evenVBand="0" w:oddHBand="0" w:evenHBand="0" w:firstRowFirstColumn="0" w:firstRowLastColumn="0" w:lastRowFirstColumn="0" w:lastRowLastColumn="0"/>
            </w:pPr>
            <w:r>
              <w:t>Child Abuse Redress Scheme</w:t>
            </w:r>
          </w:p>
        </w:tc>
      </w:tr>
      <w:tr w:rsidR="004D5525" w:rsidTr="006A5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4D5525" w:rsidRDefault="004D5525" w:rsidP="004D5525">
            <w:pPr>
              <w:pStyle w:val="BodyText"/>
            </w:pPr>
            <w:r>
              <w:t>Summary of proposal:</w:t>
            </w:r>
          </w:p>
        </w:tc>
        <w:tc>
          <w:tcPr>
            <w:tcW w:w="5500" w:type="dxa"/>
          </w:tcPr>
          <w:p w:rsidR="00FB6794" w:rsidRPr="009D6969" w:rsidRDefault="00FB6794" w:rsidP="00FB6794">
            <w:pPr>
              <w:spacing w:before="120" w:after="120"/>
              <w:cnfStyle w:val="000000100000" w:firstRow="0" w:lastRow="0" w:firstColumn="0" w:lastColumn="0" w:oddVBand="0" w:evenVBand="0" w:oddHBand="1" w:evenHBand="0" w:firstRowFirstColumn="0" w:firstRowLastColumn="0" w:lastRowFirstColumn="0" w:lastRowLastColumn="0"/>
            </w:pPr>
            <w:r w:rsidRPr="009D6969">
              <w:t xml:space="preserve">The proposal would establish </w:t>
            </w:r>
            <w:r w:rsidR="006A5BA6">
              <w:t>a</w:t>
            </w:r>
            <w:r w:rsidRPr="009D6969">
              <w:t xml:space="preserve"> National </w:t>
            </w:r>
            <w:r>
              <w:t>R</w:t>
            </w:r>
            <w:r w:rsidRPr="009D6969">
              <w:t xml:space="preserve">edress </w:t>
            </w:r>
            <w:r>
              <w:t>S</w:t>
            </w:r>
            <w:r w:rsidRPr="009D6969">
              <w:t xml:space="preserve">cheme (the </w:t>
            </w:r>
            <w:r>
              <w:t>s</w:t>
            </w:r>
            <w:r w:rsidRPr="009D6969">
              <w:t>cheme)</w:t>
            </w:r>
            <w:r>
              <w:t xml:space="preserve"> to</w:t>
            </w:r>
            <w:r w:rsidRPr="009D6969">
              <w:t xml:space="preserve"> administer monetary payments</w:t>
            </w:r>
            <w:r w:rsidR="006A5BA6">
              <w:t xml:space="preserve"> and </w:t>
            </w:r>
            <w:r>
              <w:t>provide funding for counselling and psychological care services</w:t>
            </w:r>
            <w:r w:rsidRPr="009D6969">
              <w:t xml:space="preserve"> as recommended in the </w:t>
            </w:r>
            <w:r w:rsidRPr="009D6969">
              <w:rPr>
                <w:i/>
              </w:rPr>
              <w:t>Redress and civil litigation report</w:t>
            </w:r>
            <w:r w:rsidRPr="009D6969">
              <w:t xml:space="preserve"> of the Royal Commission into Institutional Responses to Child Sexual Abuse.  </w:t>
            </w:r>
            <w:r w:rsidR="006A5BA6">
              <w:t xml:space="preserve">State and territory governments and relevant institutions </w:t>
            </w:r>
            <w:r w:rsidR="00E25D77">
              <w:t>are expected to</w:t>
            </w:r>
            <w:r w:rsidR="006A5BA6">
              <w:t xml:space="preserve"> provide</w:t>
            </w:r>
            <w:r w:rsidR="00E25D77">
              <w:t xml:space="preserve"> part of the required</w:t>
            </w:r>
            <w:r w:rsidR="006A5BA6">
              <w:t xml:space="preserve"> funding.</w:t>
            </w:r>
            <w:r w:rsidR="006A5BA6" w:rsidRPr="009D6969">
              <w:t xml:space="preserve"> </w:t>
            </w:r>
            <w:r w:rsidR="006A5BA6">
              <w:t xml:space="preserve"> </w:t>
            </w:r>
            <w:r w:rsidR="00CD0A0B" w:rsidRPr="009D6969">
              <w:t xml:space="preserve">The Commonwealth </w:t>
            </w:r>
            <w:r w:rsidR="00CD0A0B">
              <w:t xml:space="preserve">would provide 50 </w:t>
            </w:r>
            <w:r w:rsidR="00CD0A0B" w:rsidRPr="009D6969">
              <w:t>per cent of the funding for funding of last resort</w:t>
            </w:r>
            <w:r w:rsidR="00CD0A0B">
              <w:t>.</w:t>
            </w:r>
          </w:p>
          <w:p w:rsidR="004D5525" w:rsidRDefault="00FB6794" w:rsidP="006A5BA6">
            <w:pPr>
              <w:pStyle w:val="BodyText"/>
              <w:cnfStyle w:val="000000100000" w:firstRow="0" w:lastRow="0" w:firstColumn="0" w:lastColumn="0" w:oddVBand="0" w:evenVBand="0" w:oddHBand="1" w:evenHBand="0" w:firstRowFirstColumn="0" w:firstRowLastColumn="0" w:lastRowFirstColumn="0" w:lastRowLastColumn="0"/>
            </w:pPr>
            <w:r w:rsidRPr="009D6969">
              <w:t xml:space="preserve">The </w:t>
            </w:r>
            <w:r>
              <w:t>S</w:t>
            </w:r>
            <w:r w:rsidRPr="009D6969">
              <w:t>cheme would be established from</w:t>
            </w:r>
            <w:r w:rsidR="006A5BA6">
              <w:t xml:space="preserve"> </w:t>
            </w:r>
            <w:r w:rsidRPr="00951554">
              <w:t>1</w:t>
            </w:r>
            <w:r w:rsidR="006A5BA6">
              <w:t> </w:t>
            </w:r>
            <w:r w:rsidRPr="00951554">
              <w:t>November</w:t>
            </w:r>
            <w:r w:rsidR="006A5BA6">
              <w:t> </w:t>
            </w:r>
            <w:r w:rsidRPr="009D6969">
              <w:t>2016</w:t>
            </w:r>
            <w:r w:rsidR="006A5BA6">
              <w:t xml:space="preserve">. </w:t>
            </w:r>
            <w:r w:rsidRPr="009D6969">
              <w:t xml:space="preserve"> </w:t>
            </w:r>
            <w:r w:rsidR="006A5BA6" w:rsidRPr="009F6CA8">
              <w:rPr>
                <w:rFonts w:eastAsia="Calibri"/>
                <w:lang w:eastAsia="en-US"/>
              </w:rPr>
              <w:t>Monetary payments</w:t>
            </w:r>
            <w:r w:rsidR="006A5BA6">
              <w:rPr>
                <w:rFonts w:eastAsia="Calibri"/>
                <w:lang w:eastAsia="en-US"/>
              </w:rPr>
              <w:t xml:space="preserve"> and counselling and psychological care</w:t>
            </w:r>
            <w:r w:rsidR="006A5BA6" w:rsidRPr="009F6CA8">
              <w:rPr>
                <w:rFonts w:eastAsia="Calibri"/>
                <w:lang w:eastAsia="en-US"/>
              </w:rPr>
              <w:t xml:space="preserve"> </w:t>
            </w:r>
            <w:r w:rsidR="006A5BA6">
              <w:rPr>
                <w:rFonts w:eastAsia="Calibri"/>
                <w:lang w:eastAsia="en-US"/>
              </w:rPr>
              <w:t>would</w:t>
            </w:r>
            <w:r w:rsidR="006A5BA6" w:rsidRPr="009F6CA8">
              <w:rPr>
                <w:rFonts w:eastAsia="Calibri"/>
                <w:lang w:eastAsia="en-US"/>
              </w:rPr>
              <w:t xml:space="preserve"> be available from 1</w:t>
            </w:r>
            <w:r w:rsidR="006A5BA6">
              <w:rPr>
                <w:rFonts w:eastAsia="Calibri"/>
                <w:lang w:eastAsia="en-US"/>
              </w:rPr>
              <w:t> </w:t>
            </w:r>
            <w:r w:rsidR="006A5BA6" w:rsidRPr="009F6CA8">
              <w:rPr>
                <w:rFonts w:eastAsia="Calibri"/>
                <w:lang w:eastAsia="en-US"/>
              </w:rPr>
              <w:t>July</w:t>
            </w:r>
            <w:r w:rsidR="006A5BA6">
              <w:rPr>
                <w:rFonts w:eastAsia="Calibri"/>
                <w:lang w:eastAsia="en-US"/>
              </w:rPr>
              <w:t> </w:t>
            </w:r>
            <w:r w:rsidR="006A5BA6" w:rsidRPr="009F6CA8">
              <w:rPr>
                <w:rFonts w:eastAsia="Calibri"/>
                <w:lang w:eastAsia="en-US"/>
              </w:rPr>
              <w:t>2018</w:t>
            </w:r>
            <w:r w:rsidRPr="009D6969">
              <w:t>.</w:t>
            </w:r>
          </w:p>
        </w:tc>
      </w:tr>
      <w:tr w:rsidR="004D5525" w:rsidTr="006A5BA6">
        <w:tc>
          <w:tcPr>
            <w:cnfStyle w:val="001000000000" w:firstRow="0" w:lastRow="0" w:firstColumn="1" w:lastColumn="0" w:oddVBand="0" w:evenVBand="0" w:oddHBand="0" w:evenHBand="0" w:firstRowFirstColumn="0" w:firstRowLastColumn="0" w:lastRowFirstColumn="0" w:lastRowLastColumn="0"/>
            <w:tcW w:w="2840" w:type="dxa"/>
          </w:tcPr>
          <w:p w:rsidR="004D5525" w:rsidRDefault="004D5525" w:rsidP="004D5525">
            <w:pPr>
              <w:pStyle w:val="BodyText"/>
            </w:pPr>
            <w:r>
              <w:t>Person/party requesting costing:</w:t>
            </w:r>
          </w:p>
        </w:tc>
        <w:tc>
          <w:tcPr>
            <w:tcW w:w="5500" w:type="dxa"/>
          </w:tcPr>
          <w:p w:rsidR="004D5525" w:rsidRDefault="00E355F6" w:rsidP="004D5525">
            <w:pPr>
              <w:pStyle w:val="BodyText"/>
              <w:cnfStyle w:val="000000000000" w:firstRow="0" w:lastRow="0" w:firstColumn="0" w:lastColumn="0" w:oddVBand="0" w:evenVBand="0" w:oddHBand="0" w:evenHBand="0" w:firstRowFirstColumn="0" w:firstRowLastColumn="0" w:lastRowFirstColumn="0" w:lastRowLastColumn="0"/>
            </w:pPr>
            <w:r w:rsidRPr="00D60F33">
              <w:t>Senator Richard Di Natale, Australian Greens</w:t>
            </w:r>
          </w:p>
        </w:tc>
      </w:tr>
      <w:tr w:rsidR="00BB74BA" w:rsidTr="006A5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BB74BA" w:rsidRDefault="00BB74BA" w:rsidP="003A3050">
            <w:pPr>
              <w:pStyle w:val="BodyText"/>
            </w:pPr>
            <w:r>
              <w:t>Date of public release of policy:</w:t>
            </w:r>
          </w:p>
        </w:tc>
        <w:tc>
          <w:tcPr>
            <w:tcW w:w="5500" w:type="dxa"/>
          </w:tcPr>
          <w:p w:rsidR="00BB74BA" w:rsidRPr="00C17112" w:rsidRDefault="00BC081A" w:rsidP="003A3050">
            <w:pPr>
              <w:pStyle w:val="BodyText"/>
              <w:cnfStyle w:val="000000100000" w:firstRow="0" w:lastRow="0" w:firstColumn="0" w:lastColumn="0" w:oddVBand="0" w:evenVBand="0" w:oddHBand="1" w:evenHBand="0" w:firstRowFirstColumn="0" w:firstRowLastColumn="0" w:lastRowFirstColumn="0" w:lastRowLastColumn="0"/>
            </w:pPr>
            <w:r>
              <w:t>10 May 2016</w:t>
            </w:r>
          </w:p>
        </w:tc>
      </w:tr>
      <w:tr w:rsidR="00BB74BA" w:rsidTr="006A5BA6">
        <w:tc>
          <w:tcPr>
            <w:cnfStyle w:val="001000000000" w:firstRow="0" w:lastRow="0" w:firstColumn="1" w:lastColumn="0" w:oddVBand="0" w:evenVBand="0" w:oddHBand="0" w:evenHBand="0" w:firstRowFirstColumn="0" w:firstRowLastColumn="0" w:lastRowFirstColumn="0" w:lastRowLastColumn="0"/>
            <w:tcW w:w="2840" w:type="dxa"/>
          </w:tcPr>
          <w:p w:rsidR="00BB74BA" w:rsidRDefault="00BB74BA" w:rsidP="003A3050">
            <w:pPr>
              <w:pStyle w:val="BodyText"/>
            </w:pPr>
            <w:r>
              <w:t>Date costing request received:</w:t>
            </w:r>
          </w:p>
        </w:tc>
        <w:tc>
          <w:tcPr>
            <w:tcW w:w="5500" w:type="dxa"/>
          </w:tcPr>
          <w:p w:rsidR="00BB74BA" w:rsidRDefault="00BC081A" w:rsidP="003A3050">
            <w:pPr>
              <w:pStyle w:val="BodyText"/>
              <w:cnfStyle w:val="000000000000" w:firstRow="0" w:lastRow="0" w:firstColumn="0" w:lastColumn="0" w:oddVBand="0" w:evenVBand="0" w:oddHBand="0" w:evenHBand="0" w:firstRowFirstColumn="0" w:firstRowLastColumn="0" w:lastRowFirstColumn="0" w:lastRowLastColumn="0"/>
            </w:pPr>
            <w:r>
              <w:t>28 June 2016</w:t>
            </w:r>
          </w:p>
        </w:tc>
      </w:tr>
      <w:tr w:rsidR="00BB74BA" w:rsidTr="006A5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BB74BA" w:rsidRDefault="00BB74BA" w:rsidP="003A3050">
            <w:pPr>
              <w:pStyle w:val="BodyText"/>
            </w:pPr>
            <w:r>
              <w:t>Date costing completed</w:t>
            </w:r>
            <w:r w:rsidR="005E4F64">
              <w:t>:</w:t>
            </w:r>
          </w:p>
        </w:tc>
        <w:tc>
          <w:tcPr>
            <w:tcW w:w="5500" w:type="dxa"/>
          </w:tcPr>
          <w:p w:rsidR="00BB74BA" w:rsidRPr="00C17112" w:rsidRDefault="00C545B2" w:rsidP="003A3050">
            <w:pPr>
              <w:pStyle w:val="BodyText"/>
              <w:cnfStyle w:val="000000100000" w:firstRow="0" w:lastRow="0" w:firstColumn="0" w:lastColumn="0" w:oddVBand="0" w:evenVBand="0" w:oddHBand="1" w:evenHBand="0" w:firstRowFirstColumn="0" w:firstRowLastColumn="0" w:lastRowFirstColumn="0" w:lastRowLastColumn="0"/>
            </w:pPr>
            <w:r>
              <w:t>29</w:t>
            </w:r>
            <w:r w:rsidR="00E25D77">
              <w:t xml:space="preserve"> June 2016</w:t>
            </w:r>
          </w:p>
        </w:tc>
      </w:tr>
      <w:tr w:rsidR="004D5525" w:rsidTr="006A5BA6">
        <w:tc>
          <w:tcPr>
            <w:cnfStyle w:val="001000000000" w:firstRow="0" w:lastRow="0" w:firstColumn="1" w:lastColumn="0" w:oddVBand="0" w:evenVBand="0" w:oddHBand="0" w:evenHBand="0" w:firstRowFirstColumn="0" w:firstRowLastColumn="0" w:lastRowFirstColumn="0" w:lastRowLastColumn="0"/>
            <w:tcW w:w="2840" w:type="dxa"/>
          </w:tcPr>
          <w:p w:rsidR="004D5525" w:rsidRPr="00220BE5" w:rsidRDefault="004D5525" w:rsidP="004D5525">
            <w:pPr>
              <w:pStyle w:val="BodyText"/>
            </w:pPr>
            <w:r w:rsidRPr="00220BE5">
              <w:t>Expiry date for the costing:</w:t>
            </w:r>
          </w:p>
        </w:tc>
        <w:tc>
          <w:tcPr>
            <w:tcW w:w="5500" w:type="dxa"/>
          </w:tcPr>
          <w:p w:rsidR="004D5525" w:rsidRPr="00220BE5" w:rsidRDefault="00D66021" w:rsidP="00D66021">
            <w:pPr>
              <w:pStyle w:val="BodyText"/>
              <w:cnfStyle w:val="000000000000" w:firstRow="0" w:lastRow="0" w:firstColumn="0" w:lastColumn="0" w:oddVBand="0" w:evenVBand="0" w:oddHBand="0" w:evenHBand="0" w:firstRowFirstColumn="0" w:firstRowLastColumn="0" w:lastRowFirstColumn="0" w:lastRowLastColumn="0"/>
            </w:pPr>
            <w:r>
              <w:t>R</w:t>
            </w:r>
            <w:r w:rsidR="004D5525" w:rsidRPr="00220BE5">
              <w:t xml:space="preserve">elease of </w:t>
            </w:r>
            <w:r w:rsidR="00220BE5">
              <w:t xml:space="preserve">the next economic and fiscal </w:t>
            </w:r>
            <w:r>
              <w:t>outlook report</w:t>
            </w:r>
          </w:p>
        </w:tc>
      </w:tr>
    </w:tbl>
    <w:p w:rsidR="0055581F" w:rsidRPr="00002D5D" w:rsidRDefault="008030EC" w:rsidP="00FC6579">
      <w:pPr>
        <w:pStyle w:val="Heading2"/>
      </w:pPr>
      <w:r w:rsidRPr="00002D5D">
        <w:t>Costing overview</w:t>
      </w:r>
    </w:p>
    <w:p w:rsidR="00FB6794" w:rsidRPr="009D6969" w:rsidRDefault="00FB6794" w:rsidP="00FB6794">
      <w:r w:rsidRPr="009D6969">
        <w:t xml:space="preserve">The </w:t>
      </w:r>
      <w:r>
        <w:t>s</w:t>
      </w:r>
      <w:r w:rsidRPr="009D6969">
        <w:t>cheme is intended to provide monetary payments</w:t>
      </w:r>
      <w:r w:rsidR="00E25D77">
        <w:t xml:space="preserve"> and</w:t>
      </w:r>
      <w:r w:rsidRPr="009D6969">
        <w:t xml:space="preserve"> counselling and support services to victims of institutional child sexual abuse.  The scheme was recommended in the </w:t>
      </w:r>
      <w:r w:rsidRPr="009D6969">
        <w:rPr>
          <w:i/>
        </w:rPr>
        <w:t>Redress and civil litigation report</w:t>
      </w:r>
      <w:r w:rsidRPr="009D6969">
        <w:t xml:space="preserve"> from the Royal Commission into Institutional Responses to Child Sexual Abuse.</w:t>
      </w:r>
    </w:p>
    <w:p w:rsidR="00FB6794" w:rsidRPr="009D6969" w:rsidRDefault="00FB6794" w:rsidP="00FB6794">
      <w:r w:rsidRPr="009D6969">
        <w:t xml:space="preserve">The </w:t>
      </w:r>
      <w:r w:rsidRPr="009D6969">
        <w:rPr>
          <w:i/>
        </w:rPr>
        <w:t>Redress and civil litigation report</w:t>
      </w:r>
      <w:r w:rsidRPr="009D6969">
        <w:t xml:space="preserve"> provided expected aggregate costs associated with providing the monetary payments</w:t>
      </w:r>
      <w:r w:rsidR="00E25D77">
        <w:t xml:space="preserve"> and</w:t>
      </w:r>
      <w:r>
        <w:t xml:space="preserve"> counselling and psychological care</w:t>
      </w:r>
      <w:r w:rsidRPr="009D6969">
        <w:t xml:space="preserve"> to victims </w:t>
      </w:r>
      <w:r w:rsidR="00E25D77">
        <w:t>(</w:t>
      </w:r>
      <w:r w:rsidRPr="009D6969">
        <w:t>where government responsibility has been adjusted to take on the role of funder of last resort</w:t>
      </w:r>
      <w:r w:rsidR="00E25D77">
        <w:t>)</w:t>
      </w:r>
      <w:r w:rsidRPr="009D6969">
        <w:t>.  As funder of last resort</w:t>
      </w:r>
      <w:r w:rsidR="00E25D77">
        <w:t xml:space="preserve"> the</w:t>
      </w:r>
      <w:r w:rsidRPr="009D6969">
        <w:t xml:space="preserve"> </w:t>
      </w:r>
      <w:r w:rsidR="00E25D77">
        <w:t>G</w:t>
      </w:r>
      <w:r w:rsidRPr="009D6969">
        <w:t>overnment</w:t>
      </w:r>
      <w:r w:rsidR="00E25D77">
        <w:t>’s</w:t>
      </w:r>
      <w:r w:rsidRPr="009D6969">
        <w:t xml:space="preserve"> liability </w:t>
      </w:r>
      <w:r w:rsidR="00E25D77">
        <w:t xml:space="preserve">would be </w:t>
      </w:r>
      <w:r w:rsidRPr="009D6969">
        <w:t xml:space="preserve">increased to offset the expected </w:t>
      </w:r>
      <w:r w:rsidRPr="009D6969">
        <w:lastRenderedPageBreak/>
        <w:t xml:space="preserve">shortfall in </w:t>
      </w:r>
      <w:r w:rsidR="00E25D77">
        <w:t xml:space="preserve">institutional </w:t>
      </w:r>
      <w:r w:rsidRPr="009D6969">
        <w:t>funding</w:t>
      </w:r>
      <w:r w:rsidR="00E25D77">
        <w:t xml:space="preserve"> because </w:t>
      </w:r>
      <w:r w:rsidRPr="009D6969">
        <w:t xml:space="preserve">institutions no longer exist or </w:t>
      </w:r>
      <w:r w:rsidR="00E25D77">
        <w:t>have</w:t>
      </w:r>
      <w:r w:rsidRPr="009D6969">
        <w:t xml:space="preserve"> insufficient assets to meet their liability under the scheme</w:t>
      </w:r>
      <w:r>
        <w:t>.</w:t>
      </w:r>
      <w:r w:rsidRPr="009D6969">
        <w:t xml:space="preserve">  </w:t>
      </w:r>
    </w:p>
    <w:p w:rsidR="00FB6794" w:rsidRDefault="00FB6794" w:rsidP="00FB6794">
      <w:r w:rsidRPr="009D6969">
        <w:t xml:space="preserve">This proposal would be expected to decrease the </w:t>
      </w:r>
      <w:r w:rsidR="000032D1">
        <w:t xml:space="preserve">fiscal and underlying cash balances </w:t>
      </w:r>
      <w:r>
        <w:t>by $251.</w:t>
      </w:r>
      <w:r w:rsidR="007E7C03">
        <w:t>2</w:t>
      </w:r>
      <w:r>
        <w:t> million over the 2016-17</w:t>
      </w:r>
      <w:r w:rsidRPr="009D6969">
        <w:t xml:space="preserve"> Budget forward estimates period.</w:t>
      </w:r>
      <w:r>
        <w:t xml:space="preserve"> </w:t>
      </w:r>
      <w:r w:rsidRPr="009D6969">
        <w:t xml:space="preserve"> This reflects an increase in </w:t>
      </w:r>
      <w:r>
        <w:t xml:space="preserve">administered </w:t>
      </w:r>
      <w:r w:rsidR="00D205AD">
        <w:t>expenses</w:t>
      </w:r>
      <w:r>
        <w:t xml:space="preserve"> by $213.7 million and </w:t>
      </w:r>
      <w:r w:rsidR="00E25D77">
        <w:t xml:space="preserve">an increase in </w:t>
      </w:r>
      <w:r>
        <w:t xml:space="preserve">departmental </w:t>
      </w:r>
      <w:r w:rsidR="00D205AD">
        <w:t>expenses</w:t>
      </w:r>
      <w:r w:rsidR="00E25D77">
        <w:t xml:space="preserve"> of </w:t>
      </w:r>
      <w:r>
        <w:t xml:space="preserve"> $37.5 million.</w:t>
      </w:r>
    </w:p>
    <w:p w:rsidR="00FB6794" w:rsidRPr="009869F5" w:rsidRDefault="00FB6794" w:rsidP="00FB6794">
      <w:r>
        <w:t xml:space="preserve">This costing would have </w:t>
      </w:r>
      <w:r w:rsidR="00E25D77">
        <w:t>o</w:t>
      </w:r>
      <w:r>
        <w:t xml:space="preserve">ngoing </w:t>
      </w:r>
      <w:r w:rsidR="00E25D77">
        <w:t>financial implications</w:t>
      </w:r>
      <w:r>
        <w:t xml:space="preserve"> beyond the 2016-17 Budget forward estimates period.  Financial </w:t>
      </w:r>
      <w:r w:rsidR="00BC081A">
        <w:t>implications</w:t>
      </w:r>
      <w:r>
        <w:t xml:space="preserve"> over the period 2016-17 to 2026-27 are at </w:t>
      </w:r>
      <w:r>
        <w:rPr>
          <w:u w:val="single"/>
        </w:rPr>
        <w:t>Attachment A</w:t>
      </w:r>
      <w:r>
        <w:t>.</w:t>
      </w:r>
    </w:p>
    <w:p w:rsidR="008D3909" w:rsidRPr="00002D5D" w:rsidRDefault="00FB6794" w:rsidP="00FB6794">
      <w:pPr>
        <w:rPr>
          <w:highlight w:val="yellow"/>
        </w:rPr>
      </w:pPr>
      <w:r w:rsidRPr="007B6138">
        <w:t>This costing is considered to be of medium reliability</w:t>
      </w:r>
      <w:r>
        <w:t>.  It</w:t>
      </w:r>
      <w:r w:rsidRPr="007B6138">
        <w:t xml:space="preserve"> relie</w:t>
      </w:r>
      <w:r>
        <w:t>s</w:t>
      </w:r>
      <w:r w:rsidRPr="007B6138">
        <w:t xml:space="preserve"> on </w:t>
      </w:r>
      <w:r w:rsidR="00E25D77">
        <w:t xml:space="preserve">estimates of the victim </w:t>
      </w:r>
      <w:r w:rsidRPr="007B6138">
        <w:t>population and take up rates which are subject to some uncertainty.</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r w:rsidRPr="00844776">
        <w:rPr>
          <w:vertAlign w:val="superscript"/>
        </w:rPr>
        <w:t>(a)</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9607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703B2C" w:rsidRDefault="00CA5D42" w:rsidP="0096079C">
            <w:pPr>
              <w:pStyle w:val="TableText"/>
              <w:keepNext/>
              <w:keepLines/>
              <w:spacing w:line="240" w:lineRule="auto"/>
              <w:ind w:left="57" w:right="57"/>
              <w:rPr>
                <w:rFonts w:ascii="Calibri" w:hAnsi="Calibri"/>
                <w:b w:val="0"/>
                <w:szCs w:val="20"/>
              </w:rPr>
            </w:pPr>
            <w:r w:rsidRPr="00703B2C">
              <w:rPr>
                <w:rFonts w:ascii="Calibri" w:hAnsi="Calibri"/>
                <w:b w:val="0"/>
                <w:szCs w:val="20"/>
              </w:rPr>
              <w:t>Impact on</w:t>
            </w:r>
            <w:r w:rsidR="00461597" w:rsidRPr="00703B2C">
              <w:rPr>
                <w:rFonts w:ascii="Calibri" w:hAnsi="Calibri"/>
                <w:b w:val="0"/>
                <w:szCs w:val="20"/>
              </w:rPr>
              <w:t xml:space="preserve"> ($m)</w:t>
            </w:r>
          </w:p>
        </w:tc>
        <w:tc>
          <w:tcPr>
            <w:tcW w:w="682" w:type="pct"/>
            <w:vAlign w:val="center"/>
          </w:tcPr>
          <w:p w:rsidR="00CA5D42" w:rsidRPr="00703B2C" w:rsidRDefault="00CA5D42" w:rsidP="0096079C">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03B2C">
              <w:rPr>
                <w:rFonts w:ascii="Calibri" w:hAnsi="Calibri"/>
                <w:b w:val="0"/>
                <w:sz w:val="20"/>
                <w:szCs w:val="20"/>
              </w:rPr>
              <w:t>2016–17</w:t>
            </w:r>
          </w:p>
        </w:tc>
        <w:tc>
          <w:tcPr>
            <w:tcW w:w="682" w:type="pct"/>
            <w:vAlign w:val="center"/>
          </w:tcPr>
          <w:p w:rsidR="00CA5D42" w:rsidRPr="00703B2C" w:rsidRDefault="00CA5D42" w:rsidP="0096079C">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03B2C">
              <w:rPr>
                <w:rFonts w:ascii="Calibri" w:hAnsi="Calibri"/>
                <w:b w:val="0"/>
                <w:sz w:val="20"/>
                <w:szCs w:val="20"/>
              </w:rPr>
              <w:t>2017–18</w:t>
            </w:r>
          </w:p>
        </w:tc>
        <w:tc>
          <w:tcPr>
            <w:tcW w:w="682" w:type="pct"/>
            <w:vAlign w:val="center"/>
          </w:tcPr>
          <w:p w:rsidR="00CA5D42" w:rsidRPr="00703B2C" w:rsidRDefault="00CA5D42" w:rsidP="0096079C">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03B2C">
              <w:rPr>
                <w:rFonts w:ascii="Calibri" w:hAnsi="Calibri"/>
                <w:b w:val="0"/>
                <w:sz w:val="20"/>
                <w:szCs w:val="20"/>
              </w:rPr>
              <w:t>2018–19</w:t>
            </w:r>
          </w:p>
        </w:tc>
        <w:tc>
          <w:tcPr>
            <w:tcW w:w="682" w:type="pct"/>
            <w:vAlign w:val="center"/>
          </w:tcPr>
          <w:p w:rsidR="00CA5D42" w:rsidRPr="00703B2C" w:rsidRDefault="00CA5D42" w:rsidP="0096079C">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03B2C">
              <w:rPr>
                <w:rFonts w:ascii="Calibri" w:hAnsi="Calibri"/>
                <w:b w:val="0"/>
                <w:sz w:val="20"/>
                <w:szCs w:val="20"/>
              </w:rPr>
              <w:t>2019–20</w:t>
            </w:r>
          </w:p>
        </w:tc>
        <w:tc>
          <w:tcPr>
            <w:tcW w:w="681" w:type="pct"/>
            <w:vAlign w:val="center"/>
          </w:tcPr>
          <w:p w:rsidR="00CA5D42" w:rsidRPr="00B73AC8" w:rsidRDefault="00CA5D42" w:rsidP="0096079C">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73AC8">
              <w:rPr>
                <w:rFonts w:ascii="Calibri" w:hAnsi="Calibri"/>
                <w:sz w:val="20"/>
                <w:szCs w:val="20"/>
              </w:rPr>
              <w:t>Total</w:t>
            </w:r>
          </w:p>
        </w:tc>
      </w:tr>
      <w:tr w:rsidR="007E7C03" w:rsidRPr="00B73AC8" w:rsidTr="00960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7E7C03" w:rsidRPr="00DE1F99" w:rsidRDefault="007E7C03" w:rsidP="0096079C">
            <w:pPr>
              <w:pStyle w:val="TableTextCentred"/>
              <w:keepNext/>
              <w:keepLines/>
              <w:spacing w:line="240" w:lineRule="auto"/>
              <w:ind w:left="57" w:right="57"/>
              <w:jc w:val="left"/>
              <w:rPr>
                <w:rFonts w:ascii="Calibri" w:hAnsi="Calibri"/>
                <w:szCs w:val="20"/>
              </w:rPr>
            </w:pPr>
            <w:r w:rsidRPr="00DE1F99">
              <w:rPr>
                <w:rFonts w:ascii="Calibri" w:hAnsi="Calibri"/>
                <w:szCs w:val="20"/>
              </w:rPr>
              <w:t>Fiscal balance</w:t>
            </w:r>
          </w:p>
        </w:tc>
        <w:tc>
          <w:tcPr>
            <w:tcW w:w="682" w:type="pct"/>
            <w:vAlign w:val="center"/>
          </w:tcPr>
          <w:p w:rsidR="007E7C03" w:rsidRPr="00DE1F99" w:rsidRDefault="007E7C03" w:rsidP="0096079C">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E1F99">
              <w:rPr>
                <w:color w:val="000000"/>
                <w:sz w:val="20"/>
                <w:szCs w:val="20"/>
              </w:rPr>
              <w:t>-7.</w:t>
            </w:r>
            <w:r>
              <w:rPr>
                <w:color w:val="000000"/>
                <w:sz w:val="20"/>
                <w:szCs w:val="20"/>
              </w:rPr>
              <w:t>6</w:t>
            </w:r>
            <w:r w:rsidRPr="00DE1F99">
              <w:rPr>
                <w:color w:val="000000"/>
                <w:sz w:val="20"/>
                <w:szCs w:val="20"/>
              </w:rPr>
              <w:t xml:space="preserve"> </w:t>
            </w:r>
          </w:p>
        </w:tc>
        <w:tc>
          <w:tcPr>
            <w:tcW w:w="682" w:type="pct"/>
            <w:vAlign w:val="center"/>
          </w:tcPr>
          <w:p w:rsidR="007E7C03" w:rsidRPr="00DE1F99" w:rsidRDefault="007E7C03" w:rsidP="0096079C">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E1F99">
              <w:rPr>
                <w:color w:val="000000"/>
                <w:sz w:val="20"/>
                <w:szCs w:val="20"/>
              </w:rPr>
              <w:t xml:space="preserve">-17.2 </w:t>
            </w:r>
          </w:p>
        </w:tc>
        <w:tc>
          <w:tcPr>
            <w:tcW w:w="682" w:type="pct"/>
            <w:vAlign w:val="center"/>
          </w:tcPr>
          <w:p w:rsidR="007E7C03" w:rsidRPr="00DE1F99" w:rsidRDefault="007E7C03" w:rsidP="0096079C">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-84.3</w:t>
            </w:r>
          </w:p>
        </w:tc>
        <w:tc>
          <w:tcPr>
            <w:tcW w:w="682" w:type="pct"/>
            <w:vAlign w:val="center"/>
          </w:tcPr>
          <w:p w:rsidR="007E7C03" w:rsidRPr="00DE1F99" w:rsidRDefault="007E7C03" w:rsidP="0096079C">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E1F99">
              <w:rPr>
                <w:color w:val="000000"/>
                <w:sz w:val="20"/>
                <w:szCs w:val="20"/>
              </w:rPr>
              <w:t xml:space="preserve">-142.0 </w:t>
            </w:r>
          </w:p>
        </w:tc>
        <w:tc>
          <w:tcPr>
            <w:tcW w:w="681" w:type="pct"/>
            <w:vAlign w:val="center"/>
          </w:tcPr>
          <w:p w:rsidR="007E7C03" w:rsidRPr="00703B2C" w:rsidRDefault="007E7C03" w:rsidP="0096079C">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03B2C">
              <w:rPr>
                <w:b/>
                <w:color w:val="000000"/>
                <w:sz w:val="20"/>
                <w:szCs w:val="20"/>
              </w:rPr>
              <w:t>-251.</w:t>
            </w:r>
            <w:r>
              <w:rPr>
                <w:b/>
                <w:color w:val="000000"/>
                <w:sz w:val="20"/>
                <w:szCs w:val="20"/>
              </w:rPr>
              <w:t>2</w:t>
            </w:r>
            <w:r w:rsidRPr="00703B2C">
              <w:rPr>
                <w:b/>
                <w:color w:val="000000"/>
                <w:sz w:val="20"/>
                <w:szCs w:val="20"/>
              </w:rPr>
              <w:t xml:space="preserve"> </w:t>
            </w:r>
          </w:p>
        </w:tc>
      </w:tr>
      <w:tr w:rsidR="00FB6794" w:rsidRPr="00B73AC8" w:rsidTr="0096079C">
        <w:tc>
          <w:tcPr>
            <w:cnfStyle w:val="001000000000" w:firstRow="0" w:lastRow="0" w:firstColumn="1" w:lastColumn="0" w:oddVBand="0" w:evenVBand="0" w:oddHBand="0" w:evenHBand="0" w:firstRowFirstColumn="0" w:firstRowLastColumn="0" w:lastRowFirstColumn="0" w:lastRowLastColumn="0"/>
            <w:tcW w:w="1591" w:type="pct"/>
            <w:vAlign w:val="center"/>
          </w:tcPr>
          <w:p w:rsidR="00FB6794" w:rsidRPr="00DE1F99" w:rsidRDefault="00FB6794" w:rsidP="0096079C">
            <w:pPr>
              <w:pStyle w:val="TableTextCentred"/>
              <w:keepNext/>
              <w:keepLines/>
              <w:spacing w:line="240" w:lineRule="auto"/>
              <w:ind w:left="57" w:right="57"/>
              <w:jc w:val="left"/>
              <w:rPr>
                <w:rFonts w:ascii="Calibri" w:hAnsi="Calibri"/>
                <w:szCs w:val="20"/>
              </w:rPr>
            </w:pPr>
            <w:r w:rsidRPr="00DE1F99">
              <w:rPr>
                <w:rFonts w:ascii="Calibri" w:hAnsi="Calibri"/>
                <w:szCs w:val="20"/>
              </w:rPr>
              <w:t>Underlying cash balance</w:t>
            </w:r>
          </w:p>
        </w:tc>
        <w:tc>
          <w:tcPr>
            <w:tcW w:w="682" w:type="pct"/>
            <w:vAlign w:val="center"/>
          </w:tcPr>
          <w:p w:rsidR="00FB6794" w:rsidRPr="00DE1F99" w:rsidRDefault="00FB6794"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DE1F99">
              <w:rPr>
                <w:color w:val="000000"/>
                <w:sz w:val="20"/>
                <w:szCs w:val="20"/>
              </w:rPr>
              <w:t>-7.</w:t>
            </w:r>
            <w:r w:rsidR="007E7C03">
              <w:rPr>
                <w:color w:val="000000"/>
                <w:sz w:val="20"/>
                <w:szCs w:val="20"/>
              </w:rPr>
              <w:t>6</w:t>
            </w:r>
            <w:r w:rsidRPr="00DE1F99">
              <w:rPr>
                <w:color w:val="000000"/>
                <w:sz w:val="20"/>
                <w:szCs w:val="20"/>
              </w:rPr>
              <w:t xml:space="preserve"> </w:t>
            </w:r>
          </w:p>
        </w:tc>
        <w:tc>
          <w:tcPr>
            <w:tcW w:w="682" w:type="pct"/>
            <w:vAlign w:val="center"/>
          </w:tcPr>
          <w:p w:rsidR="00FB6794" w:rsidRPr="00DE1F99" w:rsidRDefault="00FB6794"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DE1F99">
              <w:rPr>
                <w:color w:val="000000"/>
                <w:sz w:val="20"/>
                <w:szCs w:val="20"/>
              </w:rPr>
              <w:t xml:space="preserve">-17.2 </w:t>
            </w:r>
          </w:p>
        </w:tc>
        <w:tc>
          <w:tcPr>
            <w:tcW w:w="682" w:type="pct"/>
            <w:vAlign w:val="center"/>
          </w:tcPr>
          <w:p w:rsidR="00FB6794" w:rsidRPr="00DE1F99"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-84.3</w:t>
            </w:r>
          </w:p>
        </w:tc>
        <w:tc>
          <w:tcPr>
            <w:tcW w:w="682" w:type="pct"/>
            <w:vAlign w:val="center"/>
          </w:tcPr>
          <w:p w:rsidR="00FB6794" w:rsidRPr="00DE1F99" w:rsidRDefault="00FB6794"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DE1F99">
              <w:rPr>
                <w:color w:val="000000"/>
                <w:sz w:val="20"/>
                <w:szCs w:val="20"/>
              </w:rPr>
              <w:t xml:space="preserve">-142.0 </w:t>
            </w:r>
          </w:p>
        </w:tc>
        <w:tc>
          <w:tcPr>
            <w:tcW w:w="681" w:type="pct"/>
            <w:vAlign w:val="center"/>
          </w:tcPr>
          <w:p w:rsidR="00FB6794" w:rsidRPr="00703B2C" w:rsidRDefault="00FB6794"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03B2C">
              <w:rPr>
                <w:b/>
                <w:color w:val="000000"/>
                <w:sz w:val="20"/>
                <w:szCs w:val="20"/>
              </w:rPr>
              <w:t>-251.</w:t>
            </w:r>
            <w:r w:rsidR="007E7C03">
              <w:rPr>
                <w:b/>
                <w:color w:val="000000"/>
                <w:sz w:val="20"/>
                <w:szCs w:val="20"/>
              </w:rPr>
              <w:t>2</w:t>
            </w:r>
            <w:r w:rsidRPr="00703B2C">
              <w:rPr>
                <w:b/>
                <w:color w:val="000000"/>
                <w:sz w:val="20"/>
                <w:szCs w:val="20"/>
              </w:rPr>
              <w:t xml:space="preserve"> </w:t>
            </w:r>
          </w:p>
        </w:tc>
      </w:tr>
    </w:tbl>
    <w:p w:rsidR="005119CC" w:rsidRDefault="001501C2" w:rsidP="009D4063">
      <w:pPr>
        <w:pStyle w:val="Footnotes"/>
        <w:keepNext/>
        <w:keepLines/>
        <w:numPr>
          <w:ilvl w:val="0"/>
          <w:numId w:val="7"/>
        </w:numPr>
        <w:ind w:left="284" w:hanging="284"/>
      </w:pPr>
      <w:r w:rsidRPr="00FF5D6B">
        <w:t>A positive number indicates an increase in the relevant budget balance, a negative number a decrease</w:t>
      </w:r>
    </w:p>
    <w:p w:rsidR="009D4063" w:rsidRDefault="00E93F74" w:rsidP="009D4063">
      <w:pPr>
        <w:pStyle w:val="Footnotes"/>
        <w:keepNext/>
        <w:keepLines/>
        <w:numPr>
          <w:ilvl w:val="0"/>
          <w:numId w:val="7"/>
        </w:numPr>
        <w:ind w:left="284" w:hanging="284"/>
      </w:pPr>
      <w:r w:rsidRPr="00DB3B7E">
        <w:t>Figures may not sum to totals due to rounding</w:t>
      </w:r>
      <w:r w:rsidR="00FB6794" w:rsidRPr="006A7119">
        <w:rPr>
          <w:rFonts w:ascii="Times New Roman" w:hAnsi="Times New Roman"/>
          <w:sz w:val="18"/>
          <w:szCs w:val="18"/>
        </w:rPr>
        <w:t>.</w:t>
      </w:r>
    </w:p>
    <w:p w:rsidR="008D3909" w:rsidRPr="00FC6579" w:rsidRDefault="005E3562" w:rsidP="00E40B8B">
      <w:pPr>
        <w:pStyle w:val="Heading2"/>
      </w:pPr>
      <w:r w:rsidRPr="00FC6579">
        <w:t>Key assumptions</w:t>
      </w:r>
    </w:p>
    <w:p w:rsidR="00FB6794" w:rsidRDefault="0090223B" w:rsidP="00FB6794">
      <w:r>
        <w:t>D</w:t>
      </w:r>
      <w:r w:rsidR="00FB6794">
        <w:t xml:space="preserve">epartmental </w:t>
      </w:r>
      <w:r w:rsidR="00D205AD">
        <w:t>expenses</w:t>
      </w:r>
      <w:r w:rsidR="00FB6794">
        <w:t xml:space="preserve"> undertaken over the period 1 November 2016 to 1 July 2018, when the operation of the scheme commences, represent start-up costs for the scheme and would be funded by the Commonwealth Government.  Thereafter, the departmental expenses of operating the scheme are funded by liable institutions in accordance with their proposed share of liability.</w:t>
      </w:r>
    </w:p>
    <w:p w:rsidR="005E3562" w:rsidRPr="00FC6579" w:rsidRDefault="005E3562" w:rsidP="00E40B8B">
      <w:pPr>
        <w:pStyle w:val="Heading2"/>
      </w:pPr>
      <w:r w:rsidRPr="00FC6579">
        <w:t>Methodology</w:t>
      </w:r>
    </w:p>
    <w:p w:rsidR="00FB6794" w:rsidRPr="009D6969" w:rsidRDefault="00FB6794" w:rsidP="00FB6794">
      <w:r w:rsidRPr="009D6969">
        <w:t>The profile for uptake of monetary payments</w:t>
      </w:r>
      <w:r w:rsidR="0090223B">
        <w:t xml:space="preserve">, </w:t>
      </w:r>
      <w:r>
        <w:t xml:space="preserve"> counselling and psychological care</w:t>
      </w:r>
      <w:r w:rsidRPr="009D6969">
        <w:t xml:space="preserve"> </w:t>
      </w:r>
      <w:r>
        <w:t>services</w:t>
      </w:r>
      <w:r w:rsidRPr="009D6969">
        <w:t xml:space="preserve"> and the estimate</w:t>
      </w:r>
      <w:r w:rsidR="0090223B">
        <w:t>d</w:t>
      </w:r>
      <w:r w:rsidRPr="009D6969">
        <w:t xml:space="preserve"> aggregate payment</w:t>
      </w:r>
      <w:r>
        <w:t xml:space="preserve"> are</w:t>
      </w:r>
      <w:r w:rsidRPr="009D6969">
        <w:t xml:space="preserve"> based on information provided in the </w:t>
      </w:r>
      <w:r w:rsidRPr="009D6969">
        <w:rPr>
          <w:i/>
        </w:rPr>
        <w:t>Redress and civil litigation report</w:t>
      </w:r>
      <w:r w:rsidRPr="009D6969">
        <w:t xml:space="preserve">. </w:t>
      </w:r>
      <w:r>
        <w:t xml:space="preserve"> D</w:t>
      </w:r>
      <w:r w:rsidRPr="009D6969">
        <w:t xml:space="preserve">epartmental costs </w:t>
      </w:r>
      <w:r>
        <w:t xml:space="preserve">have been apportioned </w:t>
      </w:r>
      <w:r w:rsidRPr="009D6969">
        <w:t xml:space="preserve">across the functions of the scheme based on the </w:t>
      </w:r>
      <w:r>
        <w:t xml:space="preserve">administered </w:t>
      </w:r>
      <w:r w:rsidRPr="009D6969">
        <w:t xml:space="preserve">cost of each service. </w:t>
      </w:r>
    </w:p>
    <w:p w:rsidR="005E3562" w:rsidRPr="00FC6579" w:rsidRDefault="005E3562" w:rsidP="00E40B8B">
      <w:pPr>
        <w:pStyle w:val="Heading2"/>
      </w:pPr>
      <w:r w:rsidRPr="00FC6579">
        <w:t>Data sources</w:t>
      </w:r>
    </w:p>
    <w:p w:rsidR="00CA1D0D" w:rsidRDefault="00FB6794" w:rsidP="00FB6794">
      <w:r w:rsidRPr="009D6969">
        <w:t xml:space="preserve">The </w:t>
      </w:r>
      <w:r>
        <w:t>Parliamentary Budget Office</w:t>
      </w:r>
      <w:r w:rsidRPr="009D6969">
        <w:t xml:space="preserve"> </w:t>
      </w:r>
      <w:r>
        <w:t>utilised</w:t>
      </w:r>
      <w:r w:rsidRPr="009D6969">
        <w:t xml:space="preserve"> data contained in the </w:t>
      </w:r>
      <w:r w:rsidRPr="009D6969">
        <w:rPr>
          <w:i/>
        </w:rPr>
        <w:t>Redress and civil litigation report</w:t>
      </w:r>
      <w:r w:rsidRPr="009D6969">
        <w:t xml:space="preserve"> from the Royal Commission into Institutional Responses to Child Sexual Abuse.</w:t>
      </w:r>
    </w:p>
    <w:p w:rsidR="00CA1D0D" w:rsidRDefault="00CA1D0D" w:rsidP="00FB6794">
      <w:pPr>
        <w:sectPr w:rsidR="00CA1D0D" w:rsidSect="00002D5D">
          <w:headerReference w:type="first" r:id="rId12"/>
          <w:footerReference w:type="first" r:id="rId13"/>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DC2504">
        <w:t xml:space="preserve"> </w:t>
      </w:r>
      <w:r w:rsidR="00FB6794">
        <w:t>Child Abuse Redress Scheme</w:t>
      </w:r>
      <w:r w:rsidR="00440E32">
        <w:t>—financial implications</w:t>
      </w:r>
    </w:p>
    <w:p w:rsidR="00F52474" w:rsidRDefault="00F52474" w:rsidP="00FC6579">
      <w:pPr>
        <w:pStyle w:val="Captionheading"/>
        <w:rPr>
          <w:vertAlign w:val="superscript"/>
        </w:rPr>
      </w:pPr>
      <w:r w:rsidRPr="00FC6579">
        <w:t xml:space="preserve">Table </w:t>
      </w:r>
      <w:r w:rsidR="00FB6794">
        <w:t>A1</w:t>
      </w:r>
      <w:r w:rsidRPr="00FC6579">
        <w:t xml:space="preserve">: </w:t>
      </w:r>
      <w:r w:rsidR="00FB6794">
        <w:t>Financial implications (outturn prices)</w:t>
      </w:r>
      <w:r w:rsidR="00FB6794" w:rsidRPr="00FB6794">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DD0A3F" w:rsidRPr="00B31810" w:rsidTr="0096079C">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DD0A3F" w:rsidRPr="00B31810" w:rsidRDefault="00DD0A3F" w:rsidP="0096079C">
            <w:pPr>
              <w:keepNext/>
              <w:keepLines/>
              <w:spacing w:before="70" w:after="70" w:line="240" w:lineRule="auto"/>
              <w:ind w:left="57" w:right="57"/>
            </w:pPr>
            <w:r w:rsidRPr="00B31810">
              <w:t>($m)</w:t>
            </w:r>
          </w:p>
        </w:tc>
        <w:tc>
          <w:tcPr>
            <w:tcW w:w="326" w:type="pct"/>
            <w:shd w:val="clear" w:color="auto" w:fill="D7DDE9"/>
            <w:vAlign w:val="center"/>
          </w:tcPr>
          <w:p w:rsidR="00DD0A3F" w:rsidRPr="00C24267"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vAlign w:val="center"/>
          </w:tcPr>
          <w:p w:rsidR="00DD0A3F" w:rsidRPr="00C24267"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vAlign w:val="center"/>
          </w:tcPr>
          <w:p w:rsidR="00DD0A3F" w:rsidRPr="00C24267"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vAlign w:val="center"/>
          </w:tcPr>
          <w:p w:rsidR="00DD0A3F" w:rsidRPr="00C24267"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vAlign w:val="center"/>
          </w:tcPr>
          <w:p w:rsidR="00DD0A3F" w:rsidRPr="00AE30B5"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vAlign w:val="center"/>
          </w:tcPr>
          <w:p w:rsidR="00DD0A3F" w:rsidRPr="00C24267"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vAlign w:val="center"/>
          </w:tcPr>
          <w:p w:rsidR="00DD0A3F" w:rsidRPr="00C24267"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vAlign w:val="center"/>
          </w:tcPr>
          <w:p w:rsidR="00DD0A3F" w:rsidRPr="00C24267"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vAlign w:val="center"/>
          </w:tcPr>
          <w:p w:rsidR="00DD0A3F" w:rsidRPr="00C24267"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vAlign w:val="center"/>
          </w:tcPr>
          <w:p w:rsidR="00DD0A3F" w:rsidRPr="00C24267"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vAlign w:val="center"/>
          </w:tcPr>
          <w:p w:rsidR="00DD0A3F" w:rsidRPr="00C24267"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vAlign w:val="center"/>
          </w:tcPr>
          <w:p w:rsidR="00DD0A3F" w:rsidRPr="00C24267"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vAlign w:val="center"/>
          </w:tcPr>
          <w:p w:rsidR="00DD0A3F" w:rsidRPr="00AE30B5" w:rsidRDefault="00DD0A3F" w:rsidP="0096079C">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DD0A3F" w:rsidRPr="00EF1D6A" w:rsidTr="0096079C">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vAlign w:val="center"/>
          </w:tcPr>
          <w:p w:rsidR="00DD0A3F" w:rsidRPr="00AE30B5" w:rsidRDefault="00DD0A3F" w:rsidP="0096079C">
            <w:pPr>
              <w:pStyle w:val="TableHeadingCentred"/>
              <w:spacing w:line="240" w:lineRule="auto"/>
              <w:ind w:left="57" w:right="57"/>
              <w:jc w:val="left"/>
              <w:rPr>
                <w:b/>
              </w:rPr>
            </w:pPr>
            <w:r>
              <w:rPr>
                <w:b/>
              </w:rPr>
              <w:t>Impact on fiscal and underlying cash balances</w:t>
            </w:r>
          </w:p>
        </w:tc>
      </w:tr>
      <w:tr w:rsidR="0096079C" w:rsidTr="0096079C">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6079C" w:rsidRPr="00703B2C" w:rsidRDefault="0096079C" w:rsidP="0096079C">
            <w:pPr>
              <w:spacing w:before="70" w:after="70" w:line="240" w:lineRule="auto"/>
              <w:ind w:left="57" w:right="57"/>
              <w:rPr>
                <w:b/>
                <w:bCs/>
                <w:color w:val="000000"/>
                <w:sz w:val="20"/>
                <w:szCs w:val="20"/>
              </w:rPr>
            </w:pPr>
            <w:r w:rsidRPr="00DE1F99">
              <w:rPr>
                <w:b/>
                <w:bCs/>
                <w:color w:val="000000"/>
                <w:sz w:val="20"/>
                <w:szCs w:val="20"/>
              </w:rPr>
              <w:t xml:space="preserve">Administered </w:t>
            </w:r>
          </w:p>
        </w:tc>
      </w:tr>
      <w:tr w:rsidR="00DD0A3F" w:rsidTr="0096079C">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DD0A3F" w:rsidRPr="00DE1F99" w:rsidRDefault="00DD0A3F" w:rsidP="0096079C">
            <w:pPr>
              <w:spacing w:before="70" w:after="70" w:line="240" w:lineRule="auto"/>
              <w:ind w:left="57" w:right="57"/>
              <w:rPr>
                <w:color w:val="000000"/>
                <w:sz w:val="20"/>
                <w:szCs w:val="20"/>
              </w:rPr>
            </w:pPr>
            <w:r w:rsidRPr="00DE1F99">
              <w:rPr>
                <w:color w:val="000000"/>
                <w:sz w:val="20"/>
                <w:szCs w:val="20"/>
              </w:rPr>
              <w:t>Monetary payments</w:t>
            </w:r>
          </w:p>
        </w:tc>
        <w:tc>
          <w:tcPr>
            <w:tcW w:w="326"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- 71.1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- 123.9 </w:t>
            </w:r>
          </w:p>
        </w:tc>
        <w:tc>
          <w:tcPr>
            <w:tcW w:w="327"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szCs w:val="20"/>
              </w:rPr>
            </w:pPr>
            <w:r w:rsidRPr="00703B2C">
              <w:rPr>
                <w:b/>
                <w:bCs/>
                <w:i/>
                <w:color w:val="000000"/>
                <w:sz w:val="20"/>
                <w:szCs w:val="20"/>
              </w:rPr>
              <w:t xml:space="preserve">- 195.0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- 122.9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- 119.8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- 111.7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- 101.6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- 65.0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- 21.3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- 8.1 </w:t>
            </w:r>
          </w:p>
        </w:tc>
        <w:tc>
          <w:tcPr>
            <w:tcW w:w="326"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03B2C">
              <w:rPr>
                <w:b/>
                <w:bCs/>
                <w:color w:val="000000"/>
                <w:sz w:val="20"/>
                <w:szCs w:val="20"/>
              </w:rPr>
              <w:t xml:space="preserve">- 745.4 </w:t>
            </w:r>
          </w:p>
        </w:tc>
      </w:tr>
      <w:tr w:rsidR="00DD0A3F" w:rsidTr="0096079C">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DD0A3F" w:rsidRPr="00DE1F99" w:rsidRDefault="00DD0A3F" w:rsidP="0096079C">
            <w:pPr>
              <w:spacing w:before="70" w:after="70" w:line="240" w:lineRule="auto"/>
              <w:ind w:left="57" w:right="57"/>
              <w:rPr>
                <w:color w:val="000000"/>
                <w:sz w:val="20"/>
                <w:szCs w:val="20"/>
              </w:rPr>
            </w:pPr>
            <w:r w:rsidRPr="00DE1F99">
              <w:rPr>
                <w:color w:val="000000"/>
                <w:sz w:val="20"/>
                <w:szCs w:val="20"/>
              </w:rPr>
              <w:t>Counselling services</w:t>
            </w:r>
          </w:p>
        </w:tc>
        <w:tc>
          <w:tcPr>
            <w:tcW w:w="326"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- 6.8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- 11.9 </w:t>
            </w:r>
          </w:p>
        </w:tc>
        <w:tc>
          <w:tcPr>
            <w:tcW w:w="327"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szCs w:val="20"/>
              </w:rPr>
            </w:pPr>
            <w:r w:rsidRPr="00703B2C">
              <w:rPr>
                <w:b/>
                <w:bCs/>
                <w:i/>
                <w:color w:val="000000"/>
                <w:sz w:val="20"/>
                <w:szCs w:val="20"/>
              </w:rPr>
              <w:t xml:space="preserve">- 18.7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- 11.8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- 11.5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- 10.7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- 9.7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- 6.2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- 2.0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- 0.8 </w:t>
            </w:r>
          </w:p>
        </w:tc>
        <w:tc>
          <w:tcPr>
            <w:tcW w:w="326"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03B2C">
              <w:rPr>
                <w:b/>
                <w:bCs/>
                <w:color w:val="000000"/>
                <w:sz w:val="20"/>
                <w:szCs w:val="20"/>
              </w:rPr>
              <w:t xml:space="preserve">- 71.4 </w:t>
            </w:r>
          </w:p>
        </w:tc>
      </w:tr>
      <w:tr w:rsidR="00DD0A3F" w:rsidTr="0096079C">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vAlign w:val="center"/>
          </w:tcPr>
          <w:p w:rsidR="00DD0A3F" w:rsidRPr="00DE1F99" w:rsidRDefault="00DD0A3F" w:rsidP="0096079C">
            <w:pPr>
              <w:spacing w:before="70" w:after="70" w:line="240" w:lineRule="auto"/>
              <w:ind w:left="57" w:right="57"/>
              <w:rPr>
                <w:b/>
                <w:bCs/>
                <w:color w:val="000000"/>
                <w:sz w:val="20"/>
                <w:szCs w:val="20"/>
              </w:rPr>
            </w:pPr>
            <w:r w:rsidRPr="00DE1F99">
              <w:rPr>
                <w:b/>
                <w:bCs/>
                <w:color w:val="000000"/>
                <w:sz w:val="20"/>
                <w:szCs w:val="20"/>
              </w:rPr>
              <w:t xml:space="preserve">Total - </w:t>
            </w:r>
            <w:r w:rsidR="00A47441">
              <w:rPr>
                <w:b/>
                <w:bCs/>
                <w:color w:val="000000"/>
                <w:sz w:val="20"/>
                <w:szCs w:val="20"/>
              </w:rPr>
              <w:t>a</w:t>
            </w:r>
            <w:r w:rsidRPr="00DE1F99">
              <w:rPr>
                <w:b/>
                <w:bCs/>
                <w:color w:val="000000"/>
                <w:sz w:val="20"/>
                <w:szCs w:val="20"/>
              </w:rPr>
              <w:t>dministered</w:t>
            </w:r>
          </w:p>
        </w:tc>
        <w:tc>
          <w:tcPr>
            <w:tcW w:w="326"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- 77.9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- 135.8 </w:t>
            </w:r>
          </w:p>
        </w:tc>
        <w:tc>
          <w:tcPr>
            <w:tcW w:w="327" w:type="pct"/>
            <w:shd w:val="clear" w:color="auto" w:fill="E9ECF3"/>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03B2C">
              <w:rPr>
                <w:b/>
                <w:bCs/>
                <w:color w:val="000000"/>
                <w:sz w:val="20"/>
                <w:szCs w:val="20"/>
              </w:rPr>
              <w:t xml:space="preserve">- 213.7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- 134.7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- 131.3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- 122.4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- 111.3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- 71.2 </w:t>
            </w:r>
          </w:p>
        </w:tc>
        <w:tc>
          <w:tcPr>
            <w:tcW w:w="325" w:type="pct"/>
            <w:shd w:val="clear" w:color="auto" w:fill="E9ECF3"/>
            <w:vAlign w:val="center"/>
          </w:tcPr>
          <w:p w:rsidR="00DD0A3F" w:rsidRPr="00DE1F99"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- 23.3</w:t>
            </w:r>
            <w:r w:rsidR="00DD0A3F" w:rsidRPr="00DE1F99">
              <w:rPr>
                <w:b/>
                <w:bCs/>
                <w:color w:val="000000"/>
                <w:sz w:val="20"/>
                <w:szCs w:val="20"/>
              </w:rPr>
              <w:t xml:space="preserve">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- 8.9 </w:t>
            </w:r>
          </w:p>
        </w:tc>
        <w:tc>
          <w:tcPr>
            <w:tcW w:w="326" w:type="pct"/>
            <w:shd w:val="clear" w:color="auto" w:fill="E9ECF3"/>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03B2C">
              <w:rPr>
                <w:b/>
                <w:bCs/>
                <w:color w:val="000000"/>
                <w:sz w:val="20"/>
                <w:szCs w:val="20"/>
              </w:rPr>
              <w:t xml:space="preserve">- 816.8 </w:t>
            </w:r>
          </w:p>
        </w:tc>
      </w:tr>
      <w:tr w:rsidR="0096079C" w:rsidTr="0096079C">
        <w:trPr>
          <w:cantSplit/>
        </w:trPr>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rsidR="0096079C" w:rsidRPr="00703B2C" w:rsidRDefault="0096079C" w:rsidP="0096079C">
            <w:pPr>
              <w:spacing w:before="70" w:after="70" w:line="240" w:lineRule="auto"/>
              <w:ind w:left="57" w:right="57"/>
              <w:rPr>
                <w:b/>
                <w:bCs/>
                <w:color w:val="000000"/>
                <w:sz w:val="20"/>
                <w:szCs w:val="20"/>
              </w:rPr>
            </w:pPr>
            <w:r>
              <w:rPr>
                <w:b/>
                <w:bCs/>
                <w:color w:val="000000"/>
                <w:sz w:val="20"/>
                <w:szCs w:val="20"/>
              </w:rPr>
              <w:t>Departmental</w:t>
            </w:r>
          </w:p>
        </w:tc>
      </w:tr>
      <w:tr w:rsidR="00DD0A3F" w:rsidTr="0096079C">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DD0A3F" w:rsidRPr="00DE1F99" w:rsidRDefault="00DD0A3F" w:rsidP="0096079C">
            <w:pPr>
              <w:spacing w:before="70" w:after="70" w:line="240" w:lineRule="auto"/>
              <w:ind w:left="57" w:right="57"/>
              <w:rPr>
                <w:color w:val="000000"/>
                <w:sz w:val="20"/>
                <w:szCs w:val="20"/>
              </w:rPr>
            </w:pPr>
            <w:r w:rsidRPr="00DE1F99">
              <w:rPr>
                <w:color w:val="000000"/>
                <w:sz w:val="20"/>
                <w:szCs w:val="20"/>
              </w:rPr>
              <w:t>Scheme establishment</w:t>
            </w:r>
          </w:p>
        </w:tc>
        <w:tc>
          <w:tcPr>
            <w:tcW w:w="326"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- 5.2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- 11.7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7"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szCs w:val="20"/>
              </w:rPr>
            </w:pPr>
            <w:r w:rsidRPr="00703B2C">
              <w:rPr>
                <w:b/>
                <w:bCs/>
                <w:i/>
                <w:color w:val="000000"/>
                <w:sz w:val="20"/>
                <w:szCs w:val="20"/>
              </w:rPr>
              <w:t xml:space="preserve">- 17.0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 </w:t>
            </w:r>
          </w:p>
        </w:tc>
        <w:tc>
          <w:tcPr>
            <w:tcW w:w="326"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03B2C">
              <w:rPr>
                <w:b/>
                <w:bCs/>
                <w:color w:val="000000"/>
                <w:sz w:val="20"/>
                <w:szCs w:val="20"/>
              </w:rPr>
              <w:t xml:space="preserve">- 17.0 </w:t>
            </w:r>
          </w:p>
        </w:tc>
      </w:tr>
      <w:tr w:rsidR="00DD0A3F" w:rsidTr="0096079C">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DD0A3F" w:rsidRPr="00DE1F99" w:rsidRDefault="00DD0A3F" w:rsidP="0096079C">
            <w:pPr>
              <w:spacing w:before="70" w:after="70" w:line="240" w:lineRule="auto"/>
              <w:ind w:left="57" w:right="57"/>
              <w:rPr>
                <w:color w:val="000000"/>
                <w:sz w:val="20"/>
                <w:szCs w:val="20"/>
              </w:rPr>
            </w:pPr>
            <w:r w:rsidRPr="00DE1F99">
              <w:rPr>
                <w:color w:val="000000"/>
                <w:sz w:val="20"/>
                <w:szCs w:val="20"/>
              </w:rPr>
              <w:t>Monetary payments</w:t>
            </w:r>
          </w:p>
        </w:tc>
        <w:tc>
          <w:tcPr>
            <w:tcW w:w="326"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- 2.2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- 5.0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- 5.8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- 5.7 </w:t>
            </w:r>
          </w:p>
        </w:tc>
        <w:tc>
          <w:tcPr>
            <w:tcW w:w="327"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szCs w:val="20"/>
              </w:rPr>
            </w:pPr>
            <w:r w:rsidRPr="00703B2C">
              <w:rPr>
                <w:b/>
                <w:bCs/>
                <w:i/>
                <w:color w:val="000000"/>
                <w:sz w:val="20"/>
                <w:szCs w:val="20"/>
              </w:rPr>
              <w:t xml:space="preserve">- 18.7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- 5.4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- 4.9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- 3.6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- 1.7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- 0.6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- 0.4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- 0.4 </w:t>
            </w:r>
          </w:p>
        </w:tc>
        <w:tc>
          <w:tcPr>
            <w:tcW w:w="326"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03B2C">
              <w:rPr>
                <w:b/>
                <w:bCs/>
                <w:color w:val="000000"/>
                <w:sz w:val="20"/>
                <w:szCs w:val="20"/>
              </w:rPr>
              <w:t xml:space="preserve">- 35.7 </w:t>
            </w:r>
          </w:p>
        </w:tc>
      </w:tr>
      <w:tr w:rsidR="00DD0A3F" w:rsidTr="0096079C">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DD0A3F" w:rsidRPr="00DE1F99" w:rsidRDefault="00DD0A3F" w:rsidP="0096079C">
            <w:pPr>
              <w:spacing w:before="70" w:after="70" w:line="240" w:lineRule="auto"/>
              <w:ind w:left="57" w:right="57"/>
              <w:rPr>
                <w:color w:val="000000"/>
                <w:sz w:val="20"/>
                <w:szCs w:val="20"/>
              </w:rPr>
            </w:pPr>
            <w:r w:rsidRPr="00DE1F99">
              <w:rPr>
                <w:color w:val="000000"/>
                <w:sz w:val="20"/>
                <w:szCs w:val="20"/>
              </w:rPr>
              <w:t>Counselling services</w:t>
            </w:r>
          </w:p>
        </w:tc>
        <w:tc>
          <w:tcPr>
            <w:tcW w:w="326"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- 0.2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- 0.5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- 0.6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- 0.5 </w:t>
            </w:r>
          </w:p>
        </w:tc>
        <w:tc>
          <w:tcPr>
            <w:tcW w:w="327"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szCs w:val="20"/>
              </w:rPr>
            </w:pPr>
            <w:r w:rsidRPr="00703B2C">
              <w:rPr>
                <w:b/>
                <w:bCs/>
                <w:i/>
                <w:color w:val="000000"/>
                <w:sz w:val="20"/>
                <w:szCs w:val="20"/>
              </w:rPr>
              <w:t xml:space="preserve">- 1.8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- 0.5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- 0.5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- 0.3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- 0.2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- 0.1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- 0.0 </w:t>
            </w:r>
          </w:p>
        </w:tc>
        <w:tc>
          <w:tcPr>
            <w:tcW w:w="325"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szCs w:val="20"/>
              </w:rPr>
            </w:pPr>
            <w:r w:rsidRPr="00703B2C">
              <w:rPr>
                <w:i/>
                <w:color w:val="000000"/>
                <w:sz w:val="20"/>
                <w:szCs w:val="20"/>
              </w:rPr>
              <w:t xml:space="preserve">- 0.0 </w:t>
            </w:r>
          </w:p>
        </w:tc>
        <w:tc>
          <w:tcPr>
            <w:tcW w:w="326" w:type="pct"/>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03B2C">
              <w:rPr>
                <w:b/>
                <w:bCs/>
                <w:color w:val="000000"/>
                <w:sz w:val="20"/>
                <w:szCs w:val="20"/>
              </w:rPr>
              <w:t xml:space="preserve">- 3.4 </w:t>
            </w:r>
          </w:p>
        </w:tc>
      </w:tr>
      <w:tr w:rsidR="00DD0A3F" w:rsidTr="0096079C">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vAlign w:val="center"/>
          </w:tcPr>
          <w:p w:rsidR="00DD0A3F" w:rsidRPr="00DE1F99" w:rsidRDefault="00A47441" w:rsidP="0096079C">
            <w:pPr>
              <w:spacing w:before="70" w:after="70" w:line="240" w:lineRule="auto"/>
              <w:ind w:left="57" w:right="57"/>
              <w:rPr>
                <w:b/>
                <w:bCs/>
                <w:color w:val="000000"/>
                <w:sz w:val="20"/>
                <w:szCs w:val="20"/>
              </w:rPr>
            </w:pPr>
            <w:r>
              <w:rPr>
                <w:b/>
                <w:bCs/>
                <w:color w:val="000000"/>
                <w:sz w:val="20"/>
                <w:szCs w:val="20"/>
              </w:rPr>
              <w:t>Total - d</w:t>
            </w:r>
            <w:r w:rsidR="00DD0A3F" w:rsidRPr="00DE1F99">
              <w:rPr>
                <w:b/>
                <w:bCs/>
                <w:color w:val="000000"/>
                <w:sz w:val="20"/>
                <w:szCs w:val="20"/>
              </w:rPr>
              <w:t>epartmental</w:t>
            </w:r>
          </w:p>
        </w:tc>
        <w:tc>
          <w:tcPr>
            <w:tcW w:w="326" w:type="pct"/>
            <w:shd w:val="clear" w:color="auto" w:fill="E9ECF3"/>
            <w:vAlign w:val="center"/>
          </w:tcPr>
          <w:p w:rsidR="00DD0A3F" w:rsidRPr="00DE1F99"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- 7.6</w:t>
            </w:r>
            <w:r w:rsidR="00DD0A3F" w:rsidRPr="00DE1F99">
              <w:rPr>
                <w:b/>
                <w:bCs/>
                <w:color w:val="000000"/>
                <w:sz w:val="20"/>
                <w:szCs w:val="20"/>
              </w:rPr>
              <w:t xml:space="preserve">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- 17.2 </w:t>
            </w:r>
          </w:p>
        </w:tc>
        <w:tc>
          <w:tcPr>
            <w:tcW w:w="325" w:type="pct"/>
            <w:shd w:val="clear" w:color="auto" w:fill="E9ECF3"/>
            <w:vAlign w:val="center"/>
          </w:tcPr>
          <w:p w:rsidR="00DD0A3F" w:rsidRPr="00DE1F99"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- 6.4</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- 6.2 </w:t>
            </w:r>
          </w:p>
        </w:tc>
        <w:tc>
          <w:tcPr>
            <w:tcW w:w="327" w:type="pct"/>
            <w:shd w:val="clear" w:color="auto" w:fill="E9ECF3"/>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03B2C">
              <w:rPr>
                <w:b/>
                <w:bCs/>
                <w:color w:val="000000"/>
                <w:sz w:val="20"/>
                <w:szCs w:val="20"/>
              </w:rPr>
              <w:t xml:space="preserve">- 37.5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- 5.9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- 5.4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- 4.0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- 1.8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- 0.6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- 0.4 </w:t>
            </w:r>
          </w:p>
        </w:tc>
        <w:tc>
          <w:tcPr>
            <w:tcW w:w="325" w:type="pct"/>
            <w:shd w:val="clear" w:color="auto" w:fill="E9ECF3"/>
            <w:vAlign w:val="center"/>
          </w:tcPr>
          <w:p w:rsidR="00DD0A3F" w:rsidRPr="00DE1F99"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E1F99">
              <w:rPr>
                <w:b/>
                <w:bCs/>
                <w:color w:val="000000"/>
                <w:sz w:val="20"/>
                <w:szCs w:val="20"/>
              </w:rPr>
              <w:t xml:space="preserve">- 0.4 </w:t>
            </w:r>
          </w:p>
        </w:tc>
        <w:tc>
          <w:tcPr>
            <w:tcW w:w="326" w:type="pct"/>
            <w:shd w:val="clear" w:color="auto" w:fill="E9ECF3"/>
            <w:vAlign w:val="center"/>
          </w:tcPr>
          <w:p w:rsidR="00DD0A3F" w:rsidRPr="00703B2C" w:rsidRDefault="00DD0A3F"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03B2C">
              <w:rPr>
                <w:b/>
                <w:bCs/>
                <w:color w:val="000000"/>
                <w:sz w:val="20"/>
                <w:szCs w:val="20"/>
              </w:rPr>
              <w:t xml:space="preserve">- 56.1 </w:t>
            </w:r>
          </w:p>
        </w:tc>
      </w:tr>
      <w:tr w:rsidR="007E7C03" w:rsidRPr="008D6ECA" w:rsidTr="0096079C">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7E7C03" w:rsidRPr="00DE1F99" w:rsidRDefault="007E7C03" w:rsidP="0096079C">
            <w:pPr>
              <w:spacing w:before="70" w:after="70" w:line="240" w:lineRule="auto"/>
              <w:ind w:left="57" w:right="57"/>
              <w:rPr>
                <w:b/>
                <w:bCs/>
                <w:color w:val="000000"/>
                <w:sz w:val="20"/>
                <w:szCs w:val="20"/>
              </w:rPr>
            </w:pPr>
            <w:r w:rsidRPr="00DE1F99">
              <w:rPr>
                <w:b/>
                <w:bCs/>
                <w:color w:val="000000"/>
                <w:sz w:val="20"/>
                <w:szCs w:val="20"/>
              </w:rPr>
              <w:t>Total</w:t>
            </w:r>
          </w:p>
        </w:tc>
        <w:tc>
          <w:tcPr>
            <w:tcW w:w="326"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-7.6 </w:t>
            </w:r>
          </w:p>
        </w:tc>
        <w:tc>
          <w:tcPr>
            <w:tcW w:w="325"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-17.2 </w:t>
            </w:r>
          </w:p>
        </w:tc>
        <w:tc>
          <w:tcPr>
            <w:tcW w:w="325"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-84.3 </w:t>
            </w:r>
          </w:p>
        </w:tc>
        <w:tc>
          <w:tcPr>
            <w:tcW w:w="325"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-142.0 </w:t>
            </w:r>
          </w:p>
        </w:tc>
        <w:tc>
          <w:tcPr>
            <w:tcW w:w="327"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-251.2 </w:t>
            </w:r>
          </w:p>
        </w:tc>
        <w:tc>
          <w:tcPr>
            <w:tcW w:w="325"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-140.6 </w:t>
            </w:r>
          </w:p>
        </w:tc>
        <w:tc>
          <w:tcPr>
            <w:tcW w:w="325"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-136.7 </w:t>
            </w:r>
          </w:p>
        </w:tc>
        <w:tc>
          <w:tcPr>
            <w:tcW w:w="325"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-126.3 </w:t>
            </w:r>
          </w:p>
        </w:tc>
        <w:tc>
          <w:tcPr>
            <w:tcW w:w="325"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-113.2 </w:t>
            </w:r>
          </w:p>
        </w:tc>
        <w:tc>
          <w:tcPr>
            <w:tcW w:w="325"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-71.9 </w:t>
            </w:r>
          </w:p>
        </w:tc>
        <w:tc>
          <w:tcPr>
            <w:tcW w:w="325"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-23.7 </w:t>
            </w:r>
          </w:p>
        </w:tc>
        <w:tc>
          <w:tcPr>
            <w:tcW w:w="325"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-9.3 </w:t>
            </w:r>
          </w:p>
        </w:tc>
        <w:tc>
          <w:tcPr>
            <w:tcW w:w="326" w:type="pct"/>
            <w:shd w:val="clear" w:color="auto" w:fill="D7DDE9"/>
            <w:vAlign w:val="center"/>
          </w:tcPr>
          <w:p w:rsidR="007E7C03" w:rsidRPr="007E7C03" w:rsidRDefault="007E7C03" w:rsidP="0096079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E7C03">
              <w:rPr>
                <w:b/>
                <w:bCs/>
                <w:color w:val="000000"/>
                <w:sz w:val="20"/>
                <w:szCs w:val="20"/>
              </w:rPr>
              <w:t xml:space="preserve">-872.9 </w:t>
            </w:r>
          </w:p>
        </w:tc>
      </w:tr>
    </w:tbl>
    <w:p w:rsidR="00DD0A3F" w:rsidRPr="00DB3B7E" w:rsidRDefault="00DD0A3F" w:rsidP="009275C3">
      <w:pPr>
        <w:pStyle w:val="Footnotes"/>
        <w:numPr>
          <w:ilvl w:val="0"/>
          <w:numId w:val="14"/>
        </w:numPr>
        <w:ind w:left="284" w:hanging="284"/>
        <w:rPr>
          <w:rFonts w:ascii="Calibri" w:hAnsi="Calibri"/>
        </w:rPr>
      </w:pPr>
      <w:r w:rsidRPr="00DB3B7E">
        <w:t xml:space="preserve">A positive number indicates an increase in revenue or decrease in expenses or net capital investment in accrual and cash terms. </w:t>
      </w:r>
      <w:r>
        <w:t xml:space="preserve"> </w:t>
      </w:r>
      <w:r w:rsidRPr="00DB3B7E">
        <w:t xml:space="preserve">A negative number indicates a decrease in revenue or an increase in expenses or net capital investment in accrual and cash terms.  </w:t>
      </w:r>
    </w:p>
    <w:p w:rsidR="00DD0A3F" w:rsidRDefault="00DD0A3F" w:rsidP="009275C3">
      <w:pPr>
        <w:pStyle w:val="TableText"/>
        <w:numPr>
          <w:ilvl w:val="0"/>
          <w:numId w:val="14"/>
        </w:numPr>
        <w:ind w:left="284" w:right="0" w:hanging="284"/>
      </w:pPr>
      <w:r w:rsidRPr="00DB3B7E">
        <w:t>Figures may not sum to totals due to rounding.</w:t>
      </w:r>
    </w:p>
    <w:p w:rsidR="00F75FB1" w:rsidRDefault="00F75FB1" w:rsidP="009275C3">
      <w:pPr>
        <w:pStyle w:val="TableText"/>
        <w:numPr>
          <w:ilvl w:val="0"/>
          <w:numId w:val="16"/>
        </w:numPr>
        <w:ind w:left="284" w:right="0" w:hanging="284"/>
      </w:pPr>
      <w:r>
        <w:t>Indicates nil.</w:t>
      </w:r>
    </w:p>
    <w:sectPr w:rsidR="00F75FB1" w:rsidSect="00957285">
      <w:headerReference w:type="first" r:id="rId14"/>
      <w:footerReference w:type="first" r:id="rId15"/>
      <w:pgSz w:w="16838" w:h="11906" w:orient="landscape"/>
      <w:pgMar w:top="1797" w:right="1361" w:bottom="179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24" w:rsidRDefault="003F2724" w:rsidP="008F588A">
      <w:pPr>
        <w:spacing w:line="240" w:lineRule="auto"/>
      </w:pPr>
      <w:r>
        <w:separator/>
      </w:r>
    </w:p>
    <w:p w:rsidR="003F2724" w:rsidRDefault="003F2724"/>
  </w:endnote>
  <w:endnote w:type="continuationSeparator" w:id="0">
    <w:p w:rsidR="003F2724" w:rsidRDefault="003F2724" w:rsidP="008F588A">
      <w:pPr>
        <w:spacing w:line="240" w:lineRule="auto"/>
      </w:pPr>
      <w:r>
        <w:continuationSeparator/>
      </w:r>
    </w:p>
    <w:p w:rsidR="003F2724" w:rsidRDefault="003F2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01B00">
      <w:rPr>
        <w:noProof/>
      </w:rPr>
      <w:t>3</w:t>
    </w:r>
    <w:r w:rsidRPr="00C24267">
      <w:fldChar w:fldCharType="end"/>
    </w:r>
    <w:r w:rsidRPr="00C24267">
      <w:t xml:space="preserve"> of </w:t>
    </w:r>
    <w:r w:rsidR="00C01B00">
      <w:fldChar w:fldCharType="begin"/>
    </w:r>
    <w:r w:rsidR="00C01B00">
      <w:instrText xml:space="preserve"> NUMPAGES  \* Arabic  \* MERGEFORMAT </w:instrText>
    </w:r>
    <w:r w:rsidR="00C01B00">
      <w:fldChar w:fldCharType="separate"/>
    </w:r>
    <w:r w:rsidR="00C01B00">
      <w:rPr>
        <w:noProof/>
      </w:rPr>
      <w:t>4</w:t>
    </w:r>
    <w:r w:rsidR="00C01B0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Letterfooter"/>
    </w:pPr>
    <w:r w:rsidRPr="00C24267">
      <w:t>Parliamentary Budget Office   PO Box 6010   Parliament House   Canberra ACT 2600</w:t>
    </w:r>
  </w:p>
  <w:p w:rsidR="001278D0" w:rsidRPr="00C24267" w:rsidRDefault="001278D0"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01B00">
      <w:rPr>
        <w:noProof/>
      </w:rPr>
      <w:t>2</w:t>
    </w:r>
    <w:r w:rsidRPr="00C24267">
      <w:fldChar w:fldCharType="end"/>
    </w:r>
    <w:r w:rsidRPr="00C24267">
      <w:t xml:space="preserve"> of </w:t>
    </w:r>
    <w:r w:rsidR="00C01B00">
      <w:fldChar w:fldCharType="begin"/>
    </w:r>
    <w:r w:rsidR="00C01B00">
      <w:instrText xml:space="preserve"> NUMPAGES  \* Arabic  \* MERGEFORMAT </w:instrText>
    </w:r>
    <w:r w:rsidR="00C01B00">
      <w:fldChar w:fldCharType="separate"/>
    </w:r>
    <w:r w:rsidR="00C01B00">
      <w:rPr>
        <w:noProof/>
      </w:rPr>
      <w:t>4</w:t>
    </w:r>
    <w:r w:rsidR="00C01B00">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01B00">
      <w:rPr>
        <w:noProof/>
      </w:rPr>
      <w:t>4</w:t>
    </w:r>
    <w:r w:rsidRPr="00C24267">
      <w:fldChar w:fldCharType="end"/>
    </w:r>
    <w:r w:rsidRPr="00C24267">
      <w:t xml:space="preserve"> of </w:t>
    </w:r>
    <w:r w:rsidR="00C01B00">
      <w:fldChar w:fldCharType="begin"/>
    </w:r>
    <w:r w:rsidR="00C01B00">
      <w:instrText xml:space="preserve"> NUMPAGES  \* Arabic  \* MERGEFORMAT </w:instrText>
    </w:r>
    <w:r w:rsidR="00C01B00">
      <w:fldChar w:fldCharType="separate"/>
    </w:r>
    <w:r w:rsidR="00C01B00">
      <w:rPr>
        <w:noProof/>
      </w:rPr>
      <w:t>4</w:t>
    </w:r>
    <w:r w:rsidR="00C01B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24" w:rsidRDefault="003F2724" w:rsidP="008F588A">
      <w:pPr>
        <w:spacing w:line="240" w:lineRule="auto"/>
      </w:pPr>
      <w:r>
        <w:separator/>
      </w:r>
    </w:p>
    <w:p w:rsidR="003F2724" w:rsidRDefault="003F2724"/>
  </w:footnote>
  <w:footnote w:type="continuationSeparator" w:id="0">
    <w:p w:rsidR="003F2724" w:rsidRDefault="003F2724" w:rsidP="008F588A">
      <w:pPr>
        <w:spacing w:line="240" w:lineRule="auto"/>
      </w:pPr>
      <w:r>
        <w:continuationSeparator/>
      </w:r>
    </w:p>
    <w:p w:rsidR="003F2724" w:rsidRDefault="003F27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Default="001278D0"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1278D0" w:rsidRPr="00DA1C8A" w:rsidRDefault="001278D0"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51" w:rsidRPr="00D03151" w:rsidRDefault="00D03151" w:rsidP="00D03151">
    <w:pPr>
      <w:pStyle w:val="Header"/>
      <w:spacing w:before="0" w:after="0"/>
      <w:rPr>
        <w:b/>
        <w:sz w:val="28"/>
        <w:szCs w:val="28"/>
      </w:rPr>
    </w:pPr>
    <w:r>
      <w:rPr>
        <w:noProof/>
        <w:lang w:eastAsia="en-AU"/>
      </w:rPr>
      <w:drawing>
        <wp:inline distT="0" distB="0" distL="0" distR="0" wp14:anchorId="643DAE60" wp14:editId="2D578AFE">
          <wp:extent cx="2696845" cy="5721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591CC1" w:rsidRDefault="001278D0" w:rsidP="00591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2DC285B"/>
    <w:multiLevelType w:val="hybridMultilevel"/>
    <w:tmpl w:val="4CD4F6D4"/>
    <w:lvl w:ilvl="0" w:tplc="218407E6">
      <w:start w:val="2"/>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nsid w:val="74181657"/>
    <w:multiLevelType w:val="hybridMultilevel"/>
    <w:tmpl w:val="CDD4F460"/>
    <w:lvl w:ilvl="0" w:tplc="A048954A">
      <w:start w:val="29"/>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EA63D9"/>
    <w:multiLevelType w:val="hybridMultilevel"/>
    <w:tmpl w:val="92E4AE7E"/>
    <w:lvl w:ilvl="0" w:tplc="CC7AE5C8">
      <w:start w:val="1"/>
      <w:numFmt w:val="lowerLetter"/>
      <w:lvlText w:val="(%1)"/>
      <w:lvlJc w:val="left"/>
      <w:pPr>
        <w:ind w:left="360" w:hanging="360"/>
      </w:pPr>
      <w:rPr>
        <w:rFonts w:asciiTheme="minorHAnsi" w:hAnsiTheme="minorHAnsi" w:hint="default"/>
      </w:r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2"/>
  </w:num>
  <w:num w:numId="2">
    <w:abstractNumId w:val="6"/>
  </w:num>
  <w:num w:numId="3">
    <w:abstractNumId w:val="4"/>
  </w:num>
  <w:num w:numId="4">
    <w:abstractNumId w:val="5"/>
  </w:num>
  <w:num w:numId="5">
    <w:abstractNumId w:val="8"/>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24"/>
    <w:rsid w:val="00002D5D"/>
    <w:rsid w:val="000032D1"/>
    <w:rsid w:val="00040DCE"/>
    <w:rsid w:val="00055639"/>
    <w:rsid w:val="00096F3A"/>
    <w:rsid w:val="000C1A75"/>
    <w:rsid w:val="001278D0"/>
    <w:rsid w:val="0014239B"/>
    <w:rsid w:val="001501C2"/>
    <w:rsid w:val="001752E9"/>
    <w:rsid w:val="001A02D1"/>
    <w:rsid w:val="00220BE5"/>
    <w:rsid w:val="002422A3"/>
    <w:rsid w:val="002876BE"/>
    <w:rsid w:val="002B4F21"/>
    <w:rsid w:val="00315E34"/>
    <w:rsid w:val="00326DE2"/>
    <w:rsid w:val="003F2724"/>
    <w:rsid w:val="003F73CA"/>
    <w:rsid w:val="00440E32"/>
    <w:rsid w:val="00461597"/>
    <w:rsid w:val="004C283B"/>
    <w:rsid w:val="004D13ED"/>
    <w:rsid w:val="004D5525"/>
    <w:rsid w:val="005035DA"/>
    <w:rsid w:val="00507897"/>
    <w:rsid w:val="005119CC"/>
    <w:rsid w:val="00515A85"/>
    <w:rsid w:val="00545F24"/>
    <w:rsid w:val="0055581F"/>
    <w:rsid w:val="0056229A"/>
    <w:rsid w:val="00570154"/>
    <w:rsid w:val="00570B5A"/>
    <w:rsid w:val="00591CC1"/>
    <w:rsid w:val="005C6967"/>
    <w:rsid w:val="005E3562"/>
    <w:rsid w:val="005E4F64"/>
    <w:rsid w:val="005F7DE0"/>
    <w:rsid w:val="00611349"/>
    <w:rsid w:val="00640346"/>
    <w:rsid w:val="00660385"/>
    <w:rsid w:val="00662E65"/>
    <w:rsid w:val="0066665A"/>
    <w:rsid w:val="00692DD8"/>
    <w:rsid w:val="006A5BA6"/>
    <w:rsid w:val="006E446C"/>
    <w:rsid w:val="006F0CE9"/>
    <w:rsid w:val="00703B2C"/>
    <w:rsid w:val="00713C52"/>
    <w:rsid w:val="007202A8"/>
    <w:rsid w:val="00727A2F"/>
    <w:rsid w:val="007B029A"/>
    <w:rsid w:val="007D33AA"/>
    <w:rsid w:val="007E7C03"/>
    <w:rsid w:val="007F7BCF"/>
    <w:rsid w:val="008030EC"/>
    <w:rsid w:val="00811D6D"/>
    <w:rsid w:val="00844776"/>
    <w:rsid w:val="008850D9"/>
    <w:rsid w:val="008A4578"/>
    <w:rsid w:val="008C03C3"/>
    <w:rsid w:val="008D161F"/>
    <w:rsid w:val="008D3909"/>
    <w:rsid w:val="008F588A"/>
    <w:rsid w:val="0090223B"/>
    <w:rsid w:val="00902D2D"/>
    <w:rsid w:val="009060C6"/>
    <w:rsid w:val="00915804"/>
    <w:rsid w:val="009275C3"/>
    <w:rsid w:val="009310CD"/>
    <w:rsid w:val="00951554"/>
    <w:rsid w:val="00957285"/>
    <w:rsid w:val="009573AF"/>
    <w:rsid w:val="0096079C"/>
    <w:rsid w:val="009963ED"/>
    <w:rsid w:val="009D4063"/>
    <w:rsid w:val="00A41BD3"/>
    <w:rsid w:val="00A449C2"/>
    <w:rsid w:val="00A47441"/>
    <w:rsid w:val="00A979C1"/>
    <w:rsid w:val="00AA3D6F"/>
    <w:rsid w:val="00AB6F7D"/>
    <w:rsid w:val="00AC7878"/>
    <w:rsid w:val="00AD493E"/>
    <w:rsid w:val="00B06055"/>
    <w:rsid w:val="00B36E5D"/>
    <w:rsid w:val="00B44D8A"/>
    <w:rsid w:val="00B73AC8"/>
    <w:rsid w:val="00B747A7"/>
    <w:rsid w:val="00BB22DA"/>
    <w:rsid w:val="00BB74BA"/>
    <w:rsid w:val="00BC081A"/>
    <w:rsid w:val="00BC559C"/>
    <w:rsid w:val="00C01B00"/>
    <w:rsid w:val="00C17112"/>
    <w:rsid w:val="00C24267"/>
    <w:rsid w:val="00C545B2"/>
    <w:rsid w:val="00C87F0D"/>
    <w:rsid w:val="00CA1D0D"/>
    <w:rsid w:val="00CA5D42"/>
    <w:rsid w:val="00CB40E1"/>
    <w:rsid w:val="00CD0A0B"/>
    <w:rsid w:val="00CF6DB6"/>
    <w:rsid w:val="00D03151"/>
    <w:rsid w:val="00D134CA"/>
    <w:rsid w:val="00D205AD"/>
    <w:rsid w:val="00D26F64"/>
    <w:rsid w:val="00D367CD"/>
    <w:rsid w:val="00D66021"/>
    <w:rsid w:val="00DA1C8A"/>
    <w:rsid w:val="00DB44F0"/>
    <w:rsid w:val="00DC2504"/>
    <w:rsid w:val="00DD0A3F"/>
    <w:rsid w:val="00DD109E"/>
    <w:rsid w:val="00DD3E18"/>
    <w:rsid w:val="00DE1F99"/>
    <w:rsid w:val="00E12103"/>
    <w:rsid w:val="00E15AAE"/>
    <w:rsid w:val="00E21184"/>
    <w:rsid w:val="00E25D77"/>
    <w:rsid w:val="00E355F6"/>
    <w:rsid w:val="00E40B8B"/>
    <w:rsid w:val="00E46946"/>
    <w:rsid w:val="00E5742E"/>
    <w:rsid w:val="00E738D9"/>
    <w:rsid w:val="00E9231F"/>
    <w:rsid w:val="00E93F74"/>
    <w:rsid w:val="00EA265F"/>
    <w:rsid w:val="00ED43FF"/>
    <w:rsid w:val="00EF1D6A"/>
    <w:rsid w:val="00EF2E51"/>
    <w:rsid w:val="00F31E24"/>
    <w:rsid w:val="00F52474"/>
    <w:rsid w:val="00F5669E"/>
    <w:rsid w:val="00F75D33"/>
    <w:rsid w:val="00F75FB1"/>
    <w:rsid w:val="00F954CF"/>
    <w:rsid w:val="00FB6794"/>
    <w:rsid w:val="00FC6579"/>
    <w:rsid w:val="00FD3FB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FB6794"/>
    <w:pPr>
      <w:spacing w:before="80" w:after="80" w:line="260" w:lineRule="exact"/>
    </w:pPr>
    <w:rPr>
      <w:rFonts w:ascii="Book Antiqua" w:eastAsia="Times New Roman" w:hAnsi="Book Antiqua" w:cs="Times New Roman"/>
      <w:sz w:val="20"/>
      <w:szCs w:val="20"/>
      <w:lang w:eastAsia="en-AU"/>
    </w:rPr>
  </w:style>
  <w:style w:type="character" w:styleId="CommentReference">
    <w:name w:val="annotation reference"/>
    <w:basedOn w:val="DefaultParagraphFont"/>
    <w:uiPriority w:val="99"/>
    <w:semiHidden/>
    <w:unhideWhenUsed/>
    <w:rsid w:val="008D161F"/>
    <w:rPr>
      <w:sz w:val="16"/>
      <w:szCs w:val="16"/>
    </w:rPr>
  </w:style>
  <w:style w:type="paragraph" w:styleId="CommentText">
    <w:name w:val="annotation text"/>
    <w:basedOn w:val="Normal"/>
    <w:link w:val="CommentTextChar"/>
    <w:uiPriority w:val="99"/>
    <w:semiHidden/>
    <w:unhideWhenUsed/>
    <w:rsid w:val="008D161F"/>
    <w:pPr>
      <w:spacing w:line="240" w:lineRule="auto"/>
    </w:pPr>
    <w:rPr>
      <w:sz w:val="20"/>
      <w:szCs w:val="20"/>
    </w:rPr>
  </w:style>
  <w:style w:type="character" w:customStyle="1" w:styleId="CommentTextChar">
    <w:name w:val="Comment Text Char"/>
    <w:basedOn w:val="DefaultParagraphFont"/>
    <w:link w:val="CommentText"/>
    <w:uiPriority w:val="99"/>
    <w:semiHidden/>
    <w:rsid w:val="008D161F"/>
    <w:rPr>
      <w:sz w:val="20"/>
      <w:szCs w:val="20"/>
    </w:rPr>
  </w:style>
  <w:style w:type="paragraph" w:styleId="CommentSubject">
    <w:name w:val="annotation subject"/>
    <w:basedOn w:val="CommentText"/>
    <w:next w:val="CommentText"/>
    <w:link w:val="CommentSubjectChar"/>
    <w:uiPriority w:val="99"/>
    <w:semiHidden/>
    <w:unhideWhenUsed/>
    <w:rsid w:val="008D161F"/>
    <w:rPr>
      <w:b/>
      <w:bCs/>
    </w:rPr>
  </w:style>
  <w:style w:type="character" w:customStyle="1" w:styleId="CommentSubjectChar">
    <w:name w:val="Comment Subject Char"/>
    <w:basedOn w:val="CommentTextChar"/>
    <w:link w:val="CommentSubject"/>
    <w:uiPriority w:val="99"/>
    <w:semiHidden/>
    <w:rsid w:val="008D16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FB6794"/>
    <w:pPr>
      <w:spacing w:before="80" w:after="80" w:line="260" w:lineRule="exact"/>
    </w:pPr>
    <w:rPr>
      <w:rFonts w:ascii="Book Antiqua" w:eastAsia="Times New Roman" w:hAnsi="Book Antiqua" w:cs="Times New Roman"/>
      <w:sz w:val="20"/>
      <w:szCs w:val="20"/>
      <w:lang w:eastAsia="en-AU"/>
    </w:rPr>
  </w:style>
  <w:style w:type="character" w:styleId="CommentReference">
    <w:name w:val="annotation reference"/>
    <w:basedOn w:val="DefaultParagraphFont"/>
    <w:uiPriority w:val="99"/>
    <w:semiHidden/>
    <w:unhideWhenUsed/>
    <w:rsid w:val="008D161F"/>
    <w:rPr>
      <w:sz w:val="16"/>
      <w:szCs w:val="16"/>
    </w:rPr>
  </w:style>
  <w:style w:type="paragraph" w:styleId="CommentText">
    <w:name w:val="annotation text"/>
    <w:basedOn w:val="Normal"/>
    <w:link w:val="CommentTextChar"/>
    <w:uiPriority w:val="99"/>
    <w:semiHidden/>
    <w:unhideWhenUsed/>
    <w:rsid w:val="008D161F"/>
    <w:pPr>
      <w:spacing w:line="240" w:lineRule="auto"/>
    </w:pPr>
    <w:rPr>
      <w:sz w:val="20"/>
      <w:szCs w:val="20"/>
    </w:rPr>
  </w:style>
  <w:style w:type="character" w:customStyle="1" w:styleId="CommentTextChar">
    <w:name w:val="Comment Text Char"/>
    <w:basedOn w:val="DefaultParagraphFont"/>
    <w:link w:val="CommentText"/>
    <w:uiPriority w:val="99"/>
    <w:semiHidden/>
    <w:rsid w:val="008D161F"/>
    <w:rPr>
      <w:sz w:val="20"/>
      <w:szCs w:val="20"/>
    </w:rPr>
  </w:style>
  <w:style w:type="paragraph" w:styleId="CommentSubject">
    <w:name w:val="annotation subject"/>
    <w:basedOn w:val="CommentText"/>
    <w:next w:val="CommentText"/>
    <w:link w:val="CommentSubjectChar"/>
    <w:uiPriority w:val="99"/>
    <w:semiHidden/>
    <w:unhideWhenUsed/>
    <w:rsid w:val="008D161F"/>
    <w:rPr>
      <w:b/>
      <w:bCs/>
    </w:rPr>
  </w:style>
  <w:style w:type="character" w:customStyle="1" w:styleId="CommentSubjectChar">
    <w:name w:val="Comment Subject Char"/>
    <w:basedOn w:val="CommentTextChar"/>
    <w:link w:val="CommentSubject"/>
    <w:uiPriority w:val="99"/>
    <w:semiHidden/>
    <w:rsid w:val="008D1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gov.au/pbo"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 - Caretaker.dotm</Template>
  <TotalTime>143</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PBO - GRN041 - Child Abuse Redress Scheme - 29 June 2016</vt:lpstr>
    </vt:vector>
  </TitlesOfParts>
  <Company>Parliament of Australia</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GRN041 - Child Abuse Redress Scheme - 29 June 2016</dc:title>
  <dc:creator>Parliamentary Budget Office</dc:creator>
  <cp:lastModifiedBy>Milligan, Louise (PBO)</cp:lastModifiedBy>
  <cp:revision>46</cp:revision>
  <cp:lastPrinted>2016-06-29T06:19:00Z</cp:lastPrinted>
  <dcterms:created xsi:type="dcterms:W3CDTF">2016-06-20T23:16:00Z</dcterms:created>
  <dcterms:modified xsi:type="dcterms:W3CDTF">2016-06-29T10:33:00Z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