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FB" w:rsidRPr="004343A3" w:rsidRDefault="00EA0BFB" w:rsidP="00BF331E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 w:rsidRPr="004343A3"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EA0BFB" w:rsidRDefault="00EA0BFB" w:rsidP="00EA0BF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343A3"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EA0BFB" w:rsidRPr="00002D5D" w:rsidRDefault="00040DCE" w:rsidP="00EA0BFB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EA0BFB" w:rsidRPr="004343A3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5B6A48">
        <w:rPr>
          <w:i/>
        </w:rPr>
        <w:t xml:space="preserve">Antarctic and Southern Ocean </w:t>
      </w:r>
      <w:r w:rsidR="00BF4BDC">
        <w:rPr>
          <w:i/>
        </w:rPr>
        <w:t>Policy</w:t>
      </w:r>
      <w:r w:rsidR="00351D1E">
        <w:rPr>
          <w:i/>
        </w:rPr>
        <w:t xml:space="preserve"> </w:t>
      </w:r>
      <w:r w:rsidRPr="00002D5D">
        <w:t xml:space="preserve">(letter of </w:t>
      </w:r>
      <w:r w:rsidR="009F679B">
        <w:t>28</w:t>
      </w:r>
      <w:r w:rsidR="00EA0BFB">
        <w:t xml:space="preserve"> June 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>If you have any queries about this costing, please</w:t>
      </w:r>
      <w:r w:rsidR="00F75D33">
        <w:t xml:space="preserve"> contact Colin </w:t>
      </w:r>
      <w:r w:rsidR="005C1429">
        <w:t xml:space="preserve">Brown on </w:t>
      </w:r>
      <w:r w:rsidRPr="00002D5D">
        <w:t>(02</w:t>
      </w:r>
      <w:r w:rsidR="005C1429">
        <w:t>) 6277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A93027" w:rsidP="00A93027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bookmarkStart w:id="0" w:name="_GoBack"/>
      <w:bookmarkEnd w:id="0"/>
      <w:r w:rsidR="00EA0BFB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75751E" w:rsidRDefault="0075751E" w:rsidP="0075751E">
      <w:pPr>
        <w:pStyle w:val="Heading1"/>
      </w:pPr>
      <w:r w:rsidRPr="00002D5D">
        <w:lastRenderedPageBreak/>
        <w:t>Policy costing—during the caretaker period for the 2016 general election</w:t>
      </w:r>
    </w:p>
    <w:tbl>
      <w:tblPr>
        <w:tblStyle w:val="TableGrid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75751E" w:rsidTr="00F12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:rsidR="0075751E" w:rsidRDefault="0075751E" w:rsidP="00F12E61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75751E" w:rsidRDefault="005B6A48" w:rsidP="00BF4BDC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Antarctic and Southern Ocean </w:t>
            </w:r>
            <w:r w:rsidR="00BF4BDC">
              <w:t>Policy</w:t>
            </w:r>
          </w:p>
        </w:tc>
      </w:tr>
      <w:tr w:rsidR="0075751E" w:rsidTr="00F1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F12E61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B231F3" w:rsidRDefault="00B231F3" w:rsidP="00AF6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proposal includes the following components:</w:t>
            </w:r>
          </w:p>
          <w:p w:rsidR="00B231F3" w:rsidRDefault="00B231F3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 xml:space="preserve">Component </w:t>
            </w:r>
            <w:r w:rsidR="008F7189">
              <w:rPr>
                <w:u w:val="single"/>
              </w:rPr>
              <w:t>1</w:t>
            </w:r>
            <w:r>
              <w:rPr>
                <w:u w:val="single"/>
              </w:rPr>
              <w:t xml:space="preserve">: </w:t>
            </w:r>
            <w:r w:rsidR="008F7189">
              <w:rPr>
                <w:u w:val="single"/>
              </w:rPr>
              <w:t>Ice</w:t>
            </w:r>
            <w:r w:rsidR="00FE0CE6">
              <w:rPr>
                <w:u w:val="single"/>
              </w:rPr>
              <w:t>–</w:t>
            </w:r>
            <w:r w:rsidR="008F7189">
              <w:rPr>
                <w:u w:val="single"/>
              </w:rPr>
              <w:t>sheet Unit</w:t>
            </w:r>
          </w:p>
          <w:p w:rsidR="00B231F3" w:rsidRDefault="00B231F3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component would </w:t>
            </w:r>
            <w:r w:rsidR="008F7189">
              <w:t>provide $4.4 million per year to establish a designated ice-sheet unit within the Australia</w:t>
            </w:r>
            <w:r w:rsidR="004F2C57">
              <w:t>n</w:t>
            </w:r>
            <w:r w:rsidR="008F7189">
              <w:t xml:space="preserve"> Antarctic Division.</w:t>
            </w:r>
          </w:p>
          <w:p w:rsidR="008F7189" w:rsidRDefault="008F7189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Component 2: Antarctic Climate and Ecosystem Cooperative Research Centre (ACECRC)</w:t>
            </w:r>
          </w:p>
          <w:p w:rsidR="008F7189" w:rsidRDefault="008F7189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component would provide an additional five years funding for ACECRC from 2019-20 to 2023-24.</w:t>
            </w:r>
          </w:p>
          <w:p w:rsidR="00B231F3" w:rsidRDefault="00B231F3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Component 3: Antarctic Gateway Partnership</w:t>
            </w:r>
          </w:p>
          <w:p w:rsidR="00B231F3" w:rsidRDefault="00B231F3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component would continue the</w:t>
            </w:r>
            <w:r w:rsidRPr="00143641">
              <w:t xml:space="preserve"> Antarctic Gateway Partnership funding for an additional four years </w:t>
            </w:r>
            <w:r>
              <w:t>after the</w:t>
            </w:r>
            <w:r w:rsidRPr="00143641">
              <w:t xml:space="preserve"> end of current funding period</w:t>
            </w:r>
            <w:r>
              <w:t>.</w:t>
            </w:r>
          </w:p>
          <w:p w:rsidR="00B231F3" w:rsidRPr="00AF65BA" w:rsidRDefault="00B231F3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 xml:space="preserve">Component </w:t>
            </w:r>
            <w:r w:rsidR="008F7189">
              <w:rPr>
                <w:u w:val="single"/>
              </w:rPr>
              <w:t>4</w:t>
            </w:r>
            <w:r>
              <w:rPr>
                <w:u w:val="single"/>
              </w:rPr>
              <w:t>:</w:t>
            </w:r>
            <w:r w:rsidRPr="00AF65BA">
              <w:rPr>
                <w:u w:val="single"/>
              </w:rPr>
              <w:t xml:space="preserve"> </w:t>
            </w:r>
            <w:r w:rsidRPr="000A780B">
              <w:rPr>
                <w:i/>
                <w:u w:val="single"/>
              </w:rPr>
              <w:t>RV Investigator</w:t>
            </w:r>
          </w:p>
          <w:p w:rsidR="00B231F3" w:rsidRDefault="00B231F3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component would provide </w:t>
            </w:r>
            <w:r w:rsidR="003630D5">
              <w:t xml:space="preserve">additional </w:t>
            </w:r>
            <w:r>
              <w:t xml:space="preserve">funding </w:t>
            </w:r>
            <w:r w:rsidR="003630D5">
              <w:t xml:space="preserve">to increase the number of days at sea for the </w:t>
            </w:r>
            <w:r w:rsidRPr="000A780B">
              <w:rPr>
                <w:i/>
              </w:rPr>
              <w:t>RV</w:t>
            </w:r>
            <w:r w:rsidR="003630D5" w:rsidRPr="000A780B">
              <w:rPr>
                <w:i/>
              </w:rPr>
              <w:t> </w:t>
            </w:r>
            <w:r w:rsidRPr="000A780B">
              <w:rPr>
                <w:i/>
              </w:rPr>
              <w:t>Investigator</w:t>
            </w:r>
            <w:r w:rsidRPr="00AF65BA">
              <w:t xml:space="preserve"> </w:t>
            </w:r>
            <w:r>
              <w:t>from 180 days to 300 days per year.</w:t>
            </w:r>
          </w:p>
          <w:p w:rsidR="0099552D" w:rsidRDefault="0099552D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Component 5: Productivity Commission</w:t>
            </w:r>
          </w:p>
          <w:p w:rsidR="008F7189" w:rsidRDefault="0099552D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component would require the Productivity Commission to provide a full economic valuation of the output of Australia’s Antarctic Science Program and knowledge base.</w:t>
            </w:r>
            <w:r w:rsidR="00AF65BA">
              <w:t xml:space="preserve"> </w:t>
            </w:r>
            <w:r w:rsidR="00D56DFD">
              <w:t xml:space="preserve"> This work would be done as part of the </w:t>
            </w:r>
            <w:r w:rsidR="00B60425">
              <w:t>Commission’s usual work program.</w:t>
            </w:r>
          </w:p>
          <w:p w:rsidR="0099552D" w:rsidRDefault="0099552D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Component 6: Antarctic Envoy</w:t>
            </w:r>
          </w:p>
          <w:p w:rsidR="0099552D" w:rsidRDefault="0099552D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component would establish the role of the Antarctic Envoy in the Department of Foreign Affairs and Trade</w:t>
            </w:r>
            <w:r w:rsidR="005F362D">
              <w:t xml:space="preserve"> (DAFT)</w:t>
            </w:r>
            <w:r w:rsidR="00B60425">
              <w:t xml:space="preserve"> with the cost to be met from within the existing resources of the department</w:t>
            </w:r>
            <w:r>
              <w:t>.</w:t>
            </w:r>
          </w:p>
          <w:p w:rsidR="0099552D" w:rsidRDefault="0099552D" w:rsidP="00AF65B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 xml:space="preserve">Component </w:t>
            </w:r>
            <w:r w:rsidR="00411531">
              <w:rPr>
                <w:u w:val="single"/>
              </w:rPr>
              <w:t>7</w:t>
            </w:r>
            <w:r>
              <w:rPr>
                <w:u w:val="single"/>
              </w:rPr>
              <w:t xml:space="preserve">: </w:t>
            </w:r>
            <w:r w:rsidR="00411531">
              <w:rPr>
                <w:u w:val="single"/>
              </w:rPr>
              <w:t>Press Review</w:t>
            </w:r>
          </w:p>
          <w:p w:rsidR="0099552D" w:rsidRDefault="00411531" w:rsidP="00AF65BA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component would ensure a full response would be provided to all 35 recommendations contained in the Press Review within the first three months of the term of the new Government.</w:t>
            </w:r>
          </w:p>
          <w:p w:rsidR="0075751E" w:rsidRDefault="00B231F3" w:rsidP="00AF6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Components 1</w:t>
            </w:r>
            <w:r w:rsidR="00411531">
              <w:t>,</w:t>
            </w:r>
            <w:r>
              <w:t xml:space="preserve"> </w:t>
            </w:r>
            <w:r w:rsidR="006B3C9B">
              <w:t>4</w:t>
            </w:r>
            <w:r w:rsidR="00411531">
              <w:t>, 5, 6 and 7</w:t>
            </w:r>
            <w:r>
              <w:t xml:space="preserve"> would have effect from 1 </w:t>
            </w:r>
            <w:r w:rsidR="006B3C9B">
              <w:t>July</w:t>
            </w:r>
            <w:r>
              <w:t xml:space="preserve"> 2016, </w:t>
            </w:r>
            <w:r w:rsidR="006B3C9B">
              <w:t xml:space="preserve">Component </w:t>
            </w:r>
            <w:r w:rsidR="00D56DFD">
              <w:t>3</w:t>
            </w:r>
            <w:r w:rsidR="006B3C9B">
              <w:t xml:space="preserve"> from 1 July 201</w:t>
            </w:r>
            <w:r w:rsidR="00D56DFD">
              <w:t>7</w:t>
            </w:r>
            <w:r w:rsidR="006B3C9B">
              <w:t xml:space="preserve"> </w:t>
            </w:r>
            <w:r>
              <w:t xml:space="preserve">and </w:t>
            </w:r>
            <w:r w:rsidR="006B3C9B">
              <w:t xml:space="preserve">Component </w:t>
            </w:r>
            <w:r w:rsidR="00D56DFD">
              <w:t>2</w:t>
            </w:r>
            <w:r w:rsidR="006B3C9B">
              <w:t xml:space="preserve"> from 1 July 201</w:t>
            </w:r>
            <w:r w:rsidR="00D56DFD">
              <w:t>9</w:t>
            </w:r>
            <w:r>
              <w:t>.</w:t>
            </w:r>
          </w:p>
        </w:tc>
      </w:tr>
      <w:tr w:rsidR="0075751E" w:rsidTr="00F1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F12E61">
            <w:pPr>
              <w:pStyle w:val="BodyText"/>
            </w:pPr>
            <w:r>
              <w:lastRenderedPageBreak/>
              <w:t>Person/party requesting costing:</w:t>
            </w:r>
          </w:p>
        </w:tc>
        <w:tc>
          <w:tcPr>
            <w:tcW w:w="5335" w:type="dxa"/>
          </w:tcPr>
          <w:p w:rsidR="0075751E" w:rsidRDefault="0075751E" w:rsidP="00F12E6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48">
              <w:t>Senator Richard Di Natale, Australian Greens</w:t>
            </w:r>
          </w:p>
        </w:tc>
      </w:tr>
      <w:tr w:rsidR="000F5B07" w:rsidTr="00F1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0F5B07" w:rsidRDefault="000F5B07" w:rsidP="00F12E61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B60425" w:rsidRPr="00C17112" w:rsidRDefault="00766575" w:rsidP="00B6042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6575">
              <w:t>26</w:t>
            </w:r>
            <w:r w:rsidR="000F5B07" w:rsidRPr="00766575">
              <w:t xml:space="preserve"> June 2016</w:t>
            </w:r>
          </w:p>
        </w:tc>
      </w:tr>
      <w:tr w:rsidR="0075751E" w:rsidTr="00F1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F12E61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75751E" w:rsidRPr="00766575" w:rsidRDefault="00766575" w:rsidP="00F12E6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575">
              <w:t>28</w:t>
            </w:r>
            <w:r w:rsidR="0075751E" w:rsidRPr="00766575">
              <w:t xml:space="preserve"> June 2016</w:t>
            </w:r>
          </w:p>
        </w:tc>
      </w:tr>
      <w:tr w:rsidR="0075751E" w:rsidTr="00F1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F12E61">
            <w:pPr>
              <w:pStyle w:val="BodyText"/>
            </w:pPr>
            <w:r>
              <w:t>Date costing completed</w:t>
            </w:r>
            <w:r w:rsidR="00AF65BA">
              <w:t>:</w:t>
            </w:r>
          </w:p>
        </w:tc>
        <w:tc>
          <w:tcPr>
            <w:tcW w:w="5335" w:type="dxa"/>
          </w:tcPr>
          <w:p w:rsidR="0075751E" w:rsidRPr="00766575" w:rsidRDefault="00766575" w:rsidP="00F12E6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6575">
              <w:t xml:space="preserve">28 </w:t>
            </w:r>
            <w:r w:rsidR="0075751E" w:rsidRPr="00766575">
              <w:t>June 2016</w:t>
            </w:r>
          </w:p>
        </w:tc>
      </w:tr>
      <w:tr w:rsidR="0031118B" w:rsidTr="00F1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31118B" w:rsidRDefault="00116D25" w:rsidP="00F12E61">
            <w:pPr>
              <w:pStyle w:val="BodyText"/>
            </w:pPr>
            <w:r>
              <w:t>Additional information requested (including date):</w:t>
            </w:r>
          </w:p>
        </w:tc>
        <w:tc>
          <w:tcPr>
            <w:tcW w:w="5335" w:type="dxa"/>
          </w:tcPr>
          <w:p w:rsidR="0031118B" w:rsidRPr="005E5AE8" w:rsidRDefault="005E5AE8" w:rsidP="00F12E6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 28 June 2016, the office of Senator Richard Di Natale (the office) was contacted to clarify whether the component of </w:t>
            </w:r>
            <w:r w:rsidRPr="005E5AE8">
              <w:rPr>
                <w:i/>
              </w:rPr>
              <w:t>RV Investigator</w:t>
            </w:r>
            <w:r>
              <w:t xml:space="preserve"> should be included in the proposal</w:t>
            </w:r>
            <w:r w:rsidR="00D56DFD">
              <w:t xml:space="preserve"> and whether, consistent with the associated media</w:t>
            </w:r>
            <w:r w:rsidR="003630D5">
              <w:t xml:space="preserve"> release, agencies affected by C</w:t>
            </w:r>
            <w:r w:rsidR="00D56DFD">
              <w:t>omponents 5 and 6 would</w:t>
            </w:r>
            <w:r w:rsidR="003630D5">
              <w:t xml:space="preserve"> be required to meet the cost of these proposal</w:t>
            </w:r>
            <w:r w:rsidR="004F2C57">
              <w:t>s</w:t>
            </w:r>
            <w:r w:rsidR="003630D5">
              <w:t xml:space="preserve"> from within existing resources.</w:t>
            </w:r>
            <w:r w:rsidR="00D56DFD">
              <w:t xml:space="preserve"> </w:t>
            </w:r>
          </w:p>
        </w:tc>
      </w:tr>
      <w:tr w:rsidR="00116D25" w:rsidTr="00F12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16D25" w:rsidRDefault="00116D25" w:rsidP="00F12E61">
            <w:pPr>
              <w:pStyle w:val="BodyText"/>
            </w:pPr>
            <w:r>
              <w:t>Additional information received (including date):</w:t>
            </w:r>
          </w:p>
        </w:tc>
        <w:tc>
          <w:tcPr>
            <w:tcW w:w="5335" w:type="dxa"/>
          </w:tcPr>
          <w:p w:rsidR="00116D25" w:rsidRPr="00766575" w:rsidRDefault="005E5AE8" w:rsidP="003630D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 28 June 2016, the office advised that the component of </w:t>
            </w:r>
            <w:r w:rsidRPr="005E5AE8">
              <w:rPr>
                <w:i/>
              </w:rPr>
              <w:t>RV Investigator</w:t>
            </w:r>
            <w:r>
              <w:t xml:space="preserve"> should be included in the proposal</w:t>
            </w:r>
            <w:r w:rsidR="003630D5">
              <w:t xml:space="preserve"> and that the Productivity Commission would be required to undertake Component 5 as part of its usual work program and that DFAT would be required to meet the cost of Component 6 from within existing resources</w:t>
            </w:r>
            <w:r>
              <w:t>.</w:t>
            </w:r>
          </w:p>
        </w:tc>
      </w:tr>
      <w:tr w:rsidR="0075751E" w:rsidTr="00F1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Pr="00220BE5" w:rsidRDefault="0075751E" w:rsidP="00F12E61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75751E" w:rsidRPr="00220BE5" w:rsidRDefault="00175929" w:rsidP="00F12E6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of the next economic and fiscal outlook report</w:t>
            </w:r>
          </w:p>
        </w:tc>
      </w:tr>
    </w:tbl>
    <w:p w:rsidR="0075751E" w:rsidRPr="00002D5D" w:rsidRDefault="0075751E" w:rsidP="0075751E">
      <w:pPr>
        <w:pStyle w:val="Heading2"/>
      </w:pPr>
      <w:r w:rsidRPr="00002D5D">
        <w:t>Costing overview</w:t>
      </w:r>
    </w:p>
    <w:p w:rsidR="00B231F3" w:rsidRDefault="00B231F3" w:rsidP="00B231F3">
      <w:r>
        <w:t xml:space="preserve">This proposal would be expected to decrease the </w:t>
      </w:r>
      <w:r w:rsidRPr="0081756D">
        <w:t xml:space="preserve">fiscal </w:t>
      </w:r>
      <w:r>
        <w:t>and un</w:t>
      </w:r>
      <w:r w:rsidR="00D36668">
        <w:t>derlying cash balances by $115.9</w:t>
      </w:r>
      <w:r>
        <w:t> million over the 2016</w:t>
      </w:r>
      <w:r>
        <w:noBreakHyphen/>
        <w:t>17 Budget forward estimates.  The</w:t>
      </w:r>
      <w:r w:rsidR="00D56DFD">
        <w:t>se</w:t>
      </w:r>
      <w:r>
        <w:t xml:space="preserve"> impacts are due to an increase in administered expenses of $29.0 million and an increase in departmental expenses of $</w:t>
      </w:r>
      <w:r w:rsidR="00D36668">
        <w:t>86.9</w:t>
      </w:r>
      <w:r>
        <w:t xml:space="preserve"> million. </w:t>
      </w:r>
    </w:p>
    <w:p w:rsidR="00B231F3" w:rsidRDefault="00B231F3" w:rsidP="00B231F3">
      <w:r w:rsidRPr="00F07D9A">
        <w:t>This proposal w</w:t>
      </w:r>
      <w:r>
        <w:t>ould</w:t>
      </w:r>
      <w:r w:rsidRPr="00F07D9A">
        <w:t xml:space="preserve"> have an</w:t>
      </w:r>
      <w:r>
        <w:t xml:space="preserve"> ongoing</w:t>
      </w:r>
      <w:r w:rsidRPr="00F07D9A">
        <w:t xml:space="preserve"> impact that extends beyond the forward estimates</w:t>
      </w:r>
      <w:r w:rsidR="000A780B">
        <w:t xml:space="preserve">.  </w:t>
      </w:r>
      <w:r>
        <w:t xml:space="preserve">Disaggregated financial implications for </w:t>
      </w:r>
      <w:r w:rsidRPr="004E0F6D">
        <w:t xml:space="preserve">the total </w:t>
      </w:r>
      <w:r>
        <w:t xml:space="preserve">(Table A1) </w:t>
      </w:r>
      <w:r w:rsidRPr="004E0F6D">
        <w:t>and by component</w:t>
      </w:r>
      <w:r>
        <w:t>s</w:t>
      </w:r>
      <w:r w:rsidR="004B6C7A">
        <w:t xml:space="preserve"> (Components 1 to 4)</w:t>
      </w:r>
      <w:r>
        <w:t xml:space="preserve"> of the proposal (Tables A2-</w:t>
      </w:r>
      <w:r w:rsidR="008426E1">
        <w:t>A5</w:t>
      </w:r>
      <w:r>
        <w:t>)</w:t>
      </w:r>
      <w:r w:rsidRPr="004E0F6D">
        <w:t xml:space="preserve"> </w:t>
      </w:r>
      <w:r w:rsidR="0087182D">
        <w:t>over</w:t>
      </w:r>
      <w:r>
        <w:t xml:space="preserve"> the period 2016-17 to 2026-27 are at </w:t>
      </w:r>
      <w:r w:rsidRPr="00BA6D7B">
        <w:rPr>
          <w:u w:val="single"/>
        </w:rPr>
        <w:t>Attachment A</w:t>
      </w:r>
      <w:r>
        <w:t>.</w:t>
      </w:r>
    </w:p>
    <w:p w:rsidR="004801CD" w:rsidRDefault="004801CD" w:rsidP="00B231F3">
      <w:r>
        <w:t>Component 7 would not require additional funding as it is not expected to be administratively burdensome.</w:t>
      </w:r>
    </w:p>
    <w:p w:rsidR="00F83E8B" w:rsidRPr="00752791" w:rsidRDefault="00D6088E" w:rsidP="000A780B">
      <w:pPr>
        <w:keepNext/>
        <w:keepLines/>
      </w:pPr>
      <w:r w:rsidRPr="00B231F3">
        <w:lastRenderedPageBreak/>
        <w:t xml:space="preserve">For Component </w:t>
      </w:r>
      <w:r>
        <w:t>1</w:t>
      </w:r>
      <w:r w:rsidRPr="00B231F3">
        <w:t xml:space="preserve">, the costing is considered to be of high reliability </w:t>
      </w:r>
      <w:r>
        <w:t>as it is based on specified capped amounts</w:t>
      </w:r>
      <w:r w:rsidRPr="00B231F3">
        <w:t xml:space="preserve">.  </w:t>
      </w:r>
      <w:r>
        <w:t>For Component 2</w:t>
      </w:r>
      <w:r w:rsidRPr="00B231F3">
        <w:t xml:space="preserve"> and Component </w:t>
      </w:r>
      <w:r>
        <w:t>3</w:t>
      </w:r>
      <w:r w:rsidRPr="00B231F3">
        <w:t xml:space="preserve">, this costing is considered to be of high reliability as both are the continuation of existing programs.  </w:t>
      </w:r>
      <w:r w:rsidR="00B231F3" w:rsidRPr="00B231F3">
        <w:t xml:space="preserve">For Component </w:t>
      </w:r>
      <w:r>
        <w:t>4</w:t>
      </w:r>
      <w:r w:rsidR="00B231F3" w:rsidRPr="00B231F3">
        <w:t>, this costing is considered to be of medium reliability due to the uncertainty of the average daily operat</w:t>
      </w:r>
      <w:r>
        <w:t>ing cost of the vessel</w:t>
      </w:r>
      <w:r w:rsidR="00B231F3" w:rsidRPr="00B231F3">
        <w:t>.</w:t>
      </w:r>
    </w:p>
    <w:p w:rsidR="0075751E" w:rsidRPr="00FC6579" w:rsidRDefault="0075751E" w:rsidP="0075751E">
      <w:pPr>
        <w:pStyle w:val="Captionheading"/>
      </w:pPr>
      <w:r w:rsidRPr="00FC6579">
        <w:t>Table 1: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8868C6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75751E" w:rsidRPr="00B73AC8" w:rsidTr="00F12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75751E" w:rsidRPr="00D75CBE" w:rsidRDefault="0075751E" w:rsidP="000A780B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 w:val="0"/>
                <w:szCs w:val="20"/>
              </w:rPr>
            </w:pPr>
            <w:r w:rsidRPr="00D75CBE">
              <w:rPr>
                <w:rFonts w:ascii="Calibri" w:hAnsi="Calibri"/>
                <w:b w:val="0"/>
                <w:szCs w:val="20"/>
              </w:rPr>
              <w:t>Impact on ($m)</w:t>
            </w:r>
          </w:p>
        </w:tc>
        <w:tc>
          <w:tcPr>
            <w:tcW w:w="682" w:type="pct"/>
          </w:tcPr>
          <w:p w:rsidR="0075751E" w:rsidRPr="001A1666" w:rsidRDefault="0075751E" w:rsidP="000A780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1A1666">
              <w:rPr>
                <w:rFonts w:ascii="Calibri" w:hAnsi="Calibri"/>
                <w:b w:val="0"/>
                <w:sz w:val="20"/>
                <w:szCs w:val="20"/>
              </w:rPr>
              <w:t>2016–17</w:t>
            </w:r>
          </w:p>
        </w:tc>
        <w:tc>
          <w:tcPr>
            <w:tcW w:w="682" w:type="pct"/>
          </w:tcPr>
          <w:p w:rsidR="0075751E" w:rsidRPr="001A1666" w:rsidRDefault="0075751E" w:rsidP="000A780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1A1666">
              <w:rPr>
                <w:rFonts w:ascii="Calibri" w:hAnsi="Calibri"/>
                <w:b w:val="0"/>
                <w:sz w:val="20"/>
                <w:szCs w:val="20"/>
              </w:rPr>
              <w:t>2017–18</w:t>
            </w:r>
          </w:p>
        </w:tc>
        <w:tc>
          <w:tcPr>
            <w:tcW w:w="682" w:type="pct"/>
          </w:tcPr>
          <w:p w:rsidR="0075751E" w:rsidRPr="001A1666" w:rsidRDefault="0075751E" w:rsidP="000A780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1A1666">
              <w:rPr>
                <w:rFonts w:ascii="Calibri" w:hAnsi="Calibri"/>
                <w:b w:val="0"/>
                <w:sz w:val="20"/>
                <w:szCs w:val="20"/>
              </w:rPr>
              <w:t>2018–19</w:t>
            </w:r>
          </w:p>
        </w:tc>
        <w:tc>
          <w:tcPr>
            <w:tcW w:w="682" w:type="pct"/>
          </w:tcPr>
          <w:p w:rsidR="0075751E" w:rsidRPr="001A1666" w:rsidRDefault="0075751E" w:rsidP="000A780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1A1666">
              <w:rPr>
                <w:rFonts w:ascii="Calibri" w:hAnsi="Calibri"/>
                <w:b w:val="0"/>
                <w:sz w:val="20"/>
                <w:szCs w:val="20"/>
              </w:rPr>
              <w:t>2019–20</w:t>
            </w:r>
          </w:p>
        </w:tc>
        <w:tc>
          <w:tcPr>
            <w:tcW w:w="681" w:type="pct"/>
          </w:tcPr>
          <w:p w:rsidR="0075751E" w:rsidRPr="00B73AC8" w:rsidRDefault="0075751E" w:rsidP="000A780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73AC8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1F65F2" w:rsidRPr="00B73AC8" w:rsidTr="001F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1F65F2" w:rsidRPr="00B73AC8" w:rsidRDefault="001F65F2" w:rsidP="000A780B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Fiscal balance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-21.8 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-29.6 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-29.7 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-34.8 </w:t>
            </w:r>
          </w:p>
        </w:tc>
        <w:tc>
          <w:tcPr>
            <w:tcW w:w="681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 xml:space="preserve">-115.9 </w:t>
            </w:r>
          </w:p>
        </w:tc>
      </w:tr>
      <w:tr w:rsidR="001F65F2" w:rsidRPr="00B73AC8" w:rsidTr="001F6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1F65F2" w:rsidRPr="00B73AC8" w:rsidRDefault="001F65F2" w:rsidP="000A780B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Underlying cash balance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-21.8 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-29.6 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-29.7 </w:t>
            </w:r>
          </w:p>
        </w:tc>
        <w:tc>
          <w:tcPr>
            <w:tcW w:w="682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 xml:space="preserve">-34.8 </w:t>
            </w:r>
          </w:p>
        </w:tc>
        <w:tc>
          <w:tcPr>
            <w:tcW w:w="681" w:type="pct"/>
            <w:vAlign w:val="center"/>
          </w:tcPr>
          <w:p w:rsidR="001F65F2" w:rsidRPr="001F65F2" w:rsidRDefault="001F65F2" w:rsidP="000A780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 xml:space="preserve">-115.9 </w:t>
            </w:r>
          </w:p>
        </w:tc>
      </w:tr>
    </w:tbl>
    <w:p w:rsidR="005A687A" w:rsidRPr="005A687A" w:rsidRDefault="005A687A" w:rsidP="005A687A">
      <w:pPr>
        <w:pStyle w:val="Footnotes"/>
        <w:keepNext/>
        <w:numPr>
          <w:ilvl w:val="0"/>
          <w:numId w:val="34"/>
        </w:numPr>
        <w:ind w:left="284" w:hanging="284"/>
        <w:rPr>
          <w:rFonts w:ascii="Calibri" w:hAnsi="Calibri"/>
        </w:rPr>
      </w:pPr>
      <w:r w:rsidRPr="005A687A">
        <w:t>A positive number indicates an increase in the relevant budget balance, a negative number a decrease.</w:t>
      </w:r>
    </w:p>
    <w:p w:rsidR="005A687A" w:rsidRPr="005A687A" w:rsidRDefault="005A687A" w:rsidP="005A687A">
      <w:pPr>
        <w:pStyle w:val="Footnotes"/>
        <w:keepNext/>
        <w:numPr>
          <w:ilvl w:val="0"/>
          <w:numId w:val="34"/>
        </w:numPr>
        <w:ind w:left="284" w:hanging="284"/>
        <w:rPr>
          <w:rFonts w:ascii="Times New Roman" w:eastAsia="Times New Roman" w:hAnsi="Times New Roman"/>
          <w:lang w:eastAsia="en-AU"/>
        </w:rPr>
      </w:pPr>
      <w:r w:rsidRPr="005A687A">
        <w:t>Figures may not sum to totals due to rounding.</w:t>
      </w:r>
    </w:p>
    <w:p w:rsidR="0075751E" w:rsidRDefault="0075751E" w:rsidP="0075751E">
      <w:pPr>
        <w:pStyle w:val="Heading2"/>
      </w:pPr>
      <w:r w:rsidRPr="00FC6579">
        <w:t>Methodology</w:t>
      </w:r>
    </w:p>
    <w:p w:rsidR="00B231F3" w:rsidRDefault="00B231F3" w:rsidP="000A780B">
      <w:r>
        <w:t xml:space="preserve">For Component </w:t>
      </w:r>
      <w:r w:rsidR="00CB41CC">
        <w:t>1</w:t>
      </w:r>
      <w:r>
        <w:t xml:space="preserve">, the financial impact on departmental </w:t>
      </w:r>
      <w:r w:rsidR="00D6098F">
        <w:t xml:space="preserve">expenses </w:t>
      </w:r>
      <w:r w:rsidR="00A6447B">
        <w:t>is</w:t>
      </w:r>
      <w:r>
        <w:t xml:space="preserve"> </w:t>
      </w:r>
      <w:r w:rsidR="00CB41CC">
        <w:t>the specified $4.4</w:t>
      </w:r>
      <w:r w:rsidR="000E6ABF">
        <w:t> </w:t>
      </w:r>
      <w:r w:rsidR="00CB41CC">
        <w:t>million per year.</w:t>
      </w:r>
    </w:p>
    <w:p w:rsidR="00B231F3" w:rsidRDefault="00B231F3" w:rsidP="000A780B">
      <w:r>
        <w:t>For Component</w:t>
      </w:r>
      <w:r w:rsidR="004F2C57">
        <w:t>s</w:t>
      </w:r>
      <w:r>
        <w:t xml:space="preserve"> </w:t>
      </w:r>
      <w:r w:rsidR="00CB41CC">
        <w:t>2</w:t>
      </w:r>
      <w:r>
        <w:t xml:space="preserve"> and </w:t>
      </w:r>
      <w:r w:rsidR="00CB41CC">
        <w:t>3</w:t>
      </w:r>
      <w:r>
        <w:t xml:space="preserve">, the financial impacts on administered </w:t>
      </w:r>
      <w:r w:rsidR="00D6098F">
        <w:t>expenses</w:t>
      </w:r>
      <w:r>
        <w:t xml:space="preserve"> were based on existing funding for both programs.</w:t>
      </w:r>
    </w:p>
    <w:p w:rsidR="00B60425" w:rsidRDefault="00B231F3" w:rsidP="000A780B">
      <w:r>
        <w:t xml:space="preserve">For Component </w:t>
      </w:r>
      <w:r w:rsidR="00CB41CC">
        <w:t>4</w:t>
      </w:r>
      <w:r>
        <w:t xml:space="preserve">, the financial impact on departmental </w:t>
      </w:r>
      <w:r w:rsidR="00D6098F">
        <w:t>expenses</w:t>
      </w:r>
      <w:r>
        <w:t xml:space="preserve"> was calculated by multiplying the average daily operating cost by the increased number of operating days, adjusted to account for the net effect of indexation parameters and the efficiency dividend.</w:t>
      </w:r>
    </w:p>
    <w:p w:rsidR="0075751E" w:rsidRPr="00146FE0" w:rsidRDefault="00B60425" w:rsidP="000A780B">
      <w:r>
        <w:t>Consistent with the specification of the proposal no additional resources have been provided for the Productivity Commission (Component 5) or DFAT (Component 6).</w:t>
      </w:r>
    </w:p>
    <w:p w:rsidR="0075751E" w:rsidRPr="00FC6579" w:rsidRDefault="0075751E" w:rsidP="0075751E">
      <w:pPr>
        <w:pStyle w:val="Heading2"/>
      </w:pPr>
      <w:r w:rsidRPr="00FC6579">
        <w:t>Data sources</w:t>
      </w:r>
    </w:p>
    <w:p w:rsidR="00B231F3" w:rsidRDefault="00B231F3" w:rsidP="00E478FD">
      <w:r>
        <w:t xml:space="preserve">The Department of Industry, Innovation and Science provided annual operating costs and planned operating days of the </w:t>
      </w:r>
      <w:r w:rsidRPr="00CB11BB">
        <w:rPr>
          <w:i/>
        </w:rPr>
        <w:t>RV Investigator</w:t>
      </w:r>
      <w:r>
        <w:t xml:space="preserve"> over 2016-17 to 2019-20 and estimates profile for ACECRC over 2016-17 to 2018-19.</w:t>
      </w:r>
    </w:p>
    <w:p w:rsidR="00CA5D42" w:rsidRPr="00FC6579" w:rsidRDefault="00B231F3" w:rsidP="00E478FD">
      <w:pPr>
        <w:rPr>
          <w:highlight w:val="yellow"/>
        </w:rPr>
        <w:sectPr w:rsidR="00CA5D42" w:rsidRPr="00FC6579" w:rsidSect="00002D5D">
          <w:headerReference w:type="first" r:id="rId13"/>
          <w:footerReference w:type="first" r:id="rId14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  <w:r>
        <w:t>2014-15 Budget Paper No. 2</w:t>
      </w:r>
      <w:r w:rsidR="0025349E">
        <w:t>.</w:t>
      </w:r>
    </w:p>
    <w:p w:rsidR="001A02D1" w:rsidRPr="00FC6579" w:rsidRDefault="001A02D1" w:rsidP="00D6098F">
      <w:pPr>
        <w:pStyle w:val="Heading1"/>
      </w:pPr>
      <w:r w:rsidRPr="00FC6579">
        <w:lastRenderedPageBreak/>
        <w:t>Attachment A:</w:t>
      </w:r>
      <w:r w:rsidR="00497FD5">
        <w:t xml:space="preserve">  </w:t>
      </w:r>
      <w:r w:rsidR="00D6098F" w:rsidRPr="00D6098F">
        <w:t>Antarctic and Southern Ocean Policy</w:t>
      </w:r>
      <w:r w:rsidR="00440E32">
        <w:t>—financial implications</w:t>
      </w:r>
    </w:p>
    <w:p w:rsidR="00F52474" w:rsidRPr="00497FD5" w:rsidRDefault="00F52474" w:rsidP="00FC6579">
      <w:pPr>
        <w:pStyle w:val="Captionheading"/>
        <w:rPr>
          <w:vertAlign w:val="superscript"/>
        </w:rPr>
      </w:pPr>
      <w:r w:rsidRPr="00FC6579">
        <w:t xml:space="preserve">Table </w:t>
      </w:r>
      <w:r w:rsidR="00497FD5">
        <w:t>A1</w:t>
      </w:r>
      <w:r w:rsidRPr="00FC6579">
        <w:t xml:space="preserve">: </w:t>
      </w:r>
      <w:r w:rsidR="00497FD5">
        <w:t>Financial implications</w:t>
      </w:r>
      <w:r w:rsidR="00C04988">
        <w:t xml:space="preserve"> (outturn prices</w:t>
      </w:r>
      <w:proofErr w:type="gramStart"/>
      <w:r w:rsidR="00C04988">
        <w:t>)</w:t>
      </w:r>
      <w:r w:rsidR="00D35393">
        <w:rPr>
          <w:vertAlign w:val="superscript"/>
        </w:rPr>
        <w:t>(</w:t>
      </w:r>
      <w:proofErr w:type="gramEnd"/>
      <w:r w:rsidR="00D35393">
        <w:rPr>
          <w:vertAlign w:val="superscript"/>
        </w:rPr>
        <w:t>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9"/>
        <w:gridCol w:w="905"/>
        <w:gridCol w:w="902"/>
        <w:gridCol w:w="902"/>
        <w:gridCol w:w="902"/>
        <w:gridCol w:w="907"/>
        <w:gridCol w:w="901"/>
        <w:gridCol w:w="901"/>
        <w:gridCol w:w="901"/>
        <w:gridCol w:w="901"/>
        <w:gridCol w:w="901"/>
        <w:gridCol w:w="901"/>
        <w:gridCol w:w="901"/>
        <w:gridCol w:w="904"/>
      </w:tblGrid>
      <w:tr w:rsidR="009F1D2D" w:rsidRPr="00B31810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957285" w:rsidRPr="00BF331E" w:rsidRDefault="00957285" w:rsidP="00E478FD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BF331E">
              <w:rPr>
                <w:sz w:val="20"/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957285" w:rsidRPr="009F2DA0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2019–20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C24267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957285" w:rsidRPr="009F2DA0" w:rsidRDefault="00957285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2026–27</w:t>
            </w:r>
          </w:p>
        </w:tc>
      </w:tr>
      <w:tr w:rsidR="00F00B83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  <w:vAlign w:val="center"/>
          </w:tcPr>
          <w:p w:rsidR="00F00B83" w:rsidRPr="00BF331E" w:rsidRDefault="00357D4C" w:rsidP="00E478FD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on f</w:t>
            </w:r>
            <w:r w:rsidRPr="00883351">
              <w:rPr>
                <w:b/>
                <w:sz w:val="20"/>
                <w:szCs w:val="20"/>
              </w:rPr>
              <w:t>iscal</w:t>
            </w:r>
            <w:r>
              <w:rPr>
                <w:b/>
                <w:sz w:val="20"/>
                <w:szCs w:val="20"/>
              </w:rPr>
              <w:t xml:space="preserve"> and underlying cash balances</w:t>
            </w:r>
          </w:p>
        </w:tc>
      </w:tr>
      <w:tr w:rsidR="00870DDE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870DDE" w:rsidRPr="007F48AF" w:rsidRDefault="00870DDE" w:rsidP="00E478FD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Administered</w:t>
            </w:r>
          </w:p>
        </w:tc>
        <w:tc>
          <w:tcPr>
            <w:tcW w:w="326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-8.0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-8.0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-13.0</w:t>
            </w:r>
          </w:p>
        </w:tc>
        <w:tc>
          <w:tcPr>
            <w:tcW w:w="327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70DDE">
              <w:rPr>
                <w:b/>
                <w:i/>
                <w:sz w:val="20"/>
                <w:szCs w:val="20"/>
              </w:rPr>
              <w:t>-29.0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-13.0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70DDE">
              <w:rPr>
                <w:b/>
                <w:i/>
                <w:sz w:val="20"/>
                <w:szCs w:val="20"/>
              </w:rPr>
              <w:t>-57.0</w:t>
            </w:r>
          </w:p>
        </w:tc>
      </w:tr>
      <w:tr w:rsidR="00870DDE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870DDE" w:rsidRPr="007F48AF" w:rsidRDefault="00870DDE" w:rsidP="00E478FD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Departmental</w:t>
            </w:r>
          </w:p>
        </w:tc>
        <w:tc>
          <w:tcPr>
            <w:tcW w:w="326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-21.8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-21.6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-21.7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-21.8</w:t>
            </w:r>
          </w:p>
        </w:tc>
        <w:tc>
          <w:tcPr>
            <w:tcW w:w="327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70DDE">
              <w:rPr>
                <w:b/>
                <w:i/>
                <w:sz w:val="20"/>
                <w:szCs w:val="20"/>
              </w:rPr>
              <w:t>-86.9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-21.9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-22.0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-22.2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-22.3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-22.4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-22.5</w:t>
            </w:r>
          </w:p>
        </w:tc>
        <w:tc>
          <w:tcPr>
            <w:tcW w:w="325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70DDE">
              <w:rPr>
                <w:i/>
                <w:sz w:val="20"/>
                <w:szCs w:val="20"/>
              </w:rPr>
              <w:t>-22.6</w:t>
            </w:r>
          </w:p>
        </w:tc>
        <w:tc>
          <w:tcPr>
            <w:tcW w:w="326" w:type="pct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70DDE">
              <w:rPr>
                <w:b/>
                <w:i/>
                <w:sz w:val="20"/>
                <w:szCs w:val="20"/>
              </w:rPr>
              <w:t>-242.9</w:t>
            </w:r>
          </w:p>
        </w:tc>
      </w:tr>
      <w:tr w:rsidR="009F1D2D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870DDE" w:rsidRPr="007F48AF" w:rsidRDefault="00870DDE" w:rsidP="00E478FD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7F48A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-21.8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-29.6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-29.7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-34.8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-115.9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-34.9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-27.0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-27.2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-27.3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-22.4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-22.5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-22.6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870DDE" w:rsidRPr="00870DDE" w:rsidRDefault="00870DDE" w:rsidP="00E478F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70DDE">
              <w:rPr>
                <w:b/>
                <w:sz w:val="20"/>
                <w:szCs w:val="20"/>
              </w:rPr>
              <w:t>-299.9</w:t>
            </w:r>
          </w:p>
        </w:tc>
      </w:tr>
    </w:tbl>
    <w:p w:rsidR="001845F5" w:rsidRPr="00FF0C18" w:rsidRDefault="001845F5" w:rsidP="00FF0C18">
      <w:pPr>
        <w:pStyle w:val="Footnotes"/>
        <w:numPr>
          <w:ilvl w:val="0"/>
          <w:numId w:val="27"/>
        </w:numPr>
        <w:spacing w:before="80"/>
        <w:ind w:left="284" w:hanging="284"/>
        <w:rPr>
          <w:rFonts w:ascii="Calibri" w:hAnsi="Calibri"/>
        </w:rPr>
      </w:pPr>
      <w:r w:rsidRPr="00FF0C18">
        <w:t>A positive number for the fiscal balance indicates an increase in revenue or a decrease in expenses or net capital investment in accrual terms.</w:t>
      </w:r>
      <w:r w:rsidR="0044566C">
        <w:t xml:space="preserve"> </w:t>
      </w:r>
      <w:r w:rsidRPr="00FF0C18">
        <w:t xml:space="preserve"> A negative number for the fiscal balance indicates a decrease in revenue or an increase in expenses or net capital</w:t>
      </w:r>
      <w:r w:rsidR="0044566C">
        <w:t xml:space="preserve"> investment in accrual terms.</w:t>
      </w:r>
    </w:p>
    <w:p w:rsidR="001845F5" w:rsidRPr="00FF0C18" w:rsidRDefault="001845F5" w:rsidP="00FF0C18">
      <w:pPr>
        <w:pStyle w:val="Footnotes"/>
        <w:numPr>
          <w:ilvl w:val="0"/>
          <w:numId w:val="27"/>
        </w:numPr>
        <w:spacing w:before="80"/>
        <w:ind w:left="284" w:hanging="284"/>
      </w:pPr>
      <w:r w:rsidRPr="00FF0C18">
        <w:t>Figures may not sum to totals due to rounding.</w:t>
      </w:r>
      <w:r w:rsidR="00D35393" w:rsidRPr="00FF0C18">
        <w:t xml:space="preserve">  </w:t>
      </w:r>
    </w:p>
    <w:p w:rsidR="00D71D89" w:rsidRDefault="00D71D89" w:rsidP="00E478FD">
      <w:pPr>
        <w:pStyle w:val="Footnotes"/>
        <w:numPr>
          <w:ilvl w:val="0"/>
          <w:numId w:val="39"/>
        </w:numPr>
        <w:spacing w:before="80"/>
        <w:ind w:left="284" w:hanging="284"/>
      </w:pPr>
      <w:r>
        <w:t>Indicates nil.</w:t>
      </w:r>
    </w:p>
    <w:p w:rsidR="00BF14B0" w:rsidRPr="00497FD5" w:rsidRDefault="00BF14B0" w:rsidP="00E478FD">
      <w:pPr>
        <w:pStyle w:val="Captionheading"/>
        <w:keepLines/>
        <w:rPr>
          <w:vertAlign w:val="superscript"/>
        </w:rPr>
      </w:pPr>
      <w:r w:rsidRPr="00FC6579">
        <w:lastRenderedPageBreak/>
        <w:t xml:space="preserve">Table </w:t>
      </w:r>
      <w:r>
        <w:t>A</w:t>
      </w:r>
      <w:r w:rsidR="00870DDE">
        <w:t>2</w:t>
      </w:r>
      <w:r w:rsidRPr="00FC6579">
        <w:t xml:space="preserve">: </w:t>
      </w:r>
      <w:r>
        <w:t xml:space="preserve">Component </w:t>
      </w:r>
      <w:r w:rsidR="00870DDE">
        <w:t>1</w:t>
      </w:r>
      <w:r>
        <w:t xml:space="preserve"> – </w:t>
      </w:r>
      <w:r w:rsidR="00870DDE">
        <w:t>Ice–sheet Unit</w:t>
      </w:r>
      <w:r>
        <w:rPr>
          <w:i/>
        </w:rPr>
        <w:t xml:space="preserve"> </w:t>
      </w:r>
      <w:r>
        <w:t>– financial implications</w:t>
      </w:r>
      <w:r w:rsidR="00C04988">
        <w:t xml:space="preserve"> (outturn prices</w:t>
      </w:r>
      <w:proofErr w:type="gramStart"/>
      <w:r w:rsidR="00C04988">
        <w:t>)</w:t>
      </w:r>
      <w:r w:rsidR="00D35393">
        <w:rPr>
          <w:vertAlign w:val="superscript"/>
        </w:rPr>
        <w:t>(</w:t>
      </w:r>
      <w:proofErr w:type="gramEnd"/>
      <w:r w:rsidR="00D35393">
        <w:rPr>
          <w:vertAlign w:val="superscript"/>
        </w:rPr>
        <w:t>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9"/>
        <w:gridCol w:w="905"/>
        <w:gridCol w:w="902"/>
        <w:gridCol w:w="902"/>
        <w:gridCol w:w="902"/>
        <w:gridCol w:w="907"/>
        <w:gridCol w:w="901"/>
        <w:gridCol w:w="901"/>
        <w:gridCol w:w="901"/>
        <w:gridCol w:w="901"/>
        <w:gridCol w:w="901"/>
        <w:gridCol w:w="901"/>
        <w:gridCol w:w="901"/>
        <w:gridCol w:w="904"/>
      </w:tblGrid>
      <w:tr w:rsidR="009F1D2D" w:rsidRPr="00B31810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A2386D" w:rsidRPr="00B31810" w:rsidRDefault="00A2386D" w:rsidP="00E478FD">
            <w:pPr>
              <w:keepNext/>
              <w:keepLines/>
              <w:spacing w:before="70" w:after="70" w:line="240" w:lineRule="auto"/>
              <w:ind w:left="57" w:right="57"/>
            </w:pPr>
            <w:r w:rsidRPr="002E1B17">
              <w:rPr>
                <w:sz w:val="20"/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A2386D" w:rsidRPr="009F2DA0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2019–20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A2386D" w:rsidRPr="009F2DA0" w:rsidRDefault="00A2386D" w:rsidP="00E478FD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2026–27</w:t>
            </w:r>
          </w:p>
        </w:tc>
      </w:tr>
      <w:tr w:rsidR="002433E2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  <w:vAlign w:val="center"/>
          </w:tcPr>
          <w:p w:rsidR="002433E2" w:rsidRPr="00BF331E" w:rsidRDefault="00357D4C" w:rsidP="00E478FD">
            <w:pPr>
              <w:keepNext/>
              <w:keepLines/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on f</w:t>
            </w:r>
            <w:r w:rsidRPr="00883351">
              <w:rPr>
                <w:b/>
                <w:sz w:val="20"/>
                <w:szCs w:val="20"/>
              </w:rPr>
              <w:t>iscal</w:t>
            </w:r>
            <w:r>
              <w:rPr>
                <w:b/>
                <w:sz w:val="20"/>
                <w:szCs w:val="20"/>
              </w:rPr>
              <w:t xml:space="preserve"> and underlying cash balances</w:t>
            </w:r>
          </w:p>
        </w:tc>
      </w:tr>
      <w:tr w:rsidR="00F12E61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F12E61" w:rsidRPr="007F48AF" w:rsidRDefault="00F12E61" w:rsidP="00E478FD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Administered</w:t>
            </w:r>
          </w:p>
        </w:tc>
        <w:tc>
          <w:tcPr>
            <w:tcW w:w="326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F65F2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F12E61" w:rsidRPr="001F65F2" w:rsidRDefault="00F12E61" w:rsidP="00E478F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F65F2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F12E61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F12E61" w:rsidRPr="007F48AF" w:rsidRDefault="00F12E61" w:rsidP="00E478FD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Departmental</w:t>
            </w:r>
          </w:p>
        </w:tc>
        <w:tc>
          <w:tcPr>
            <w:tcW w:w="326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</w:t>
            </w:r>
            <w:r w:rsidR="001F65F2" w:rsidRPr="001F65F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</w:t>
            </w:r>
            <w:r w:rsidR="001F65F2" w:rsidRPr="001F65F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27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F65F2">
              <w:rPr>
                <w:b/>
                <w:i/>
                <w:sz w:val="20"/>
                <w:szCs w:val="20"/>
              </w:rPr>
              <w:t>-17.</w:t>
            </w:r>
            <w:r w:rsidR="001F65F2" w:rsidRPr="001F65F2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</w:t>
            </w:r>
            <w:r w:rsidR="001F65F2" w:rsidRPr="001F65F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</w:t>
            </w:r>
            <w:r w:rsidR="001F65F2" w:rsidRPr="001F65F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</w:t>
            </w:r>
            <w:r w:rsidR="001F65F2" w:rsidRPr="001F65F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F65F2">
              <w:rPr>
                <w:i/>
                <w:sz w:val="20"/>
                <w:szCs w:val="20"/>
              </w:rPr>
              <w:t>-4.</w:t>
            </w:r>
            <w:r w:rsidR="001F65F2" w:rsidRPr="001F65F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26" w:type="pct"/>
            <w:vAlign w:val="center"/>
          </w:tcPr>
          <w:p w:rsidR="00F12E61" w:rsidRPr="001F65F2" w:rsidRDefault="00F12E61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F65F2">
              <w:rPr>
                <w:b/>
                <w:i/>
                <w:sz w:val="20"/>
                <w:szCs w:val="20"/>
              </w:rPr>
              <w:t>-48.</w:t>
            </w:r>
            <w:r w:rsidR="001F65F2" w:rsidRPr="001F65F2"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9F1D2D" w:rsidTr="00E478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1F65F2" w:rsidRPr="00F12E61" w:rsidRDefault="001F65F2" w:rsidP="00E478FD">
            <w:pPr>
              <w:keepNext/>
              <w:keepLines/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-17.6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-4.4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1F65F2" w:rsidRPr="001F65F2" w:rsidRDefault="001F65F2" w:rsidP="00890AB4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F65F2">
              <w:rPr>
                <w:b/>
                <w:sz w:val="20"/>
                <w:szCs w:val="20"/>
              </w:rPr>
              <w:t>-48.4</w:t>
            </w:r>
          </w:p>
        </w:tc>
      </w:tr>
    </w:tbl>
    <w:p w:rsidR="001845F5" w:rsidRPr="001845F5" w:rsidRDefault="001845F5" w:rsidP="00E478FD">
      <w:pPr>
        <w:pStyle w:val="Footnotes"/>
        <w:keepNext/>
        <w:keepLines/>
        <w:numPr>
          <w:ilvl w:val="0"/>
          <w:numId w:val="36"/>
        </w:numPr>
        <w:spacing w:before="80"/>
        <w:ind w:left="284" w:hanging="284"/>
        <w:rPr>
          <w:rFonts w:ascii="Calibri" w:hAnsi="Calibri"/>
        </w:rPr>
      </w:pPr>
      <w:r w:rsidRPr="002E1B17">
        <w:t>A positive number for the fiscal balance indicates an increase in revenue or a decrease in expenses or net capita</w:t>
      </w:r>
      <w:r w:rsidR="0044566C">
        <w:t xml:space="preserve">l investment in accrual terms.  </w:t>
      </w:r>
      <w:r w:rsidRPr="002E1B17">
        <w:t>A negative number for the fiscal balance indicates a decrease in revenue or an increase in expenses or net capital</w:t>
      </w:r>
      <w:r w:rsidR="0044566C">
        <w:t xml:space="preserve"> investment in accrual terms.</w:t>
      </w:r>
    </w:p>
    <w:p w:rsidR="001845F5" w:rsidRDefault="001845F5" w:rsidP="00E478FD">
      <w:pPr>
        <w:pStyle w:val="Footnotes"/>
        <w:keepNext/>
        <w:keepLines/>
        <w:spacing w:before="80"/>
        <w:ind w:left="284" w:hanging="284"/>
      </w:pPr>
      <w:r>
        <w:t>Figures may not sum to totals due to rounding.</w:t>
      </w:r>
    </w:p>
    <w:p w:rsidR="001845F5" w:rsidRDefault="001845F5" w:rsidP="00E478FD">
      <w:pPr>
        <w:pStyle w:val="Footnotes"/>
        <w:numPr>
          <w:ilvl w:val="0"/>
          <w:numId w:val="39"/>
        </w:numPr>
        <w:spacing w:before="80"/>
        <w:ind w:left="284" w:hanging="284"/>
      </w:pPr>
      <w:r>
        <w:t>Indicates nil.</w:t>
      </w:r>
    </w:p>
    <w:p w:rsidR="006C1668" w:rsidRPr="00497FD5" w:rsidRDefault="006C1668" w:rsidP="006C1668">
      <w:pPr>
        <w:pStyle w:val="Captionheading"/>
        <w:rPr>
          <w:vertAlign w:val="superscript"/>
        </w:rPr>
      </w:pPr>
      <w:r w:rsidRPr="00FC6579">
        <w:t xml:space="preserve">Table </w:t>
      </w:r>
      <w:r>
        <w:t>A3</w:t>
      </w:r>
      <w:r w:rsidRPr="00FC6579">
        <w:t xml:space="preserve">: </w:t>
      </w:r>
      <w:r>
        <w:t>Component 2 – ACECRC</w:t>
      </w:r>
      <w:r>
        <w:rPr>
          <w:i/>
        </w:rPr>
        <w:t xml:space="preserve"> </w:t>
      </w:r>
      <w:r>
        <w:t>– 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9"/>
        <w:gridCol w:w="905"/>
        <w:gridCol w:w="902"/>
        <w:gridCol w:w="902"/>
        <w:gridCol w:w="902"/>
        <w:gridCol w:w="907"/>
        <w:gridCol w:w="901"/>
        <w:gridCol w:w="901"/>
        <w:gridCol w:w="901"/>
        <w:gridCol w:w="901"/>
        <w:gridCol w:w="901"/>
        <w:gridCol w:w="901"/>
        <w:gridCol w:w="901"/>
        <w:gridCol w:w="904"/>
      </w:tblGrid>
      <w:tr w:rsidR="009F1D2D" w:rsidRPr="00B31810" w:rsidTr="006F1D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6C1668" w:rsidRPr="00B31810" w:rsidRDefault="006C1668" w:rsidP="00E478FD">
            <w:pPr>
              <w:keepNext/>
              <w:keepLines/>
              <w:spacing w:before="70" w:after="0" w:line="240" w:lineRule="auto"/>
              <w:ind w:left="57" w:right="57"/>
            </w:pPr>
            <w:r w:rsidRPr="002E1B17">
              <w:rPr>
                <w:sz w:val="20"/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6C1668" w:rsidRPr="006A648A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2019–20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6A648A" w:rsidRDefault="006C1668" w:rsidP="00E478FD">
            <w:pPr>
              <w:pStyle w:val="TableHeadingCentred"/>
              <w:spacing w:after="0"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2026–27</w:t>
            </w:r>
          </w:p>
        </w:tc>
      </w:tr>
      <w:tr w:rsidR="006C1668" w:rsidTr="006F1D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6C1668" w:rsidRPr="001A1666" w:rsidRDefault="006C1668" w:rsidP="00E478FD">
            <w:pPr>
              <w:keepNext/>
              <w:keepLines/>
              <w:spacing w:before="70" w:after="0" w:line="240" w:lineRule="auto"/>
              <w:ind w:left="57" w:right="57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on f</w:t>
            </w:r>
            <w:r w:rsidRPr="00883351">
              <w:rPr>
                <w:b/>
                <w:sz w:val="20"/>
                <w:szCs w:val="20"/>
              </w:rPr>
              <w:t>iscal</w:t>
            </w:r>
            <w:r>
              <w:rPr>
                <w:b/>
                <w:sz w:val="20"/>
                <w:szCs w:val="20"/>
              </w:rPr>
              <w:t xml:space="preserve"> and underlying cash balances</w:t>
            </w:r>
          </w:p>
        </w:tc>
      </w:tr>
      <w:tr w:rsidR="006C1668" w:rsidTr="006F1D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6C1668" w:rsidRPr="007F48AF" w:rsidRDefault="006C1668" w:rsidP="00E478FD">
            <w:pPr>
              <w:keepNext/>
              <w:keepLines/>
              <w:spacing w:before="70" w:after="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Administered</w:t>
            </w:r>
          </w:p>
        </w:tc>
        <w:tc>
          <w:tcPr>
            <w:tcW w:w="326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7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A501A">
              <w:rPr>
                <w:b/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-5.0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6C1668" w:rsidRPr="007A501A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A501A">
              <w:rPr>
                <w:b/>
                <w:i/>
                <w:sz w:val="20"/>
                <w:szCs w:val="20"/>
              </w:rPr>
              <w:t>-25.0</w:t>
            </w:r>
          </w:p>
        </w:tc>
      </w:tr>
      <w:tr w:rsidR="006C1668" w:rsidTr="006F1D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6C1668" w:rsidRPr="007F48AF" w:rsidRDefault="006C1668" w:rsidP="00E478FD">
            <w:pPr>
              <w:keepNext/>
              <w:keepLines/>
              <w:spacing w:before="70" w:after="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Departmental</w:t>
            </w:r>
          </w:p>
        </w:tc>
        <w:tc>
          <w:tcPr>
            <w:tcW w:w="326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A501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A501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6C1668" w:rsidRPr="007A501A" w:rsidRDefault="006C1668" w:rsidP="00E478FD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A501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9F1D2D" w:rsidTr="006F1D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</w:tcPr>
          <w:p w:rsidR="006C1668" w:rsidRPr="007F48AF" w:rsidRDefault="006C1668" w:rsidP="00E478FD">
            <w:pPr>
              <w:keepNext/>
              <w:keepLines/>
              <w:spacing w:before="70" w:after="0" w:line="240" w:lineRule="auto"/>
              <w:ind w:left="57" w:right="57"/>
              <w:rPr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F12E61" w:rsidRDefault="006C1668" w:rsidP="007A501A">
            <w:pPr>
              <w:keepNext/>
              <w:keepLines/>
              <w:spacing w:before="70" w:after="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-25.0</w:t>
            </w:r>
          </w:p>
        </w:tc>
      </w:tr>
    </w:tbl>
    <w:p w:rsidR="006C1668" w:rsidRPr="002E1B17" w:rsidRDefault="006C1668" w:rsidP="006C1668">
      <w:pPr>
        <w:pStyle w:val="Footnotes"/>
        <w:numPr>
          <w:ilvl w:val="0"/>
          <w:numId w:val="8"/>
        </w:numPr>
        <w:spacing w:before="80"/>
        <w:ind w:left="284" w:hanging="284"/>
        <w:rPr>
          <w:rFonts w:ascii="Calibri" w:hAnsi="Calibri"/>
        </w:rPr>
      </w:pPr>
      <w:r w:rsidRPr="002E1B17">
        <w:t>A positive number for the fiscal balance indicates an increase in revenue or a decrease in expenses or net capital investment in accrual terms.</w:t>
      </w:r>
      <w:r w:rsidR="0044566C">
        <w:t xml:space="preserve"> </w:t>
      </w:r>
      <w:r w:rsidRPr="002E1B17">
        <w:t xml:space="preserve"> A negative number for the fiscal balance indicates a decrease in revenue or an increase in expenses or net capital</w:t>
      </w:r>
      <w:r w:rsidR="0044566C">
        <w:t xml:space="preserve"> investment in accrual terms.</w:t>
      </w:r>
    </w:p>
    <w:p w:rsidR="006C1668" w:rsidRDefault="006C1668" w:rsidP="006C1668">
      <w:pPr>
        <w:pStyle w:val="Footnotes"/>
        <w:numPr>
          <w:ilvl w:val="0"/>
          <w:numId w:val="6"/>
        </w:numPr>
        <w:spacing w:before="80"/>
        <w:ind w:left="284" w:hanging="284"/>
      </w:pPr>
      <w:r>
        <w:t>Figures may not sum to totals due to rounding.</w:t>
      </w:r>
    </w:p>
    <w:p w:rsidR="00FF0C18" w:rsidRPr="00E478FD" w:rsidRDefault="006C1668" w:rsidP="00E478FD">
      <w:pPr>
        <w:pStyle w:val="Footnotes"/>
        <w:numPr>
          <w:ilvl w:val="0"/>
          <w:numId w:val="39"/>
        </w:numPr>
        <w:spacing w:before="80"/>
        <w:ind w:left="284" w:hanging="284"/>
      </w:pPr>
      <w:r>
        <w:t>Indicates nil.</w:t>
      </w:r>
    </w:p>
    <w:p w:rsidR="006C1668" w:rsidRPr="00497FD5" w:rsidRDefault="006C1668" w:rsidP="006C1668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>A4</w:t>
      </w:r>
      <w:r w:rsidRPr="00FC6579">
        <w:t xml:space="preserve">: </w:t>
      </w:r>
      <w:r>
        <w:t>Component 3 – Antarctic Gateway Partnership</w:t>
      </w:r>
      <w:r>
        <w:rPr>
          <w:i/>
        </w:rPr>
        <w:t xml:space="preserve"> </w:t>
      </w:r>
      <w:r>
        <w:t>– 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9"/>
        <w:gridCol w:w="905"/>
        <w:gridCol w:w="902"/>
        <w:gridCol w:w="902"/>
        <w:gridCol w:w="902"/>
        <w:gridCol w:w="907"/>
        <w:gridCol w:w="901"/>
        <w:gridCol w:w="901"/>
        <w:gridCol w:w="901"/>
        <w:gridCol w:w="901"/>
        <w:gridCol w:w="901"/>
        <w:gridCol w:w="901"/>
        <w:gridCol w:w="901"/>
        <w:gridCol w:w="904"/>
      </w:tblGrid>
      <w:tr w:rsidR="009F1D2D" w:rsidRPr="00B31810" w:rsidTr="008902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6C1668" w:rsidRPr="00B31810" w:rsidRDefault="006C1668" w:rsidP="00890219">
            <w:pPr>
              <w:keepNext/>
              <w:keepLines/>
              <w:spacing w:before="70" w:after="70" w:line="240" w:lineRule="auto"/>
              <w:ind w:left="57" w:right="57"/>
            </w:pPr>
            <w:r w:rsidRPr="002E1B17">
              <w:rPr>
                <w:sz w:val="20"/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6C1668" w:rsidRPr="009F2DA0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2019–20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C24267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9F2DA0" w:rsidRDefault="006C1668" w:rsidP="00890219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2026–27</w:t>
            </w:r>
          </w:p>
        </w:tc>
      </w:tr>
      <w:tr w:rsidR="006C1668" w:rsidTr="008902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  <w:vAlign w:val="center"/>
          </w:tcPr>
          <w:p w:rsidR="006C1668" w:rsidRPr="001A1666" w:rsidRDefault="006C1668" w:rsidP="00890219">
            <w:pPr>
              <w:spacing w:before="70" w:after="70" w:line="240" w:lineRule="auto"/>
              <w:ind w:left="57" w:right="57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on f</w:t>
            </w:r>
            <w:r w:rsidRPr="00883351">
              <w:rPr>
                <w:b/>
                <w:sz w:val="20"/>
                <w:szCs w:val="20"/>
              </w:rPr>
              <w:t>iscal</w:t>
            </w:r>
            <w:r>
              <w:rPr>
                <w:b/>
                <w:sz w:val="20"/>
                <w:szCs w:val="20"/>
              </w:rPr>
              <w:t xml:space="preserve"> and underlying cash balances</w:t>
            </w:r>
          </w:p>
        </w:tc>
      </w:tr>
      <w:tr w:rsidR="006C1668" w:rsidTr="008902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6C1668" w:rsidRPr="007F48AF" w:rsidRDefault="006C1668" w:rsidP="00890219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Administered</w:t>
            </w:r>
          </w:p>
        </w:tc>
        <w:tc>
          <w:tcPr>
            <w:tcW w:w="326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-8.0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-8.0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-8.0</w:t>
            </w:r>
          </w:p>
        </w:tc>
        <w:tc>
          <w:tcPr>
            <w:tcW w:w="327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90219">
              <w:rPr>
                <w:b/>
                <w:i/>
                <w:sz w:val="20"/>
                <w:szCs w:val="20"/>
              </w:rPr>
              <w:t>-24.0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-8.0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90219">
              <w:rPr>
                <w:b/>
                <w:i/>
                <w:sz w:val="20"/>
                <w:szCs w:val="20"/>
              </w:rPr>
              <w:t>-32.0</w:t>
            </w:r>
          </w:p>
        </w:tc>
      </w:tr>
      <w:tr w:rsidR="006C1668" w:rsidTr="008902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6C1668" w:rsidRPr="007F48AF" w:rsidRDefault="006C1668" w:rsidP="00890219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Departmental</w:t>
            </w:r>
          </w:p>
        </w:tc>
        <w:tc>
          <w:tcPr>
            <w:tcW w:w="326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90219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9021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6C1668" w:rsidRPr="00890219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890219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9F1D2D" w:rsidTr="008902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6C1668" w:rsidRPr="007F48AF" w:rsidRDefault="006C1668" w:rsidP="00890219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-24.0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6C1668" w:rsidRPr="00F12E61" w:rsidRDefault="006C1668" w:rsidP="0089021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-32.0</w:t>
            </w:r>
          </w:p>
        </w:tc>
      </w:tr>
    </w:tbl>
    <w:p w:rsidR="006C1668" w:rsidRPr="001845F5" w:rsidRDefault="006C1668" w:rsidP="006C1668">
      <w:pPr>
        <w:pStyle w:val="Footnotes"/>
        <w:numPr>
          <w:ilvl w:val="0"/>
          <w:numId w:val="37"/>
        </w:numPr>
        <w:spacing w:before="80"/>
        <w:ind w:left="284" w:hanging="284"/>
        <w:rPr>
          <w:rFonts w:ascii="Calibri" w:hAnsi="Calibri"/>
        </w:rPr>
      </w:pPr>
      <w:r w:rsidRPr="002E1B17">
        <w:t>A positive number for the fiscal balance indicates an increase in revenue or a decrease in expenses or net capital investment in accrual terms.</w:t>
      </w:r>
      <w:r w:rsidR="0044566C">
        <w:t xml:space="preserve"> </w:t>
      </w:r>
      <w:r w:rsidRPr="002E1B17">
        <w:t xml:space="preserve"> A negative number for the fiscal balance indicates a decrease in revenue or an increase in expenses or net capital investment in accrual terms.</w:t>
      </w:r>
    </w:p>
    <w:p w:rsidR="006C1668" w:rsidRDefault="006C1668" w:rsidP="006C1668">
      <w:pPr>
        <w:pStyle w:val="Footnotes"/>
        <w:spacing w:before="80"/>
        <w:ind w:left="284" w:hanging="284"/>
      </w:pPr>
      <w:r>
        <w:t>Figures may not sum to totals due to rounding.</w:t>
      </w:r>
    </w:p>
    <w:p w:rsidR="006C1668" w:rsidRDefault="006C1668" w:rsidP="00134B62">
      <w:pPr>
        <w:pStyle w:val="Footnotes"/>
        <w:numPr>
          <w:ilvl w:val="0"/>
          <w:numId w:val="39"/>
        </w:numPr>
        <w:spacing w:before="80"/>
        <w:ind w:left="284" w:hanging="284"/>
      </w:pPr>
      <w:r>
        <w:t>Indicates nil.</w:t>
      </w:r>
    </w:p>
    <w:p w:rsidR="009C72B0" w:rsidRPr="00497FD5" w:rsidRDefault="009C72B0" w:rsidP="009C72B0">
      <w:pPr>
        <w:pStyle w:val="Captionheading"/>
        <w:rPr>
          <w:vertAlign w:val="superscript"/>
        </w:rPr>
      </w:pPr>
      <w:r w:rsidRPr="00FC6579">
        <w:t xml:space="preserve">Table </w:t>
      </w:r>
      <w:r>
        <w:t>A</w:t>
      </w:r>
      <w:r w:rsidR="00711DBE">
        <w:t>5</w:t>
      </w:r>
      <w:r w:rsidRPr="00FC6579">
        <w:t xml:space="preserve">: </w:t>
      </w:r>
      <w:r>
        <w:t xml:space="preserve">Component </w:t>
      </w:r>
      <w:r w:rsidR="00711DBE">
        <w:t>4</w:t>
      </w:r>
      <w:r>
        <w:t xml:space="preserve"> – </w:t>
      </w:r>
      <w:r w:rsidRPr="009C72B0">
        <w:rPr>
          <w:i/>
        </w:rPr>
        <w:t>RV Investigator</w:t>
      </w:r>
      <w:r>
        <w:rPr>
          <w:i/>
        </w:rPr>
        <w:t xml:space="preserve"> </w:t>
      </w:r>
      <w:r>
        <w:t>– financial implications</w:t>
      </w:r>
      <w:r w:rsidR="00C04988">
        <w:t xml:space="preserve"> (outturn prices</w:t>
      </w:r>
      <w:proofErr w:type="gramStart"/>
      <w:r w:rsidR="00C04988">
        <w:t>)</w:t>
      </w:r>
      <w:r w:rsidR="00A43017">
        <w:rPr>
          <w:vertAlign w:val="superscript"/>
        </w:rPr>
        <w:t>(</w:t>
      </w:r>
      <w:proofErr w:type="gramEnd"/>
      <w:r w:rsidR="00A43017">
        <w:rPr>
          <w:vertAlign w:val="superscript"/>
        </w:rPr>
        <w:t>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9"/>
        <w:gridCol w:w="905"/>
        <w:gridCol w:w="902"/>
        <w:gridCol w:w="902"/>
        <w:gridCol w:w="902"/>
        <w:gridCol w:w="907"/>
        <w:gridCol w:w="901"/>
        <w:gridCol w:w="901"/>
        <w:gridCol w:w="901"/>
        <w:gridCol w:w="901"/>
        <w:gridCol w:w="901"/>
        <w:gridCol w:w="901"/>
        <w:gridCol w:w="901"/>
        <w:gridCol w:w="904"/>
      </w:tblGrid>
      <w:tr w:rsidR="009F1D2D" w:rsidRPr="00B31810" w:rsidTr="00134B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A2386D" w:rsidRPr="00B31810" w:rsidRDefault="00A2386D" w:rsidP="00134B62">
            <w:pPr>
              <w:keepNext/>
              <w:keepLines/>
              <w:spacing w:before="70" w:after="70" w:line="240" w:lineRule="auto"/>
              <w:ind w:left="57" w:right="57"/>
            </w:pPr>
            <w:r w:rsidRPr="002E1B17">
              <w:rPr>
                <w:sz w:val="20"/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A2386D" w:rsidRPr="006A648A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2019–20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A2386D" w:rsidRPr="00C24267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A2386D" w:rsidRPr="006A648A" w:rsidRDefault="00A2386D" w:rsidP="00134B62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2DA0">
              <w:rPr>
                <w:b/>
              </w:rPr>
              <w:t>Total to 2026–27</w:t>
            </w:r>
          </w:p>
        </w:tc>
      </w:tr>
      <w:tr w:rsidR="004F4048" w:rsidTr="00134B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  <w:vAlign w:val="center"/>
          </w:tcPr>
          <w:p w:rsidR="004F4048" w:rsidRPr="006A648A" w:rsidRDefault="00357D4C" w:rsidP="00134B62">
            <w:pPr>
              <w:spacing w:before="70" w:after="70" w:line="240" w:lineRule="auto"/>
              <w:ind w:left="57" w:right="57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on f</w:t>
            </w:r>
            <w:r w:rsidRPr="00883351">
              <w:rPr>
                <w:b/>
                <w:sz w:val="20"/>
                <w:szCs w:val="20"/>
              </w:rPr>
              <w:t>iscal</w:t>
            </w:r>
            <w:r>
              <w:rPr>
                <w:b/>
                <w:sz w:val="20"/>
                <w:szCs w:val="20"/>
              </w:rPr>
              <w:t xml:space="preserve"> and underlying cash balances</w:t>
            </w:r>
          </w:p>
        </w:tc>
      </w:tr>
      <w:tr w:rsidR="009C72B0" w:rsidTr="00134B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9C72B0" w:rsidRPr="007F48AF" w:rsidRDefault="009C72B0" w:rsidP="00134B62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Administered</w:t>
            </w:r>
          </w:p>
        </w:tc>
        <w:tc>
          <w:tcPr>
            <w:tcW w:w="326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-17.4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-17.2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-17.3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-17.4</w:t>
            </w:r>
          </w:p>
        </w:tc>
        <w:tc>
          <w:tcPr>
            <w:tcW w:w="327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34B62">
              <w:rPr>
                <w:b/>
                <w:i/>
                <w:sz w:val="20"/>
                <w:szCs w:val="20"/>
              </w:rPr>
              <w:t>-69.3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-17.5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-17.6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-17.8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-17.9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-18.0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-18.1</w:t>
            </w:r>
          </w:p>
        </w:tc>
        <w:tc>
          <w:tcPr>
            <w:tcW w:w="325" w:type="pct"/>
            <w:vAlign w:val="center"/>
          </w:tcPr>
          <w:p w:rsidR="009C72B0" w:rsidRPr="00134B62" w:rsidRDefault="009C72B0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-18.2</w:t>
            </w:r>
          </w:p>
        </w:tc>
        <w:tc>
          <w:tcPr>
            <w:tcW w:w="326" w:type="pct"/>
            <w:vAlign w:val="center"/>
          </w:tcPr>
          <w:p w:rsidR="009C72B0" w:rsidRPr="00134B62" w:rsidRDefault="006A648A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34B62">
              <w:rPr>
                <w:b/>
                <w:i/>
                <w:sz w:val="20"/>
                <w:szCs w:val="20"/>
              </w:rPr>
              <w:t>-194.5</w:t>
            </w:r>
          </w:p>
        </w:tc>
      </w:tr>
      <w:tr w:rsidR="00F12E61" w:rsidTr="00134B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Align w:val="center"/>
          </w:tcPr>
          <w:p w:rsidR="00F12E61" w:rsidRPr="007F48AF" w:rsidRDefault="00F12E61" w:rsidP="00134B62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7F48AF">
              <w:rPr>
                <w:sz w:val="20"/>
                <w:szCs w:val="20"/>
              </w:rPr>
              <w:t>Departmental</w:t>
            </w:r>
          </w:p>
        </w:tc>
        <w:tc>
          <w:tcPr>
            <w:tcW w:w="326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5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6" w:type="pct"/>
            <w:vAlign w:val="center"/>
          </w:tcPr>
          <w:p w:rsidR="00F12E61" w:rsidRPr="00134B62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34B62">
              <w:rPr>
                <w:i/>
                <w:sz w:val="20"/>
                <w:szCs w:val="20"/>
              </w:rPr>
              <w:t>-</w:t>
            </w:r>
          </w:p>
        </w:tc>
      </w:tr>
      <w:tr w:rsidR="009F1D2D" w:rsidTr="00134B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F12E61" w:rsidRPr="007F48AF" w:rsidRDefault="00F12E61" w:rsidP="00134B62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-17.4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-69.3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-17.9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-18.0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-18.1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-18.2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F12E61" w:rsidRPr="00F12E61" w:rsidRDefault="00F12E61" w:rsidP="00134B62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12E61">
              <w:rPr>
                <w:b/>
                <w:sz w:val="20"/>
                <w:szCs w:val="20"/>
              </w:rPr>
              <w:t>-194.5</w:t>
            </w:r>
          </w:p>
        </w:tc>
      </w:tr>
    </w:tbl>
    <w:p w:rsidR="001845F5" w:rsidRPr="000E6ABF" w:rsidRDefault="001845F5" w:rsidP="009F1D2D">
      <w:pPr>
        <w:pStyle w:val="Footnotes"/>
        <w:numPr>
          <w:ilvl w:val="0"/>
          <w:numId w:val="38"/>
        </w:numPr>
        <w:spacing w:before="80"/>
        <w:rPr>
          <w:rFonts w:ascii="Calibri" w:hAnsi="Calibri"/>
        </w:rPr>
      </w:pPr>
      <w:r w:rsidRPr="002E1B17">
        <w:t>A positive number for the fiscal balance indicates an increase in revenue or a decrease in expenses or net capit</w:t>
      </w:r>
      <w:r w:rsidR="002042DA">
        <w:t xml:space="preserve">al investment in accrual terms. </w:t>
      </w:r>
      <w:r w:rsidRPr="002E1B17">
        <w:t xml:space="preserve"> A negative number for the fiscal balance indicates a decrease in revenue or an increase in expenses or net capital investment in accrual terms.</w:t>
      </w:r>
    </w:p>
    <w:p w:rsidR="001845F5" w:rsidRDefault="001845F5" w:rsidP="009F1D2D">
      <w:pPr>
        <w:pStyle w:val="Footnotes"/>
        <w:numPr>
          <w:ilvl w:val="0"/>
          <w:numId w:val="38"/>
        </w:numPr>
        <w:spacing w:before="80"/>
      </w:pPr>
      <w:r>
        <w:t>Figures may not sum to totals due to rounding.</w:t>
      </w:r>
    </w:p>
    <w:p w:rsidR="00EF64C8" w:rsidRPr="00FC6579" w:rsidRDefault="001845F5" w:rsidP="003F6BFD">
      <w:pPr>
        <w:pStyle w:val="Footnotes"/>
        <w:numPr>
          <w:ilvl w:val="0"/>
          <w:numId w:val="39"/>
        </w:numPr>
        <w:spacing w:before="80"/>
        <w:ind w:left="284" w:hanging="284"/>
      </w:pPr>
      <w:r>
        <w:t>Indicates nil.</w:t>
      </w:r>
    </w:p>
    <w:sectPr w:rsidR="00EF64C8" w:rsidRPr="00FC6579" w:rsidSect="00A334BE">
      <w:headerReference w:type="first" r:id="rId15"/>
      <w:footerReference w:type="first" r:id="rId16"/>
      <w:pgSz w:w="16839" w:h="11907" w:orient="landscape" w:code="9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C6" w:rsidRDefault="008868C6" w:rsidP="008F588A">
      <w:pPr>
        <w:spacing w:line="240" w:lineRule="auto"/>
      </w:pPr>
      <w:r>
        <w:separator/>
      </w:r>
    </w:p>
    <w:p w:rsidR="008868C6" w:rsidRDefault="008868C6"/>
  </w:endnote>
  <w:endnote w:type="continuationSeparator" w:id="0">
    <w:p w:rsidR="008868C6" w:rsidRDefault="008868C6" w:rsidP="008F588A">
      <w:pPr>
        <w:spacing w:line="240" w:lineRule="auto"/>
      </w:pPr>
      <w:r>
        <w:continuationSeparator/>
      </w:r>
    </w:p>
    <w:p w:rsidR="008868C6" w:rsidRDefault="0088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C24267" w:rsidRDefault="008868C6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4F638D">
      <w:rPr>
        <w:noProof/>
      </w:rPr>
      <w:t>7</w:t>
    </w:r>
    <w:r w:rsidRPr="00C24267">
      <w:fldChar w:fldCharType="end"/>
    </w:r>
    <w:r w:rsidRPr="00C24267">
      <w:t xml:space="preserve"> of </w:t>
    </w:r>
    <w:r w:rsidR="004F638D">
      <w:fldChar w:fldCharType="begin"/>
    </w:r>
    <w:r w:rsidR="004F638D">
      <w:instrText xml:space="preserve"> NUMPAGES  \* Arabic  \* MERGEFORMAT </w:instrText>
    </w:r>
    <w:r w:rsidR="004F638D">
      <w:fldChar w:fldCharType="separate"/>
    </w:r>
    <w:r w:rsidR="004F638D">
      <w:rPr>
        <w:noProof/>
      </w:rPr>
      <w:t>7</w:t>
    </w:r>
    <w:r w:rsidR="004F638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C24267" w:rsidRDefault="008868C6" w:rsidP="00C24267">
    <w:pPr>
      <w:pStyle w:val="Letterfooter"/>
    </w:pPr>
    <w:r w:rsidRPr="00C24267">
      <w:t>Parliamentary Budget Office   PO Box 6010   Parliament House   Canberra ACT 2600</w:t>
    </w:r>
  </w:p>
  <w:p w:rsidR="008868C6" w:rsidRPr="00C24267" w:rsidRDefault="008868C6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C24267" w:rsidRDefault="008868C6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4F638D">
      <w:rPr>
        <w:noProof/>
      </w:rPr>
      <w:t>2</w:t>
    </w:r>
    <w:r w:rsidRPr="00C24267">
      <w:fldChar w:fldCharType="end"/>
    </w:r>
    <w:r w:rsidRPr="00C24267">
      <w:t xml:space="preserve"> of </w:t>
    </w:r>
    <w:r w:rsidR="004F638D">
      <w:fldChar w:fldCharType="begin"/>
    </w:r>
    <w:r w:rsidR="004F638D">
      <w:instrText xml:space="preserve"> NUMPAGES  \* A</w:instrText>
    </w:r>
    <w:r w:rsidR="004F638D">
      <w:instrText xml:space="preserve">rabic  \* MERGEFORMAT </w:instrText>
    </w:r>
    <w:r w:rsidR="004F638D">
      <w:fldChar w:fldCharType="separate"/>
    </w:r>
    <w:r w:rsidR="004F638D">
      <w:rPr>
        <w:noProof/>
      </w:rPr>
      <w:t>7</w:t>
    </w:r>
    <w:r w:rsidR="004F638D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C24267" w:rsidRDefault="008868C6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4F638D">
      <w:rPr>
        <w:noProof/>
      </w:rPr>
      <w:t>5</w:t>
    </w:r>
    <w:r w:rsidRPr="00C24267">
      <w:fldChar w:fldCharType="end"/>
    </w:r>
    <w:r w:rsidRPr="00C24267">
      <w:t xml:space="preserve"> of </w:t>
    </w:r>
    <w:r w:rsidR="004F638D">
      <w:fldChar w:fldCharType="begin"/>
    </w:r>
    <w:r w:rsidR="004F638D">
      <w:instrText xml:space="preserve"> NUMPAGES  \* Arabic  \* MERGEFORMAT </w:instrText>
    </w:r>
    <w:r w:rsidR="004F638D">
      <w:fldChar w:fldCharType="separate"/>
    </w:r>
    <w:r w:rsidR="004F638D">
      <w:rPr>
        <w:noProof/>
      </w:rPr>
      <w:t>7</w:t>
    </w:r>
    <w:r w:rsidR="004F63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C6" w:rsidRDefault="008868C6" w:rsidP="008F588A">
      <w:pPr>
        <w:spacing w:line="240" w:lineRule="auto"/>
      </w:pPr>
      <w:r>
        <w:separator/>
      </w:r>
    </w:p>
    <w:p w:rsidR="008868C6" w:rsidRDefault="008868C6"/>
  </w:footnote>
  <w:footnote w:type="continuationSeparator" w:id="0">
    <w:p w:rsidR="008868C6" w:rsidRDefault="008868C6" w:rsidP="008F588A">
      <w:pPr>
        <w:spacing w:line="240" w:lineRule="auto"/>
      </w:pPr>
      <w:r>
        <w:continuationSeparator/>
      </w:r>
    </w:p>
    <w:p w:rsidR="008868C6" w:rsidRDefault="008868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Default="008868C6" w:rsidP="00CB40E1">
    <w:pPr>
      <w:pStyle w:val="Header"/>
    </w:pPr>
    <w:r>
      <w:rPr>
        <w:noProof/>
        <w:lang w:eastAsia="en-AU"/>
      </w:rPr>
      <w:drawing>
        <wp:inline distT="0" distB="0" distL="0" distR="0" wp14:anchorId="04648F3F" wp14:editId="20D81531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68C6" w:rsidRPr="00DA1C8A" w:rsidRDefault="008868C6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C17112" w:rsidRDefault="008868C6" w:rsidP="00C17112">
    <w:pPr>
      <w:pStyle w:val="Header"/>
    </w:pPr>
    <w:r>
      <w:rPr>
        <w:noProof/>
        <w:lang w:eastAsia="en-AU"/>
      </w:rPr>
      <w:drawing>
        <wp:inline distT="0" distB="0" distL="0" distR="0" wp14:anchorId="6F786B11" wp14:editId="79B05559">
          <wp:extent cx="2696845" cy="572135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094600" w:rsidRDefault="008868C6" w:rsidP="00094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28A7086"/>
    <w:multiLevelType w:val="hybridMultilevel"/>
    <w:tmpl w:val="01B85BBA"/>
    <w:lvl w:ilvl="0" w:tplc="7DC0A7B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>
    <w:nsid w:val="286573C2"/>
    <w:multiLevelType w:val="hybridMultilevel"/>
    <w:tmpl w:val="325C7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E42E53"/>
    <w:multiLevelType w:val="hybridMultilevel"/>
    <w:tmpl w:val="51F81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45E35"/>
    <w:multiLevelType w:val="hybridMultilevel"/>
    <w:tmpl w:val="10FABF96"/>
    <w:lvl w:ilvl="0" w:tplc="AA4A7A52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2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EA63D9"/>
    <w:multiLevelType w:val="hybridMultilevel"/>
    <w:tmpl w:val="7ADA6986"/>
    <w:lvl w:ilvl="0" w:tplc="7F6A985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9"/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"/>
  </w:num>
  <w:num w:numId="21">
    <w:abstractNumId w:val="12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attachedTemplate r:id="rId1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1E"/>
    <w:rsid w:val="00002D5D"/>
    <w:rsid w:val="00016808"/>
    <w:rsid w:val="00040DCE"/>
    <w:rsid w:val="00072752"/>
    <w:rsid w:val="00074387"/>
    <w:rsid w:val="00080168"/>
    <w:rsid w:val="00094600"/>
    <w:rsid w:val="00096F3A"/>
    <w:rsid w:val="000A780B"/>
    <w:rsid w:val="000C1A75"/>
    <w:rsid w:val="000E6ABF"/>
    <w:rsid w:val="000F5B07"/>
    <w:rsid w:val="00116D25"/>
    <w:rsid w:val="001278D0"/>
    <w:rsid w:val="00134B62"/>
    <w:rsid w:val="0014239B"/>
    <w:rsid w:val="00146B64"/>
    <w:rsid w:val="00175929"/>
    <w:rsid w:val="00176A13"/>
    <w:rsid w:val="001845F5"/>
    <w:rsid w:val="001A02D1"/>
    <w:rsid w:val="001A1666"/>
    <w:rsid w:val="001F65F2"/>
    <w:rsid w:val="002042DA"/>
    <w:rsid w:val="00220BE5"/>
    <w:rsid w:val="002422A3"/>
    <w:rsid w:val="002433E2"/>
    <w:rsid w:val="00253199"/>
    <w:rsid w:val="0025349E"/>
    <w:rsid w:val="0029187A"/>
    <w:rsid w:val="002F773C"/>
    <w:rsid w:val="0031118B"/>
    <w:rsid w:val="00315E34"/>
    <w:rsid w:val="00326DE2"/>
    <w:rsid w:val="00351D1E"/>
    <w:rsid w:val="00357B47"/>
    <w:rsid w:val="00357D4C"/>
    <w:rsid w:val="00361B22"/>
    <w:rsid w:val="003630D5"/>
    <w:rsid w:val="00393A74"/>
    <w:rsid w:val="003F6BFD"/>
    <w:rsid w:val="003F73CA"/>
    <w:rsid w:val="00411531"/>
    <w:rsid w:val="00440E32"/>
    <w:rsid w:val="0044566C"/>
    <w:rsid w:val="00461597"/>
    <w:rsid w:val="004801CD"/>
    <w:rsid w:val="00485374"/>
    <w:rsid w:val="00497FD5"/>
    <w:rsid w:val="004B1BC1"/>
    <w:rsid w:val="004B6C7A"/>
    <w:rsid w:val="004C283B"/>
    <w:rsid w:val="004C54E6"/>
    <w:rsid w:val="004D13ED"/>
    <w:rsid w:val="004D5525"/>
    <w:rsid w:val="004F2C57"/>
    <w:rsid w:val="004F4048"/>
    <w:rsid w:val="004F638D"/>
    <w:rsid w:val="005035DA"/>
    <w:rsid w:val="00507897"/>
    <w:rsid w:val="00515A85"/>
    <w:rsid w:val="005369C9"/>
    <w:rsid w:val="00545F24"/>
    <w:rsid w:val="0055581F"/>
    <w:rsid w:val="0056229A"/>
    <w:rsid w:val="00570154"/>
    <w:rsid w:val="00570B5A"/>
    <w:rsid w:val="005A687A"/>
    <w:rsid w:val="005B6A48"/>
    <w:rsid w:val="005C1429"/>
    <w:rsid w:val="005C6967"/>
    <w:rsid w:val="005D6508"/>
    <w:rsid w:val="005E3562"/>
    <w:rsid w:val="005E5AE8"/>
    <w:rsid w:val="005F362D"/>
    <w:rsid w:val="005F5CEB"/>
    <w:rsid w:val="005F7DE0"/>
    <w:rsid w:val="006312C7"/>
    <w:rsid w:val="00640346"/>
    <w:rsid w:val="00660385"/>
    <w:rsid w:val="00662E65"/>
    <w:rsid w:val="0066665A"/>
    <w:rsid w:val="00682372"/>
    <w:rsid w:val="00692DD8"/>
    <w:rsid w:val="006A648A"/>
    <w:rsid w:val="006B3C9B"/>
    <w:rsid w:val="006C1668"/>
    <w:rsid w:val="006F0CE9"/>
    <w:rsid w:val="00711DBE"/>
    <w:rsid w:val="007202A8"/>
    <w:rsid w:val="0075751E"/>
    <w:rsid w:val="00766575"/>
    <w:rsid w:val="007A501A"/>
    <w:rsid w:val="007B029A"/>
    <w:rsid w:val="007D33AA"/>
    <w:rsid w:val="007D4CB8"/>
    <w:rsid w:val="007F48AF"/>
    <w:rsid w:val="007F7BCF"/>
    <w:rsid w:val="008030EC"/>
    <w:rsid w:val="00811D6D"/>
    <w:rsid w:val="008426E1"/>
    <w:rsid w:val="00844776"/>
    <w:rsid w:val="00851B4A"/>
    <w:rsid w:val="00870DDE"/>
    <w:rsid w:val="0087182D"/>
    <w:rsid w:val="008850D9"/>
    <w:rsid w:val="008868C6"/>
    <w:rsid w:val="00890219"/>
    <w:rsid w:val="00890AB4"/>
    <w:rsid w:val="008A4578"/>
    <w:rsid w:val="008C03C3"/>
    <w:rsid w:val="008D3909"/>
    <w:rsid w:val="008F588A"/>
    <w:rsid w:val="008F7189"/>
    <w:rsid w:val="00902D2D"/>
    <w:rsid w:val="00915804"/>
    <w:rsid w:val="00921611"/>
    <w:rsid w:val="00957285"/>
    <w:rsid w:val="009573AF"/>
    <w:rsid w:val="009804E8"/>
    <w:rsid w:val="0099552D"/>
    <w:rsid w:val="009963ED"/>
    <w:rsid w:val="009C72B0"/>
    <w:rsid w:val="009D4063"/>
    <w:rsid w:val="009F1D2D"/>
    <w:rsid w:val="009F2DA0"/>
    <w:rsid w:val="009F679B"/>
    <w:rsid w:val="00A2386D"/>
    <w:rsid w:val="00A2721F"/>
    <w:rsid w:val="00A334BE"/>
    <w:rsid w:val="00A41BD3"/>
    <w:rsid w:val="00A43017"/>
    <w:rsid w:val="00A449C2"/>
    <w:rsid w:val="00A6447B"/>
    <w:rsid w:val="00A93027"/>
    <w:rsid w:val="00AA3D6F"/>
    <w:rsid w:val="00AB27D0"/>
    <w:rsid w:val="00AB6F7D"/>
    <w:rsid w:val="00AC7878"/>
    <w:rsid w:val="00AD493E"/>
    <w:rsid w:val="00AF65BA"/>
    <w:rsid w:val="00B06055"/>
    <w:rsid w:val="00B22B7C"/>
    <w:rsid w:val="00B231F3"/>
    <w:rsid w:val="00B23FF6"/>
    <w:rsid w:val="00B44D8A"/>
    <w:rsid w:val="00B60425"/>
    <w:rsid w:val="00B73AC8"/>
    <w:rsid w:val="00B747A7"/>
    <w:rsid w:val="00BC559C"/>
    <w:rsid w:val="00BD0938"/>
    <w:rsid w:val="00BF14B0"/>
    <w:rsid w:val="00BF331E"/>
    <w:rsid w:val="00BF4BDC"/>
    <w:rsid w:val="00C04988"/>
    <w:rsid w:val="00C17112"/>
    <w:rsid w:val="00C24267"/>
    <w:rsid w:val="00C52007"/>
    <w:rsid w:val="00CA5D42"/>
    <w:rsid w:val="00CB40E1"/>
    <w:rsid w:val="00CB41CC"/>
    <w:rsid w:val="00CD4960"/>
    <w:rsid w:val="00CE4A86"/>
    <w:rsid w:val="00CF6DB6"/>
    <w:rsid w:val="00D05F49"/>
    <w:rsid w:val="00D064F3"/>
    <w:rsid w:val="00D134CA"/>
    <w:rsid w:val="00D35393"/>
    <w:rsid w:val="00D36668"/>
    <w:rsid w:val="00D56DFD"/>
    <w:rsid w:val="00D6088E"/>
    <w:rsid w:val="00D6098F"/>
    <w:rsid w:val="00D71A84"/>
    <w:rsid w:val="00D71D89"/>
    <w:rsid w:val="00D75CBE"/>
    <w:rsid w:val="00DA1C8A"/>
    <w:rsid w:val="00DB44F0"/>
    <w:rsid w:val="00DC1963"/>
    <w:rsid w:val="00DD109E"/>
    <w:rsid w:val="00DD3E18"/>
    <w:rsid w:val="00E034C5"/>
    <w:rsid w:val="00E0720C"/>
    <w:rsid w:val="00E12103"/>
    <w:rsid w:val="00E15AAE"/>
    <w:rsid w:val="00E21184"/>
    <w:rsid w:val="00E40B8B"/>
    <w:rsid w:val="00E478FD"/>
    <w:rsid w:val="00E5742E"/>
    <w:rsid w:val="00E62B38"/>
    <w:rsid w:val="00E639A4"/>
    <w:rsid w:val="00EA0BFB"/>
    <w:rsid w:val="00EA265F"/>
    <w:rsid w:val="00ED26F3"/>
    <w:rsid w:val="00ED43FF"/>
    <w:rsid w:val="00EF1D6A"/>
    <w:rsid w:val="00EF2E51"/>
    <w:rsid w:val="00EF64C8"/>
    <w:rsid w:val="00F00B83"/>
    <w:rsid w:val="00F12E61"/>
    <w:rsid w:val="00F31E24"/>
    <w:rsid w:val="00F52474"/>
    <w:rsid w:val="00F5529D"/>
    <w:rsid w:val="00F5669E"/>
    <w:rsid w:val="00F75D33"/>
    <w:rsid w:val="00F83E8B"/>
    <w:rsid w:val="00F954CF"/>
    <w:rsid w:val="00FA18FF"/>
    <w:rsid w:val="00FC6579"/>
    <w:rsid w:val="00FD3FB3"/>
    <w:rsid w:val="00FE0CE6"/>
    <w:rsid w:val="00FE6904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231F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1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7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51E"/>
    <w:pPr>
      <w:spacing w:before="24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51E"/>
    <w:rPr>
      <w:rFonts w:ascii="Times New Roman" w:hAnsi="Times New Roman" w:cs="Times New Roman"/>
      <w:sz w:val="20"/>
      <w:szCs w:val="20"/>
    </w:rPr>
  </w:style>
  <w:style w:type="character" w:styleId="IntenseReference">
    <w:name w:val="Intense Reference"/>
    <w:aliases w:val="DLM format"/>
    <w:basedOn w:val="DefaultParagraphFont"/>
    <w:uiPriority w:val="32"/>
    <w:qFormat/>
    <w:rsid w:val="0075751E"/>
    <w:rPr>
      <w:rFonts w:ascii="Arial" w:hAnsi="Arial"/>
      <w:b/>
      <w:bCs/>
      <w:color w:val="FF0000"/>
      <w:spacing w:val="5"/>
      <w:sz w:val="28"/>
      <w:szCs w:val="28"/>
    </w:rPr>
  </w:style>
  <w:style w:type="paragraph" w:customStyle="1" w:styleId="Proformatext">
    <w:name w:val="Pro forma text"/>
    <w:basedOn w:val="Normal"/>
    <w:rsid w:val="00F83E8B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customStyle="1" w:styleId="Tableheading0">
    <w:name w:val="Table heading"/>
    <w:basedOn w:val="Caption"/>
    <w:link w:val="TableheadingChar"/>
    <w:qFormat/>
    <w:rsid w:val="00B231F3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B231F3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B231F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2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21F"/>
    <w:pPr>
      <w:spacing w:before="114" w:after="114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21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231F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1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7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51E"/>
    <w:pPr>
      <w:spacing w:before="24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51E"/>
    <w:rPr>
      <w:rFonts w:ascii="Times New Roman" w:hAnsi="Times New Roman" w:cs="Times New Roman"/>
      <w:sz w:val="20"/>
      <w:szCs w:val="20"/>
    </w:rPr>
  </w:style>
  <w:style w:type="character" w:styleId="IntenseReference">
    <w:name w:val="Intense Reference"/>
    <w:aliases w:val="DLM format"/>
    <w:basedOn w:val="DefaultParagraphFont"/>
    <w:uiPriority w:val="32"/>
    <w:qFormat/>
    <w:rsid w:val="0075751E"/>
    <w:rPr>
      <w:rFonts w:ascii="Arial" w:hAnsi="Arial"/>
      <w:b/>
      <w:bCs/>
      <w:color w:val="FF0000"/>
      <w:spacing w:val="5"/>
      <w:sz w:val="28"/>
      <w:szCs w:val="28"/>
    </w:rPr>
  </w:style>
  <w:style w:type="paragraph" w:customStyle="1" w:styleId="Proformatext">
    <w:name w:val="Pro forma text"/>
    <w:basedOn w:val="Normal"/>
    <w:rsid w:val="00F83E8B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customStyle="1" w:styleId="Tableheading0">
    <w:name w:val="Table heading"/>
    <w:basedOn w:val="Caption"/>
    <w:link w:val="TableheadingChar"/>
    <w:qFormat/>
    <w:rsid w:val="00B231F3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B231F3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B231F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2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21F"/>
    <w:pPr>
      <w:spacing w:before="114" w:after="114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21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E73400-EBE8-4462-B728-E7992E97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337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GRN038 - Antarctic and Southern Ocean Policy - 28 June 2016</vt:lpstr>
    </vt:vector>
  </TitlesOfParts>
  <Company>Parliament of Australia</Company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GRN038 - Antarctic and Southern Ocean Policy - 28 June 2016</dc:title>
  <dc:creator>Parliamentary Budget Office</dc:creator>
  <cp:lastModifiedBy>Milligan, Louise (PBO)</cp:lastModifiedBy>
  <cp:revision>110</cp:revision>
  <cp:lastPrinted>2016-06-28T11:02:00Z</cp:lastPrinted>
  <dcterms:created xsi:type="dcterms:W3CDTF">2016-06-21T01:50:00Z</dcterms:created>
  <dcterms:modified xsi:type="dcterms:W3CDTF">2016-06-28T11:47:00Z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