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D72B9C" w:rsidP="00372AEB">
      <w:pPr>
        <w:pStyle w:val="Lettertext"/>
        <w:spacing w:before="1560"/>
      </w:pPr>
      <w:r>
        <w:t xml:space="preserve">Senator Richard Di Natale </w:t>
      </w:r>
    </w:p>
    <w:p w:rsidR="00040DCE" w:rsidRPr="00002D5D" w:rsidRDefault="00D72B9C" w:rsidP="00372AEB">
      <w:pPr>
        <w:pStyle w:val="Lettertext"/>
        <w:spacing w:before="0"/>
      </w:pPr>
      <w:r>
        <w:t>Leader of the Australian Greens</w:t>
      </w:r>
    </w:p>
    <w:p w:rsidR="00040DCE" w:rsidRPr="00002D5D" w:rsidRDefault="005C6967" w:rsidP="00372AEB">
      <w:pPr>
        <w:pStyle w:val="Lettertext"/>
        <w:spacing w:before="0"/>
      </w:pPr>
      <w:r>
        <w:t>Parliament House</w:t>
      </w:r>
    </w:p>
    <w:p w:rsidR="00040DCE" w:rsidRPr="00002D5D" w:rsidRDefault="005C6967" w:rsidP="00372AEB">
      <w:pPr>
        <w:pStyle w:val="Lettertext"/>
        <w:spacing w:before="0"/>
      </w:pPr>
      <w:proofErr w:type="gramStart"/>
      <w:r>
        <w:t>CANBERRA  ACT</w:t>
      </w:r>
      <w:proofErr w:type="gramEnd"/>
      <w:r>
        <w:t xml:space="preserve">  2600</w:t>
      </w:r>
    </w:p>
    <w:p w:rsidR="00040DCE" w:rsidRPr="00002D5D" w:rsidRDefault="00040DCE" w:rsidP="00372AEB">
      <w:pPr>
        <w:pStyle w:val="Lettertext"/>
        <w:spacing w:before="480"/>
      </w:pPr>
      <w:r w:rsidRPr="00002D5D">
        <w:t xml:space="preserve">Dear </w:t>
      </w:r>
      <w:r w:rsidR="00D72B9C">
        <w:t>Senator Di Natale</w:t>
      </w:r>
    </w:p>
    <w:p w:rsidR="00040DCE" w:rsidRPr="00002D5D" w:rsidRDefault="00040DCE" w:rsidP="00372AEB">
      <w:pPr>
        <w:pStyle w:val="Lettertext"/>
      </w:pPr>
      <w:r w:rsidRPr="00002D5D">
        <w:t xml:space="preserve">Please find attached a response to your costing request, </w:t>
      </w:r>
      <w:r w:rsidR="00D72B9C" w:rsidRPr="00D72B9C">
        <w:rPr>
          <w:i/>
        </w:rPr>
        <w:t>Innovation – Driving research and development through the Future Fund</w:t>
      </w:r>
      <w:r w:rsidRPr="00002D5D">
        <w:t xml:space="preserve"> (letter of </w:t>
      </w:r>
      <w:r w:rsidR="00D72B9C">
        <w:t>28 June</w:t>
      </w:r>
      <w:r w:rsidRPr="00002D5D">
        <w:t xml:space="preserve"> 2016).</w:t>
      </w:r>
    </w:p>
    <w:p w:rsidR="00040DCE" w:rsidRPr="00002D5D" w:rsidRDefault="00040DCE" w:rsidP="00372AEB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372AEB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372AEB">
      <w:pPr>
        <w:pStyle w:val="Lettertext"/>
      </w:pPr>
      <w:r w:rsidRPr="00002D5D">
        <w:t>Yours sincerely</w:t>
      </w:r>
    </w:p>
    <w:p w:rsidR="00040DCE" w:rsidRPr="00002D5D" w:rsidRDefault="00DA1C8A" w:rsidP="00372AEB">
      <w:pPr>
        <w:pStyle w:val="Lettertext"/>
        <w:spacing w:before="960"/>
      </w:pPr>
      <w:r w:rsidRPr="00002D5D">
        <w:t>Phil Bowen</w:t>
      </w:r>
    </w:p>
    <w:p w:rsidR="00096F3A" w:rsidRPr="00002D5D" w:rsidRDefault="00C8225E" w:rsidP="00C8225E">
      <w:pPr>
        <w:pStyle w:val="Lettertext"/>
        <w:spacing w:before="120"/>
      </w:pPr>
      <w:r>
        <w:t xml:space="preserve">29 </w:t>
      </w:r>
      <w:r w:rsidR="004310C3">
        <w:t>June</w:t>
      </w:r>
      <w:r w:rsidR="00040DCE" w:rsidRPr="00002D5D">
        <w:t xml:space="preserve"> </w:t>
      </w:r>
      <w:r w:rsidR="00DA1C8A" w:rsidRPr="00002D5D"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5D4BE1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5D4BE1" w:rsidRDefault="004D5525" w:rsidP="004D5525">
            <w:pPr>
              <w:pStyle w:val="BodyText"/>
              <w:rPr>
                <w:sz w:val="22"/>
              </w:rPr>
            </w:pPr>
            <w:r w:rsidRPr="005D4BE1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5D4BE1" w:rsidRDefault="00422737" w:rsidP="00422737">
            <w:pPr>
              <w:pStyle w:val="BodyText"/>
              <w:rPr>
                <w:sz w:val="22"/>
              </w:rPr>
            </w:pPr>
            <w:r w:rsidRPr="005D4BE1">
              <w:rPr>
                <w:sz w:val="22"/>
              </w:rPr>
              <w:t>Innova</w:t>
            </w:r>
            <w:bookmarkStart w:id="0" w:name="_GoBack"/>
            <w:bookmarkEnd w:id="0"/>
            <w:r w:rsidRPr="005D4BE1">
              <w:rPr>
                <w:sz w:val="22"/>
              </w:rPr>
              <w:t>tion – Driving research and development through the Future Fund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4D5525" w:rsidRDefault="004310C3" w:rsidP="00460E62">
            <w:pPr>
              <w:pStyle w:val="BodyText"/>
            </w:pPr>
            <w:r>
              <w:t>This</w:t>
            </w:r>
            <w:r w:rsidR="004D5525" w:rsidRPr="00422737">
              <w:t xml:space="preserve"> proposal would </w:t>
            </w:r>
            <w:r w:rsidR="006662B6">
              <w:t>require 3 per cent</w:t>
            </w:r>
            <w:r w:rsidR="00422737" w:rsidRPr="00422737">
              <w:t xml:space="preserve"> of the Future Fund’s </w:t>
            </w:r>
            <w:r w:rsidR="00F566FD">
              <w:t xml:space="preserve">total </w:t>
            </w:r>
            <w:r w:rsidR="009E1A37">
              <w:t>asset holdings</w:t>
            </w:r>
            <w:r w:rsidR="00422737" w:rsidRPr="00422737">
              <w:t xml:space="preserve"> to be dedicated to Australian innovation</w:t>
            </w:r>
            <w:r w:rsidR="00E856E0">
              <w:t>, venture capital</w:t>
            </w:r>
            <w:r w:rsidR="00422737" w:rsidRPr="00422737">
              <w:t xml:space="preserve"> and impact investing</w:t>
            </w:r>
            <w:r w:rsidR="00A36AC6">
              <w:t>.</w:t>
            </w:r>
          </w:p>
          <w:p w:rsidR="00F566FD" w:rsidRDefault="00F566FD" w:rsidP="00460E62">
            <w:pPr>
              <w:pStyle w:val="BodyText"/>
            </w:pPr>
            <w:r>
              <w:t>This proposal would commence on 1 September 2016.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422737" w:rsidP="004D5525">
            <w:pPr>
              <w:pStyle w:val="BodyText"/>
            </w:pPr>
            <w:r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D3577" w:rsidRPr="00C17112" w:rsidRDefault="00422737" w:rsidP="00422737">
            <w:pPr>
              <w:pStyle w:val="BodyText"/>
            </w:pPr>
            <w:r>
              <w:t>21 May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422737" w:rsidP="004D5525">
            <w:pPr>
              <w:pStyle w:val="BodyText"/>
            </w:pPr>
            <w:r>
              <w:t>28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</w:p>
        </w:tc>
        <w:tc>
          <w:tcPr>
            <w:tcW w:w="5335" w:type="dxa"/>
          </w:tcPr>
          <w:p w:rsidR="004D5525" w:rsidRPr="00C17112" w:rsidRDefault="00460E62" w:rsidP="004D5525">
            <w:pPr>
              <w:pStyle w:val="BodyText"/>
            </w:pPr>
            <w:r>
              <w:t>29</w:t>
            </w:r>
            <w:r w:rsidR="00422737">
              <w:t xml:space="preserve"> June 2016</w:t>
            </w:r>
          </w:p>
        </w:tc>
      </w:tr>
      <w:tr w:rsidR="00624DFE" w:rsidRPr="00C17112" w:rsidTr="00171B4B">
        <w:tc>
          <w:tcPr>
            <w:tcW w:w="3005" w:type="dxa"/>
          </w:tcPr>
          <w:p w:rsidR="00624DFE" w:rsidRDefault="00624DFE" w:rsidP="00171B4B">
            <w:pPr>
              <w:pStyle w:val="BodyText"/>
            </w:pPr>
            <w:r>
              <w:t>Additional information requested (including date):</w:t>
            </w:r>
          </w:p>
        </w:tc>
        <w:tc>
          <w:tcPr>
            <w:tcW w:w="5335" w:type="dxa"/>
          </w:tcPr>
          <w:p w:rsidR="00624DFE" w:rsidRPr="00C17112" w:rsidRDefault="00624DFE" w:rsidP="00EA2D60">
            <w:pPr>
              <w:pStyle w:val="BodyText"/>
            </w:pPr>
            <w:r>
              <w:t xml:space="preserve">On 28 June 2016, the Parliamentary Budget Office contacted advisers in Senator Di </w:t>
            </w:r>
            <w:proofErr w:type="spellStart"/>
            <w:r>
              <w:t>Natale’s</w:t>
            </w:r>
            <w:proofErr w:type="spellEnd"/>
            <w:r>
              <w:t xml:space="preserve"> office to clarify the amount of the Future Fund’s investments that would be subject to the</w:t>
            </w:r>
            <w:r w:rsidR="00EA2D60">
              <w:t xml:space="preserve"> 3 per cent requirement</w:t>
            </w:r>
            <w:r>
              <w:t>.</w:t>
            </w:r>
          </w:p>
        </w:tc>
      </w:tr>
      <w:tr w:rsidR="00624DFE" w:rsidRPr="00C17112" w:rsidTr="00171B4B">
        <w:tc>
          <w:tcPr>
            <w:tcW w:w="3005" w:type="dxa"/>
          </w:tcPr>
          <w:p w:rsidR="00624DFE" w:rsidRDefault="00624DFE" w:rsidP="00171B4B">
            <w:pPr>
              <w:pStyle w:val="BodyText"/>
            </w:pPr>
            <w:r>
              <w:t>Additional information received (including date):</w:t>
            </w:r>
          </w:p>
        </w:tc>
        <w:tc>
          <w:tcPr>
            <w:tcW w:w="5335" w:type="dxa"/>
          </w:tcPr>
          <w:p w:rsidR="00624DFE" w:rsidRPr="00C17112" w:rsidRDefault="00624DFE" w:rsidP="007D35E8">
            <w:pPr>
              <w:pStyle w:val="BodyText"/>
              <w:rPr>
                <w:highlight w:val="yellow"/>
              </w:rPr>
            </w:pPr>
            <w:r w:rsidRPr="00624DFE">
              <w:t>On 28 June</w:t>
            </w:r>
            <w:r w:rsidR="009E1A37">
              <w:t xml:space="preserve"> 2016</w:t>
            </w:r>
            <w:r w:rsidRPr="00624DFE">
              <w:t xml:space="preserve">, Senator Di </w:t>
            </w:r>
            <w:proofErr w:type="spellStart"/>
            <w:r w:rsidRPr="00624DFE">
              <w:t>Natale’s</w:t>
            </w:r>
            <w:proofErr w:type="spellEnd"/>
            <w:r w:rsidRPr="00624DFE">
              <w:t xml:space="preserve"> office confirmed that the proposal would require the Future Fund to dedicate 3 per cent of its </w:t>
            </w:r>
            <w:r w:rsidRPr="00EA2D60">
              <w:t>total</w:t>
            </w:r>
            <w:r w:rsidR="009E1A37" w:rsidRPr="00EA2D60">
              <w:t xml:space="preserve"> asse</w:t>
            </w:r>
            <w:r w:rsidRPr="00EA2D60">
              <w:t>t</w:t>
            </w:r>
            <w:r w:rsidR="009E1A37" w:rsidRPr="00EA2D60">
              <w:t xml:space="preserve"> holdings</w:t>
            </w:r>
            <w:r w:rsidRPr="00624DFE">
              <w:t xml:space="preserve"> to Australian innovation, venture capital and impact investing</w:t>
            </w:r>
            <w:r>
              <w:t xml:space="preserve"> (approximately $15 billion over 4 years)</w:t>
            </w:r>
            <w:r w:rsidRPr="00624DFE"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422737" w:rsidRDefault="00422737" w:rsidP="00422737">
      <w:r w:rsidRPr="00704467">
        <w:t xml:space="preserve">This proposal would not be expected to have an impact on the </w:t>
      </w:r>
      <w:r w:rsidR="00E33E43">
        <w:t xml:space="preserve">fiscal or </w:t>
      </w:r>
      <w:r w:rsidRPr="00704467">
        <w:t>underlying cash balances as it represents a redirection of existing investment</w:t>
      </w:r>
      <w:r w:rsidR="004E27EC">
        <w:t>s</w:t>
      </w:r>
      <w:r w:rsidR="000D62A6">
        <w:t xml:space="preserve"> which would be </w:t>
      </w:r>
      <w:r w:rsidR="008765DA">
        <w:t xml:space="preserve">unlikely to have a </w:t>
      </w:r>
      <w:r w:rsidR="000D62A6">
        <w:t>material impact on the Future Fund</w:t>
      </w:r>
      <w:r w:rsidR="001E5CDA">
        <w:t>’</w:t>
      </w:r>
      <w:r w:rsidR="000D62A6">
        <w:t>s overall rate of return on investment.</w:t>
      </w:r>
    </w:p>
    <w:p w:rsidR="00F566FD" w:rsidRDefault="004310C3" w:rsidP="00F566FD">
      <w:r w:rsidRPr="00704467">
        <w:t>This costing is cons</w:t>
      </w:r>
      <w:r w:rsidR="00E856E0">
        <w:t xml:space="preserve">idered to be of </w:t>
      </w:r>
      <w:r w:rsidR="000D62A6">
        <w:t xml:space="preserve">medium </w:t>
      </w:r>
      <w:r w:rsidR="00E856E0">
        <w:t>reliability</w:t>
      </w:r>
      <w:r w:rsidR="00F566FD">
        <w:t xml:space="preserve">.  </w:t>
      </w:r>
      <w:r w:rsidR="00F566FD" w:rsidRPr="00704467">
        <w:t>The costing relies on the assumption that the</w:t>
      </w:r>
      <w:r w:rsidR="00F566FD">
        <w:t xml:space="preserve"> Future Fund</w:t>
      </w:r>
      <w:r w:rsidR="00F566FD" w:rsidRPr="00704467">
        <w:t xml:space="preserve"> would</w:t>
      </w:r>
      <w:r w:rsidR="000D62A6">
        <w:t xml:space="preserve"> continue to</w:t>
      </w:r>
      <w:r w:rsidR="00F566FD" w:rsidRPr="00704467">
        <w:t xml:space="preserve"> achieve the same rate of return</w:t>
      </w:r>
      <w:r w:rsidR="00F566FD">
        <w:t xml:space="preserve"> on its</w:t>
      </w:r>
      <w:r w:rsidR="000D62A6">
        <w:t xml:space="preserve"> investments overall</w:t>
      </w:r>
      <w:r w:rsidR="00F566FD" w:rsidRPr="00704467">
        <w:t>.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CF7D9A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A265F" w:rsidRPr="00B73AC8" w:rsidTr="00EA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A265F" w:rsidRPr="00B73AC8" w:rsidRDefault="00EA265F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A265F" w:rsidRPr="00B73AC8" w:rsidRDefault="004310C3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EA265F" w:rsidRPr="00B73AC8" w:rsidRDefault="004310C3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EA265F" w:rsidRPr="00B73AC8" w:rsidRDefault="004310C3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EA265F" w:rsidRPr="00B73AC8" w:rsidRDefault="004310C3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1" w:type="pct"/>
          </w:tcPr>
          <w:p w:rsidR="00EA265F" w:rsidRPr="00F97DFF" w:rsidRDefault="004310C3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</w:t>
            </w:r>
          </w:p>
        </w:tc>
      </w:tr>
      <w:tr w:rsidR="00692DD8" w:rsidRPr="00B73AC8" w:rsidTr="00EA2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CA5D42" w:rsidRPr="00B73AC8" w:rsidRDefault="00CA5D42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CA5D42" w:rsidRPr="00B73AC8" w:rsidRDefault="004310C3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CA5D42" w:rsidRPr="00B73AC8" w:rsidRDefault="004310C3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CA5D42" w:rsidRPr="00B73AC8" w:rsidRDefault="004310C3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CA5D42" w:rsidRPr="00B73AC8" w:rsidRDefault="004310C3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1" w:type="pct"/>
          </w:tcPr>
          <w:p w:rsidR="00CA5D42" w:rsidRPr="00F97DFF" w:rsidRDefault="004310C3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</w:t>
            </w:r>
          </w:p>
        </w:tc>
      </w:tr>
    </w:tbl>
    <w:p w:rsidR="004310C3" w:rsidRPr="00CA5D42" w:rsidRDefault="004310C3" w:rsidP="004310C3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F566FD" w:rsidRDefault="009E1A37" w:rsidP="00F566FD">
      <w:pPr>
        <w:pStyle w:val="Bullet1"/>
      </w:pPr>
      <w:r>
        <w:t>T</w:t>
      </w:r>
      <w:r w:rsidR="00F566FD" w:rsidRPr="00E856E0">
        <w:t>here would be no impact on departmental costs as the aggregate investment of the Future Fund would not change</w:t>
      </w:r>
      <w:r w:rsidR="00F566FD">
        <w:t>.</w:t>
      </w:r>
    </w:p>
    <w:p w:rsidR="00F566FD" w:rsidRPr="00704467" w:rsidRDefault="009E1A37" w:rsidP="00F566FD">
      <w:pPr>
        <w:pStyle w:val="ListBullet"/>
      </w:pPr>
      <w:r>
        <w:t>T</w:t>
      </w:r>
      <w:r w:rsidR="00F566FD" w:rsidRPr="00704467">
        <w:t xml:space="preserve">here would be no costs or barriers to redirecting 3 per cent of current </w:t>
      </w:r>
      <w:r w:rsidR="00F566FD">
        <w:t>Future Fund</w:t>
      </w:r>
      <w:r w:rsidR="00F566FD" w:rsidRPr="00704467">
        <w:t xml:space="preserve"> </w:t>
      </w:r>
      <w:r w:rsidR="004E27EC">
        <w:t>investments.</w:t>
      </w:r>
    </w:p>
    <w:p w:rsidR="00F566FD" w:rsidRPr="00704467" w:rsidRDefault="009E1A37" w:rsidP="00F566FD">
      <w:pPr>
        <w:pStyle w:val="Bullet1"/>
      </w:pPr>
      <w:r>
        <w:t>N</w:t>
      </w:r>
      <w:r w:rsidR="00F566FD" w:rsidRPr="00704467">
        <w:t>ew investments would</w:t>
      </w:r>
      <w:r w:rsidR="000D62A6">
        <w:t xml:space="preserve"> not materially alter the Future Fund</w:t>
      </w:r>
      <w:r w:rsidR="001E5CDA">
        <w:t>’</w:t>
      </w:r>
      <w:r w:rsidR="000D62A6">
        <w:t>s overall rate of return on investment.</w:t>
      </w:r>
    </w:p>
    <w:p w:rsidR="005E3562" w:rsidRPr="00FC6579" w:rsidRDefault="005E3562" w:rsidP="00E40B8B">
      <w:pPr>
        <w:pStyle w:val="Heading2"/>
      </w:pPr>
      <w:r w:rsidRPr="00FC6579">
        <w:t>Data sources</w:t>
      </w:r>
    </w:p>
    <w:p w:rsidR="004310C3" w:rsidRPr="004310C3" w:rsidRDefault="004310C3" w:rsidP="004310C3">
      <w:pPr>
        <w:pStyle w:val="Bullet1"/>
      </w:pPr>
      <w:r w:rsidRPr="004310C3">
        <w:t>Future Fund Investment Mandate</w:t>
      </w:r>
      <w:r>
        <w:t>, available at:</w:t>
      </w:r>
      <w:r w:rsidRPr="004310C3">
        <w:t xml:space="preserve"> </w:t>
      </w:r>
      <w:hyperlink r:id="rId13" w:history="1">
        <w:r w:rsidRPr="004310C3">
          <w:rPr>
            <w:rStyle w:val="Hyperlink"/>
          </w:rPr>
          <w:t>https://www.legislation.gov.au/Details/F2015L00104</w:t>
        </w:r>
      </w:hyperlink>
    </w:p>
    <w:sectPr w:rsidR="004310C3" w:rsidRPr="004310C3" w:rsidSect="00E856E0">
      <w:headerReference w:type="first" r:id="rId14"/>
      <w:footerReference w:type="first" r:id="rId15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9C" w:rsidRDefault="00D72B9C" w:rsidP="008F588A">
      <w:pPr>
        <w:spacing w:line="240" w:lineRule="auto"/>
      </w:pPr>
      <w:r>
        <w:separator/>
      </w:r>
    </w:p>
    <w:p w:rsidR="00D72B9C" w:rsidRDefault="00D72B9C"/>
  </w:endnote>
  <w:endnote w:type="continuationSeparator" w:id="0">
    <w:p w:rsidR="00D72B9C" w:rsidRDefault="00D72B9C" w:rsidP="008F588A">
      <w:pPr>
        <w:spacing w:line="240" w:lineRule="auto"/>
      </w:pPr>
      <w:r>
        <w:continuationSeparator/>
      </w:r>
    </w:p>
    <w:p w:rsidR="00D72B9C" w:rsidRDefault="00D72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9C" w:rsidRPr="00C24267" w:rsidRDefault="00D72B9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914BEA">
      <w:rPr>
        <w:noProof/>
      </w:rPr>
      <w:t>3</w:t>
    </w:r>
    <w:r w:rsidRPr="00C24267">
      <w:fldChar w:fldCharType="end"/>
    </w:r>
    <w:r w:rsidRPr="00C24267">
      <w:t xml:space="preserve"> of </w:t>
    </w:r>
    <w:r w:rsidR="00634DB9">
      <w:fldChar w:fldCharType="begin"/>
    </w:r>
    <w:r w:rsidR="00634DB9">
      <w:instrText xml:space="preserve"> NUMPAGES  \* Arabic  \* MERGEFORMAT </w:instrText>
    </w:r>
    <w:r w:rsidR="00634DB9">
      <w:fldChar w:fldCharType="separate"/>
    </w:r>
    <w:r w:rsidR="00914BEA">
      <w:rPr>
        <w:noProof/>
      </w:rPr>
      <w:t>3</w:t>
    </w:r>
    <w:r w:rsidR="00634D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9C" w:rsidRPr="00C24267" w:rsidRDefault="00D72B9C" w:rsidP="00C24267">
    <w:pPr>
      <w:pStyle w:val="Letterfooter"/>
    </w:pPr>
    <w:r w:rsidRPr="00C24267">
      <w:t>Parliamentary Budget Office   PO Box 6010   Parliament House   Canberra ACT 2600</w:t>
    </w:r>
  </w:p>
  <w:p w:rsidR="00D72B9C" w:rsidRPr="00C24267" w:rsidRDefault="00D72B9C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9C" w:rsidRPr="00C24267" w:rsidRDefault="00D72B9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914BEA">
      <w:rPr>
        <w:noProof/>
      </w:rPr>
      <w:t>2</w:t>
    </w:r>
    <w:r w:rsidRPr="00C24267">
      <w:fldChar w:fldCharType="end"/>
    </w:r>
    <w:r w:rsidRPr="00C24267">
      <w:t xml:space="preserve"> of </w:t>
    </w:r>
    <w:r w:rsidR="00634DB9">
      <w:fldChar w:fldCharType="begin"/>
    </w:r>
    <w:r w:rsidR="00634DB9">
      <w:instrText xml:space="preserve"> NUMPAGES  \* Arabic  \* MERGEFORMAT </w:instrText>
    </w:r>
    <w:r w:rsidR="00634DB9">
      <w:fldChar w:fldCharType="separate"/>
    </w:r>
    <w:r w:rsidR="00914BEA">
      <w:rPr>
        <w:noProof/>
      </w:rPr>
      <w:t>3</w:t>
    </w:r>
    <w:r w:rsidR="00634D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9C" w:rsidRDefault="00D72B9C" w:rsidP="008F588A">
      <w:pPr>
        <w:spacing w:line="240" w:lineRule="auto"/>
      </w:pPr>
      <w:r>
        <w:separator/>
      </w:r>
    </w:p>
    <w:p w:rsidR="00D72B9C" w:rsidRDefault="00D72B9C"/>
  </w:footnote>
  <w:footnote w:type="continuationSeparator" w:id="0">
    <w:p w:rsidR="00D72B9C" w:rsidRDefault="00D72B9C" w:rsidP="008F588A">
      <w:pPr>
        <w:spacing w:line="240" w:lineRule="auto"/>
      </w:pPr>
      <w:r>
        <w:continuationSeparator/>
      </w:r>
    </w:p>
    <w:p w:rsidR="00D72B9C" w:rsidRDefault="00D72B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9C" w:rsidRDefault="00D72B9C" w:rsidP="00CB40E1">
    <w:pPr>
      <w:pStyle w:val="Header"/>
    </w:pPr>
    <w:r>
      <w:rPr>
        <w:noProof/>
        <w:lang w:eastAsia="en-AU"/>
      </w:rPr>
      <w:drawing>
        <wp:inline distT="0" distB="0" distL="0" distR="0" wp14:anchorId="166CC723" wp14:editId="662056F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2B9C" w:rsidRPr="00DA1C8A" w:rsidRDefault="00D72B9C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9C" w:rsidRPr="00E105A0" w:rsidRDefault="00E105A0" w:rsidP="00E105A0">
    <w:pPr>
      <w:pStyle w:val="Header"/>
    </w:pPr>
    <w:r>
      <w:rPr>
        <w:noProof/>
        <w:lang w:eastAsia="en-AU"/>
      </w:rPr>
      <w:drawing>
        <wp:inline distT="0" distB="0" distL="0" distR="0" wp14:anchorId="0A70EF8B" wp14:editId="29A24DC9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C5E12A0"/>
    <w:multiLevelType w:val="hybridMultilevel"/>
    <w:tmpl w:val="71E26D08"/>
    <w:lvl w:ilvl="0" w:tplc="003A2C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3A2C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9C"/>
    <w:rsid w:val="00002D5D"/>
    <w:rsid w:val="00015FB2"/>
    <w:rsid w:val="00024933"/>
    <w:rsid w:val="00040DCE"/>
    <w:rsid w:val="00045C27"/>
    <w:rsid w:val="00060F22"/>
    <w:rsid w:val="00096F3A"/>
    <w:rsid w:val="000C1A75"/>
    <w:rsid w:val="000D62A6"/>
    <w:rsid w:val="001278D0"/>
    <w:rsid w:val="0014239B"/>
    <w:rsid w:val="001A02D1"/>
    <w:rsid w:val="001E5CDA"/>
    <w:rsid w:val="001F7D6A"/>
    <w:rsid w:val="00220BE5"/>
    <w:rsid w:val="002422A3"/>
    <w:rsid w:val="00315E34"/>
    <w:rsid w:val="00326DE2"/>
    <w:rsid w:val="00372AEB"/>
    <w:rsid w:val="003B474B"/>
    <w:rsid w:val="003D7744"/>
    <w:rsid w:val="003E4F5F"/>
    <w:rsid w:val="003F73CA"/>
    <w:rsid w:val="00410A2C"/>
    <w:rsid w:val="00422737"/>
    <w:rsid w:val="004310C3"/>
    <w:rsid w:val="00440E32"/>
    <w:rsid w:val="00460E62"/>
    <w:rsid w:val="00461597"/>
    <w:rsid w:val="00485374"/>
    <w:rsid w:val="004C283B"/>
    <w:rsid w:val="004D13ED"/>
    <w:rsid w:val="004D5525"/>
    <w:rsid w:val="004E27EC"/>
    <w:rsid w:val="005035DA"/>
    <w:rsid w:val="00507897"/>
    <w:rsid w:val="00515A85"/>
    <w:rsid w:val="00545F24"/>
    <w:rsid w:val="0055581F"/>
    <w:rsid w:val="0056229A"/>
    <w:rsid w:val="00570154"/>
    <w:rsid w:val="00570B5A"/>
    <w:rsid w:val="00587422"/>
    <w:rsid w:val="005B1A4A"/>
    <w:rsid w:val="005B7B75"/>
    <w:rsid w:val="005C6967"/>
    <w:rsid w:val="005D4BE1"/>
    <w:rsid w:val="005E3562"/>
    <w:rsid w:val="005F7DE0"/>
    <w:rsid w:val="00624DFE"/>
    <w:rsid w:val="00640346"/>
    <w:rsid w:val="00660385"/>
    <w:rsid w:val="00662E65"/>
    <w:rsid w:val="006662B6"/>
    <w:rsid w:val="0066665A"/>
    <w:rsid w:val="00692DD8"/>
    <w:rsid w:val="006F0CE9"/>
    <w:rsid w:val="007202A8"/>
    <w:rsid w:val="007229A9"/>
    <w:rsid w:val="007B029A"/>
    <w:rsid w:val="007D33AA"/>
    <w:rsid w:val="007D3577"/>
    <w:rsid w:val="007D35E8"/>
    <w:rsid w:val="007D64CD"/>
    <w:rsid w:val="007F7BCF"/>
    <w:rsid w:val="008030EC"/>
    <w:rsid w:val="00811D6D"/>
    <w:rsid w:val="008155FF"/>
    <w:rsid w:val="00817E8E"/>
    <w:rsid w:val="00841C3A"/>
    <w:rsid w:val="00844776"/>
    <w:rsid w:val="008765DA"/>
    <w:rsid w:val="008850D9"/>
    <w:rsid w:val="008908AF"/>
    <w:rsid w:val="008A4578"/>
    <w:rsid w:val="008B2B02"/>
    <w:rsid w:val="008C03C3"/>
    <w:rsid w:val="008D3909"/>
    <w:rsid w:val="008D6ECA"/>
    <w:rsid w:val="008F16AC"/>
    <w:rsid w:val="008F588A"/>
    <w:rsid w:val="00902D2D"/>
    <w:rsid w:val="009074EA"/>
    <w:rsid w:val="00914BEA"/>
    <w:rsid w:val="00915804"/>
    <w:rsid w:val="009236C3"/>
    <w:rsid w:val="00957285"/>
    <w:rsid w:val="009573AF"/>
    <w:rsid w:val="00977D7B"/>
    <w:rsid w:val="009963ED"/>
    <w:rsid w:val="009B61A2"/>
    <w:rsid w:val="009D4063"/>
    <w:rsid w:val="009D4404"/>
    <w:rsid w:val="009E1A37"/>
    <w:rsid w:val="00A36AC6"/>
    <w:rsid w:val="00A41BD3"/>
    <w:rsid w:val="00A449C2"/>
    <w:rsid w:val="00A65EA3"/>
    <w:rsid w:val="00A7322F"/>
    <w:rsid w:val="00AA3D6F"/>
    <w:rsid w:val="00AB55AE"/>
    <w:rsid w:val="00AB6F7D"/>
    <w:rsid w:val="00AC7878"/>
    <w:rsid w:val="00AD493E"/>
    <w:rsid w:val="00AD5692"/>
    <w:rsid w:val="00AE30B5"/>
    <w:rsid w:val="00AE5755"/>
    <w:rsid w:val="00B06055"/>
    <w:rsid w:val="00B44D8A"/>
    <w:rsid w:val="00B643F1"/>
    <w:rsid w:val="00B73AC8"/>
    <w:rsid w:val="00B747A7"/>
    <w:rsid w:val="00B76B21"/>
    <w:rsid w:val="00BA2BBF"/>
    <w:rsid w:val="00BC559C"/>
    <w:rsid w:val="00C17112"/>
    <w:rsid w:val="00C24267"/>
    <w:rsid w:val="00C8225E"/>
    <w:rsid w:val="00CA12A0"/>
    <w:rsid w:val="00CA5D42"/>
    <w:rsid w:val="00CB40E1"/>
    <w:rsid w:val="00CF6DB6"/>
    <w:rsid w:val="00CF7D9A"/>
    <w:rsid w:val="00D134CA"/>
    <w:rsid w:val="00D52D5F"/>
    <w:rsid w:val="00D72B9C"/>
    <w:rsid w:val="00D747D2"/>
    <w:rsid w:val="00D805AE"/>
    <w:rsid w:val="00D949A3"/>
    <w:rsid w:val="00DA1506"/>
    <w:rsid w:val="00DA1C8A"/>
    <w:rsid w:val="00DA3B55"/>
    <w:rsid w:val="00DB44F0"/>
    <w:rsid w:val="00DD109E"/>
    <w:rsid w:val="00DD3E18"/>
    <w:rsid w:val="00E105A0"/>
    <w:rsid w:val="00E12103"/>
    <w:rsid w:val="00E15AAE"/>
    <w:rsid w:val="00E21184"/>
    <w:rsid w:val="00E33E43"/>
    <w:rsid w:val="00E40B8B"/>
    <w:rsid w:val="00E4366D"/>
    <w:rsid w:val="00E5742E"/>
    <w:rsid w:val="00E856E0"/>
    <w:rsid w:val="00EA265F"/>
    <w:rsid w:val="00EA2D60"/>
    <w:rsid w:val="00EA5685"/>
    <w:rsid w:val="00ED43FF"/>
    <w:rsid w:val="00EE6600"/>
    <w:rsid w:val="00EF1D6A"/>
    <w:rsid w:val="00EF2E51"/>
    <w:rsid w:val="00F21865"/>
    <w:rsid w:val="00F31E24"/>
    <w:rsid w:val="00F4535C"/>
    <w:rsid w:val="00F52474"/>
    <w:rsid w:val="00F5529D"/>
    <w:rsid w:val="00F5669E"/>
    <w:rsid w:val="00F566FD"/>
    <w:rsid w:val="00F75D33"/>
    <w:rsid w:val="00F954CF"/>
    <w:rsid w:val="00F97DFF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8F16AC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F16AC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8F16AC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F16AC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F56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8F16AC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F16AC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8F16AC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F16AC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F56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slation.gov.au/Details/F2015L001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12AC6B-5668-4EE0-A1D3-00B64BA2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123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minute—during the caretaker period for a general election</vt:lpstr>
    </vt:vector>
  </TitlesOfParts>
  <Company>Parliament of Australia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minute—during the caretaker period for a general election</dc:title>
  <dc:creator>PBO@pbo.gov.au</dc:creator>
  <cp:lastModifiedBy>Milligan, Louise (PBO)</cp:lastModifiedBy>
  <cp:revision>22</cp:revision>
  <cp:lastPrinted>2016-06-29T05:06:00Z</cp:lastPrinted>
  <dcterms:created xsi:type="dcterms:W3CDTF">2016-06-28T06:45:00Z</dcterms:created>
  <dcterms:modified xsi:type="dcterms:W3CDTF">2016-06-29T07:07:00Z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