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76" w:rsidRDefault="008C2276" w:rsidP="008C2276">
      <w:pPr>
        <w:spacing w:before="1560"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Senator Richard Di Natale</w:t>
      </w:r>
    </w:p>
    <w:p w:rsidR="008C2276" w:rsidRPr="00002D5D" w:rsidRDefault="008C2276" w:rsidP="008C2276">
      <w:pPr>
        <w:spacing w:before="0" w:after="0" w:line="240" w:lineRule="auto"/>
        <w:rPr>
          <w:rFonts w:ascii="Times New Roman" w:hAnsi="Times New Roman" w:cs="Times New Roman"/>
          <w:sz w:val="24"/>
          <w:szCs w:val="24"/>
        </w:rPr>
      </w:pPr>
      <w:r>
        <w:rPr>
          <w:rFonts w:ascii="Times New Roman" w:hAnsi="Times New Roman" w:cs="Times New Roman"/>
          <w:sz w:val="24"/>
          <w:szCs w:val="24"/>
        </w:rPr>
        <w:t>Leader of the 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CANBERRA  ACT  2600</w:t>
      </w:r>
    </w:p>
    <w:p w:rsidR="00040DCE" w:rsidRPr="00002D5D" w:rsidRDefault="00040DCE" w:rsidP="00040DCE">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8C2276">
        <w:rPr>
          <w:rFonts w:ascii="Times New Roman" w:hAnsi="Times New Roman" w:cs="Times New Roman"/>
          <w:sz w:val="24"/>
          <w:szCs w:val="24"/>
        </w:rPr>
        <w:t>Senator Di Natale</w:t>
      </w:r>
    </w:p>
    <w:p w:rsidR="00040DCE" w:rsidRPr="00002D5D" w:rsidRDefault="00040DCE" w:rsidP="00C17112">
      <w:pPr>
        <w:pStyle w:val="Lettertext"/>
      </w:pPr>
      <w:r w:rsidRPr="00002D5D">
        <w:t xml:space="preserve">Please find attached a response to your costing request, </w:t>
      </w:r>
      <w:r w:rsidR="00A10F30" w:rsidRPr="00A10F30">
        <w:rPr>
          <w:i/>
        </w:rPr>
        <w:t xml:space="preserve">Reducing </w:t>
      </w:r>
      <w:r w:rsidR="00F83B16">
        <w:rPr>
          <w:i/>
        </w:rPr>
        <w:t>Student Debt</w:t>
      </w:r>
      <w:r w:rsidR="00F71866">
        <w:rPr>
          <w:i/>
        </w:rPr>
        <w:t xml:space="preserve"> </w:t>
      </w:r>
      <w:r w:rsidR="00FD1628">
        <w:t>(letter </w:t>
      </w:r>
      <w:r w:rsidR="00F71866">
        <w:t xml:space="preserve">of </w:t>
      </w:r>
      <w:r w:rsidR="004908C4">
        <w:t>2</w:t>
      </w:r>
      <w:r w:rsidR="00F71866">
        <w:t>8</w:t>
      </w:r>
      <w:r w:rsidR="00DF343C">
        <w:t xml:space="preserve"> </w:t>
      </w:r>
      <w:r w:rsidR="008C2276">
        <w:t>June</w:t>
      </w:r>
      <w:r w:rsidRPr="00002D5D">
        <w:t xml:space="preserve"> 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BA04D6" w:rsidP="00BA04D6">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28 </w:t>
      </w:r>
      <w:r w:rsidR="008C2276">
        <w:rPr>
          <w:rFonts w:ascii="Times New Roman" w:hAnsi="Times New Roman" w:cs="Times New Roman"/>
          <w:sz w:val="24"/>
          <w:szCs w:val="24"/>
        </w:rPr>
        <w:t>June</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headerReference w:type="default" r:id="rId10"/>
          <w:footerReference w:type="default" r:id="rId11"/>
          <w:headerReference w:type="first" r:id="rId12"/>
          <w:footerReference w:type="first" r:id="rId13"/>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340" w:type="dxa"/>
        <w:tblLook w:val="04A0" w:firstRow="1" w:lastRow="0" w:firstColumn="1" w:lastColumn="0" w:noHBand="0" w:noVBand="1"/>
      </w:tblPr>
      <w:tblGrid>
        <w:gridCol w:w="3005"/>
        <w:gridCol w:w="5335"/>
      </w:tblGrid>
      <w:tr w:rsidR="004D5525" w:rsidRPr="00A024F0" w:rsidTr="00D52D5F">
        <w:trPr>
          <w:cnfStyle w:val="100000000000" w:firstRow="1" w:lastRow="0" w:firstColumn="0" w:lastColumn="0" w:oddVBand="0" w:evenVBand="0" w:oddHBand="0" w:evenHBand="0" w:firstRowFirstColumn="0" w:firstRowLastColumn="0" w:lastRowFirstColumn="0" w:lastRowLastColumn="0"/>
        </w:trPr>
        <w:tc>
          <w:tcPr>
            <w:tcW w:w="3005" w:type="dxa"/>
          </w:tcPr>
          <w:p w:rsidR="004D5525" w:rsidRPr="00A024F0" w:rsidRDefault="004D5525" w:rsidP="004D5525">
            <w:pPr>
              <w:pStyle w:val="BodyText"/>
              <w:rPr>
                <w:sz w:val="22"/>
              </w:rPr>
            </w:pPr>
            <w:r w:rsidRPr="00A024F0">
              <w:rPr>
                <w:sz w:val="22"/>
              </w:rPr>
              <w:t>Name of proposal:</w:t>
            </w:r>
          </w:p>
        </w:tc>
        <w:tc>
          <w:tcPr>
            <w:tcW w:w="5335" w:type="dxa"/>
          </w:tcPr>
          <w:p w:rsidR="004D5525" w:rsidRPr="00A024F0" w:rsidRDefault="00A10F30" w:rsidP="00F83B16">
            <w:pPr>
              <w:pStyle w:val="BodyText"/>
              <w:rPr>
                <w:sz w:val="22"/>
              </w:rPr>
            </w:pPr>
            <w:r w:rsidRPr="00A024F0">
              <w:rPr>
                <w:sz w:val="22"/>
              </w:rPr>
              <w:t xml:space="preserve">Reducing </w:t>
            </w:r>
            <w:r w:rsidR="00F83B16" w:rsidRPr="00A024F0">
              <w:rPr>
                <w:sz w:val="22"/>
              </w:rPr>
              <w:t>Student Debt</w:t>
            </w:r>
          </w:p>
        </w:tc>
      </w:tr>
      <w:tr w:rsidR="004D5525" w:rsidTr="00D52D5F">
        <w:tc>
          <w:tcPr>
            <w:tcW w:w="3005" w:type="dxa"/>
          </w:tcPr>
          <w:p w:rsidR="004D5525" w:rsidRDefault="004D5525" w:rsidP="004D5525">
            <w:pPr>
              <w:pStyle w:val="BodyText"/>
            </w:pPr>
            <w:r>
              <w:t>Summary of proposal:</w:t>
            </w:r>
          </w:p>
        </w:tc>
        <w:tc>
          <w:tcPr>
            <w:tcW w:w="5335" w:type="dxa"/>
          </w:tcPr>
          <w:p w:rsidR="004D5525" w:rsidRDefault="00A10F30" w:rsidP="004D5525">
            <w:pPr>
              <w:pStyle w:val="BodyText"/>
            </w:pPr>
            <w:r w:rsidRPr="00A10F30">
              <w:t>The proposal would amend the Higher Education Loan Program (HELP), with the intention of reducing the debt level of students accessing HECS-HELP.  Students eligible to pay their tuition fees through HECS-HELP would have their tuition fees reduced by 20 per</w:t>
            </w:r>
            <w:r>
              <w:t xml:space="preserve"> cent, with the </w:t>
            </w:r>
            <w:r w:rsidRPr="00A10F30">
              <w:t>Government covering the shortfall by paying the universities directly, from 1 January 2017.</w:t>
            </w:r>
          </w:p>
        </w:tc>
      </w:tr>
      <w:tr w:rsidR="004D5525" w:rsidTr="00D52D5F">
        <w:tc>
          <w:tcPr>
            <w:tcW w:w="3005" w:type="dxa"/>
          </w:tcPr>
          <w:p w:rsidR="004D5525" w:rsidRDefault="004D5525" w:rsidP="004D5525">
            <w:pPr>
              <w:pStyle w:val="BodyText"/>
            </w:pPr>
            <w:r>
              <w:t>Person/party requesting costing:</w:t>
            </w:r>
          </w:p>
        </w:tc>
        <w:tc>
          <w:tcPr>
            <w:tcW w:w="5335" w:type="dxa"/>
          </w:tcPr>
          <w:p w:rsidR="004D5525" w:rsidRDefault="008C2276" w:rsidP="004D5525">
            <w:pPr>
              <w:pStyle w:val="BodyText"/>
            </w:pPr>
            <w:r w:rsidRPr="000A678C">
              <w:t>Senator Richard Di Natale, Australian Greens</w:t>
            </w:r>
          </w:p>
        </w:tc>
      </w:tr>
      <w:tr w:rsidR="007D3577" w:rsidTr="00060F22">
        <w:tc>
          <w:tcPr>
            <w:tcW w:w="3005" w:type="dxa"/>
          </w:tcPr>
          <w:p w:rsidR="007D3577" w:rsidRDefault="007D3577" w:rsidP="00060F22">
            <w:pPr>
              <w:pStyle w:val="BodyText"/>
            </w:pPr>
            <w:r>
              <w:t>Date of public release of policy:</w:t>
            </w:r>
          </w:p>
        </w:tc>
        <w:tc>
          <w:tcPr>
            <w:tcW w:w="5335" w:type="dxa"/>
          </w:tcPr>
          <w:p w:rsidR="007D3577" w:rsidRDefault="00C02773" w:rsidP="00060F22">
            <w:pPr>
              <w:pStyle w:val="BodyText"/>
            </w:pPr>
            <w:r>
              <w:t>26 April 2016</w:t>
            </w:r>
          </w:p>
          <w:p w:rsidR="00C02773" w:rsidRPr="00C17112" w:rsidRDefault="00871C9E" w:rsidP="00C02773">
            <w:pPr>
              <w:pStyle w:val="BodyText"/>
            </w:pPr>
            <w:hyperlink r:id="rId14" w:history="1">
              <w:r w:rsidR="00C02773" w:rsidRPr="00DF086A">
                <w:rPr>
                  <w:rStyle w:val="Hyperlink"/>
                </w:rPr>
                <w:t>http://greens.org.au/news/sa/greens-proposal-reduces-student-debt-burden</w:t>
              </w:r>
            </w:hyperlink>
          </w:p>
        </w:tc>
      </w:tr>
      <w:tr w:rsidR="004D5525" w:rsidTr="00D52D5F">
        <w:tc>
          <w:tcPr>
            <w:tcW w:w="3005" w:type="dxa"/>
          </w:tcPr>
          <w:p w:rsidR="004D5525" w:rsidRDefault="004D5525" w:rsidP="004D5525">
            <w:pPr>
              <w:pStyle w:val="BodyText"/>
            </w:pPr>
            <w:r>
              <w:t>Date costing request received:</w:t>
            </w:r>
          </w:p>
        </w:tc>
        <w:tc>
          <w:tcPr>
            <w:tcW w:w="5335" w:type="dxa"/>
          </w:tcPr>
          <w:p w:rsidR="004D5525" w:rsidRDefault="00DF343C" w:rsidP="004D5525">
            <w:pPr>
              <w:pStyle w:val="BodyText"/>
            </w:pPr>
            <w:r>
              <w:t>28 June 2016</w:t>
            </w:r>
          </w:p>
        </w:tc>
      </w:tr>
      <w:tr w:rsidR="004D5525" w:rsidTr="00D52D5F">
        <w:tc>
          <w:tcPr>
            <w:tcW w:w="3005" w:type="dxa"/>
          </w:tcPr>
          <w:p w:rsidR="004D5525" w:rsidRDefault="004D5525" w:rsidP="004D5525">
            <w:pPr>
              <w:pStyle w:val="BodyText"/>
            </w:pPr>
            <w:r>
              <w:t>Date costing completed</w:t>
            </w:r>
            <w:r w:rsidR="00A024F0">
              <w:t>:</w:t>
            </w:r>
          </w:p>
        </w:tc>
        <w:tc>
          <w:tcPr>
            <w:tcW w:w="5335" w:type="dxa"/>
          </w:tcPr>
          <w:p w:rsidR="004D5525" w:rsidRPr="00C17112" w:rsidRDefault="00F71866" w:rsidP="004D5525">
            <w:pPr>
              <w:pStyle w:val="BodyText"/>
            </w:pPr>
            <w:r>
              <w:t xml:space="preserve">28 </w:t>
            </w:r>
            <w:r w:rsidR="00DF343C">
              <w:t>June 2016</w:t>
            </w:r>
          </w:p>
        </w:tc>
      </w:tr>
      <w:tr w:rsidR="004D5525" w:rsidTr="00D52D5F">
        <w:tc>
          <w:tcPr>
            <w:tcW w:w="3005" w:type="dxa"/>
          </w:tcPr>
          <w:p w:rsidR="004D5525" w:rsidRPr="00220BE5" w:rsidRDefault="004D5525" w:rsidP="004D5525">
            <w:pPr>
              <w:pStyle w:val="BodyText"/>
            </w:pPr>
            <w:r w:rsidRPr="00220BE5">
              <w:t>Expiry date for the costing:</w:t>
            </w:r>
          </w:p>
        </w:tc>
        <w:tc>
          <w:tcPr>
            <w:tcW w:w="5335" w:type="dxa"/>
          </w:tcPr>
          <w:p w:rsidR="004D5525" w:rsidRPr="00220BE5" w:rsidRDefault="00F4535C" w:rsidP="00220BE5">
            <w:pPr>
              <w:pStyle w:val="BodyText"/>
            </w:pPr>
            <w:r>
              <w:t>Release of the next economic and fiscal outlook report</w:t>
            </w:r>
          </w:p>
        </w:tc>
      </w:tr>
    </w:tbl>
    <w:p w:rsidR="0055581F" w:rsidRPr="00002D5D" w:rsidRDefault="008030EC" w:rsidP="00FC6579">
      <w:pPr>
        <w:pStyle w:val="Heading2"/>
      </w:pPr>
      <w:r w:rsidRPr="00002D5D">
        <w:t>Costing overview</w:t>
      </w:r>
    </w:p>
    <w:p w:rsidR="00A10F30" w:rsidRPr="00A10F30" w:rsidRDefault="00A10F30" w:rsidP="00A10F30">
      <w:r w:rsidRPr="00A10F30">
        <w:t>The proposal would be expected to decrease the fiscal balance by $3,</w:t>
      </w:r>
      <w:r w:rsidR="00136873">
        <w:t>33</w:t>
      </w:r>
      <w:r w:rsidR="00136873" w:rsidRPr="00A10F30">
        <w:t xml:space="preserve">0 </w:t>
      </w:r>
      <w:r w:rsidRPr="00A10F30">
        <w:t>million, decrease the underlying cash balance by $3,</w:t>
      </w:r>
      <w:r w:rsidR="00136873">
        <w:t>58</w:t>
      </w:r>
      <w:r w:rsidR="00136873" w:rsidRPr="00A10F30">
        <w:t xml:space="preserve">0 </w:t>
      </w:r>
      <w:r w:rsidRPr="00A10F30">
        <w:t>million, and decrease the headline cash balance by $60 million over the 2016 17 Budget forward estimates period.  The impact is entirely due to an increase in administered expenses.</w:t>
      </w:r>
    </w:p>
    <w:p w:rsidR="00A10F30" w:rsidRPr="00A10F30" w:rsidRDefault="00A10F30" w:rsidP="00A10F30">
      <w:r w:rsidRPr="00A10F30">
        <w:t>The proposal would not be expected to result in additional departmental expenditures because the administration of HELP and the Commonwealth Grant Scheme (CGS) would remain largely unchanged.</w:t>
      </w:r>
    </w:p>
    <w:p w:rsidR="00A10F30" w:rsidRPr="00A10F30" w:rsidRDefault="00A10F30" w:rsidP="00A10F30">
      <w:r w:rsidRPr="00A10F30">
        <w:t>The disaggregated financial impacts of the proposal over the period 2016</w:t>
      </w:r>
      <w:r>
        <w:noBreakHyphen/>
      </w:r>
      <w:r w:rsidRPr="00A10F30">
        <w:t>17 to 2026</w:t>
      </w:r>
      <w:r>
        <w:noBreakHyphen/>
      </w:r>
      <w:r w:rsidRPr="00A10F30">
        <w:t xml:space="preserve">27 are provided at </w:t>
      </w:r>
      <w:r w:rsidRPr="00A10F30">
        <w:rPr>
          <w:u w:val="single"/>
        </w:rPr>
        <w:t>Attachment A</w:t>
      </w:r>
      <w:r w:rsidRPr="00A10F30">
        <w:t>.</w:t>
      </w:r>
    </w:p>
    <w:p w:rsidR="00A10F30" w:rsidRPr="00A10F30" w:rsidRDefault="00A10F30" w:rsidP="001B4239">
      <w:pPr>
        <w:keepNext/>
        <w:keepLines/>
      </w:pPr>
      <w:r w:rsidRPr="00A10F30">
        <w:lastRenderedPageBreak/>
        <w:t xml:space="preserve">As the proposal involves the transaction of financial assets in the form of a lower value of HELP loans being issued, the Public Debt Interest (PDI) impact of the proposal has been included in the overall financial impacts of the proposal.  The Methodology section outlines how impacts on each budget balance are estimated, and a note on the accounting treatment of income contingent loans is included at </w:t>
      </w:r>
      <w:r w:rsidRPr="00A10F30">
        <w:rPr>
          <w:u w:val="single"/>
        </w:rPr>
        <w:t>Attachment B</w:t>
      </w:r>
      <w:r w:rsidRPr="00A10F30">
        <w:t>.</w:t>
      </w:r>
    </w:p>
    <w:p w:rsidR="00A10F30" w:rsidRDefault="00A10F30" w:rsidP="00A10F30">
      <w:pPr>
        <w:rPr>
          <w:b/>
          <w:bCs/>
        </w:rPr>
      </w:pPr>
      <w:r w:rsidRPr="00A10F30">
        <w:t>This costing is considered to be of low to medium reliability as the behavioural responses of students to this proposal are uncertain.  The reliability of estimates diminishes the further out projections are made, as the forecast becomes more uncertain.</w:t>
      </w:r>
    </w:p>
    <w:p w:rsidR="005E3562" w:rsidRPr="00FC6579" w:rsidRDefault="005E3562" w:rsidP="00A10F30">
      <w:pPr>
        <w:pStyle w:val="Captionheading"/>
      </w:pPr>
      <w:r w:rsidRPr="00FC6579">
        <w:t xml:space="preserve">Table </w:t>
      </w:r>
      <w:r w:rsidR="001A02D1" w:rsidRPr="00FC6579">
        <w:t>1</w:t>
      </w:r>
      <w:r w:rsidRPr="00FC6579">
        <w:t>: Financial implications (outturn prices)</w:t>
      </w:r>
      <w:r w:rsidRPr="00844776">
        <w:rPr>
          <w:vertAlign w:val="superscript"/>
        </w:rPr>
        <w:t>(a)</w:t>
      </w:r>
      <w:r w:rsidR="00A10F30">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EA26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CA5D42" w:rsidRPr="00B73AC8" w:rsidRDefault="00CA5D42" w:rsidP="00CF7D9A">
            <w:pPr>
              <w:pStyle w:val="TableText"/>
              <w:keepNext/>
              <w:keepLines/>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tcPr>
          <w:p w:rsidR="00CA5D42" w:rsidRPr="00B73AC8"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tcPr>
          <w:p w:rsidR="00CA5D42" w:rsidRPr="00B73AC8"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tcPr>
          <w:p w:rsidR="00CA5D42" w:rsidRPr="00B73AC8"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tcPr>
          <w:p w:rsidR="00CA5D42" w:rsidRPr="00B73AC8"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tcPr>
          <w:p w:rsidR="00CA5D42" w:rsidRPr="00E968F9"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E968F9">
              <w:rPr>
                <w:rFonts w:ascii="Calibri" w:hAnsi="Calibri"/>
                <w:b/>
                <w:szCs w:val="20"/>
              </w:rPr>
              <w:t>Total</w:t>
            </w:r>
          </w:p>
        </w:tc>
      </w:tr>
      <w:tr w:rsidR="00C02773" w:rsidRPr="00B73AC8" w:rsidTr="00EA2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C02773" w:rsidRPr="00A10F30" w:rsidRDefault="00C02773" w:rsidP="00A10F30">
            <w:pPr>
              <w:pStyle w:val="TableTextRight"/>
              <w:jc w:val="left"/>
              <w:rPr>
                <w:i w:val="0"/>
              </w:rPr>
            </w:pPr>
            <w:r w:rsidRPr="00A10F30">
              <w:rPr>
                <w:i w:val="0"/>
              </w:rPr>
              <w:t>Fiscal balance ($m)</w:t>
            </w:r>
          </w:p>
        </w:tc>
        <w:tc>
          <w:tcPr>
            <w:tcW w:w="682" w:type="pct"/>
          </w:tcPr>
          <w:p w:rsidR="00C02773" w:rsidRPr="00A10F30" w:rsidRDefault="00C02773" w:rsidP="00A10F30">
            <w:pPr>
              <w:pStyle w:val="TableTextRight"/>
              <w:cnfStyle w:val="000000100000" w:firstRow="0" w:lastRow="0" w:firstColumn="0" w:lastColumn="0" w:oddVBand="0" w:evenVBand="0" w:oddHBand="1" w:evenHBand="0" w:firstRowFirstColumn="0" w:firstRowLastColumn="0" w:lastRowFirstColumn="0" w:lastRowLastColumn="0"/>
              <w:rPr>
                <w:i w:val="0"/>
              </w:rPr>
            </w:pPr>
            <w:r w:rsidRPr="00A10F30">
              <w:rPr>
                <w:i w:val="0"/>
              </w:rPr>
              <w:t>-410</w:t>
            </w:r>
            <w:r>
              <w:rPr>
                <w:i w:val="0"/>
              </w:rPr>
              <w:t>.0</w:t>
            </w:r>
          </w:p>
        </w:tc>
        <w:tc>
          <w:tcPr>
            <w:tcW w:w="682" w:type="pct"/>
          </w:tcPr>
          <w:p w:rsidR="00C02773" w:rsidRPr="00A10F30" w:rsidRDefault="00C02773" w:rsidP="00A10F30">
            <w:pPr>
              <w:pStyle w:val="TableTextRight"/>
              <w:cnfStyle w:val="000000100000" w:firstRow="0" w:lastRow="0" w:firstColumn="0" w:lastColumn="0" w:oddVBand="0" w:evenVBand="0" w:oddHBand="1" w:evenHBand="0" w:firstRowFirstColumn="0" w:firstRowLastColumn="0" w:lastRowFirstColumn="0" w:lastRowLastColumn="0"/>
              <w:rPr>
                <w:i w:val="0"/>
              </w:rPr>
            </w:pPr>
            <w:r w:rsidRPr="00A10F30">
              <w:rPr>
                <w:i w:val="0"/>
              </w:rPr>
              <w:t>-880</w:t>
            </w:r>
            <w:r>
              <w:rPr>
                <w:i w:val="0"/>
              </w:rPr>
              <w:t>.0</w:t>
            </w:r>
          </w:p>
        </w:tc>
        <w:tc>
          <w:tcPr>
            <w:tcW w:w="682" w:type="pct"/>
          </w:tcPr>
          <w:p w:rsidR="00C02773" w:rsidRPr="00A10F30" w:rsidRDefault="00C02773" w:rsidP="00A10F30">
            <w:pPr>
              <w:pStyle w:val="TableTextRight"/>
              <w:cnfStyle w:val="000000100000" w:firstRow="0" w:lastRow="0" w:firstColumn="0" w:lastColumn="0" w:oddVBand="0" w:evenVBand="0" w:oddHBand="1" w:evenHBand="0" w:firstRowFirstColumn="0" w:firstRowLastColumn="0" w:lastRowFirstColumn="0" w:lastRowLastColumn="0"/>
              <w:rPr>
                <w:i w:val="0"/>
              </w:rPr>
            </w:pPr>
            <w:r w:rsidRPr="00A10F30">
              <w:rPr>
                <w:i w:val="0"/>
              </w:rPr>
              <w:t>-980</w:t>
            </w:r>
            <w:r>
              <w:rPr>
                <w:i w:val="0"/>
              </w:rPr>
              <w:t>.0</w:t>
            </w:r>
          </w:p>
        </w:tc>
        <w:tc>
          <w:tcPr>
            <w:tcW w:w="682" w:type="pct"/>
          </w:tcPr>
          <w:p w:rsidR="00C02773" w:rsidRPr="00A10F30" w:rsidRDefault="00C02773" w:rsidP="00A10F30">
            <w:pPr>
              <w:pStyle w:val="TableTextRight"/>
              <w:cnfStyle w:val="000000100000" w:firstRow="0" w:lastRow="0" w:firstColumn="0" w:lastColumn="0" w:oddVBand="0" w:evenVBand="0" w:oddHBand="1" w:evenHBand="0" w:firstRowFirstColumn="0" w:firstRowLastColumn="0" w:lastRowFirstColumn="0" w:lastRowLastColumn="0"/>
              <w:rPr>
                <w:i w:val="0"/>
              </w:rPr>
            </w:pPr>
            <w:r w:rsidRPr="00A10F30">
              <w:rPr>
                <w:i w:val="0"/>
              </w:rPr>
              <w:t>-1,060</w:t>
            </w:r>
            <w:r>
              <w:rPr>
                <w:i w:val="0"/>
              </w:rPr>
              <w:t>.0</w:t>
            </w:r>
          </w:p>
        </w:tc>
        <w:tc>
          <w:tcPr>
            <w:tcW w:w="681" w:type="pct"/>
          </w:tcPr>
          <w:p w:rsidR="00C02773" w:rsidRPr="00E968F9" w:rsidRDefault="00C02773" w:rsidP="00A10F30">
            <w:pPr>
              <w:pStyle w:val="TableTextRight"/>
              <w:cnfStyle w:val="000000100000" w:firstRow="0" w:lastRow="0" w:firstColumn="0" w:lastColumn="0" w:oddVBand="0" w:evenVBand="0" w:oddHBand="1" w:evenHBand="0" w:firstRowFirstColumn="0" w:firstRowLastColumn="0" w:lastRowFirstColumn="0" w:lastRowLastColumn="0"/>
              <w:rPr>
                <w:b/>
                <w:i w:val="0"/>
              </w:rPr>
            </w:pPr>
            <w:r w:rsidRPr="00E968F9">
              <w:rPr>
                <w:b/>
                <w:i w:val="0"/>
              </w:rPr>
              <w:t>-3,330.0</w:t>
            </w:r>
          </w:p>
        </w:tc>
      </w:tr>
      <w:tr w:rsidR="00C02773" w:rsidRPr="00B73AC8" w:rsidTr="00EA265F">
        <w:tc>
          <w:tcPr>
            <w:cnfStyle w:val="001000000000" w:firstRow="0" w:lastRow="0" w:firstColumn="1" w:lastColumn="0" w:oddVBand="0" w:evenVBand="0" w:oddHBand="0" w:evenHBand="0" w:firstRowFirstColumn="0" w:firstRowLastColumn="0" w:lastRowFirstColumn="0" w:lastRowLastColumn="0"/>
            <w:tcW w:w="1591" w:type="pct"/>
          </w:tcPr>
          <w:p w:rsidR="00C02773" w:rsidRPr="00A10F30" w:rsidRDefault="00C02773" w:rsidP="00A10F30">
            <w:pPr>
              <w:pStyle w:val="TableTextRight"/>
              <w:jc w:val="left"/>
              <w:rPr>
                <w:i w:val="0"/>
              </w:rPr>
            </w:pPr>
            <w:r w:rsidRPr="00A10F30">
              <w:rPr>
                <w:i w:val="0"/>
              </w:rPr>
              <w:t>Underlying cash balance ($m)</w:t>
            </w:r>
          </w:p>
        </w:tc>
        <w:tc>
          <w:tcPr>
            <w:tcW w:w="682" w:type="pct"/>
          </w:tcPr>
          <w:p w:rsidR="00C02773" w:rsidRPr="00A10F30" w:rsidRDefault="00C02773" w:rsidP="00A10F30">
            <w:pPr>
              <w:pStyle w:val="TableTextRight"/>
              <w:cnfStyle w:val="000000000000" w:firstRow="0" w:lastRow="0" w:firstColumn="0" w:lastColumn="0" w:oddVBand="0" w:evenVBand="0" w:oddHBand="0" w:evenHBand="0" w:firstRowFirstColumn="0" w:firstRowLastColumn="0" w:lastRowFirstColumn="0" w:lastRowLastColumn="0"/>
              <w:rPr>
                <w:i w:val="0"/>
              </w:rPr>
            </w:pPr>
            <w:r w:rsidRPr="00A10F30">
              <w:rPr>
                <w:i w:val="0"/>
              </w:rPr>
              <w:t>-460</w:t>
            </w:r>
            <w:r>
              <w:rPr>
                <w:i w:val="0"/>
              </w:rPr>
              <w:t>.0</w:t>
            </w:r>
          </w:p>
        </w:tc>
        <w:tc>
          <w:tcPr>
            <w:tcW w:w="682" w:type="pct"/>
          </w:tcPr>
          <w:p w:rsidR="00C02773" w:rsidRPr="00A10F30" w:rsidRDefault="00C02773" w:rsidP="00A10F30">
            <w:pPr>
              <w:pStyle w:val="TableTextRight"/>
              <w:cnfStyle w:val="000000000000" w:firstRow="0" w:lastRow="0" w:firstColumn="0" w:lastColumn="0" w:oddVBand="0" w:evenVBand="0" w:oddHBand="0" w:evenHBand="0" w:firstRowFirstColumn="0" w:firstRowLastColumn="0" w:lastRowFirstColumn="0" w:lastRowLastColumn="0"/>
              <w:rPr>
                <w:i w:val="0"/>
              </w:rPr>
            </w:pPr>
            <w:r w:rsidRPr="00A10F30">
              <w:rPr>
                <w:i w:val="0"/>
              </w:rPr>
              <w:t>-960</w:t>
            </w:r>
            <w:r>
              <w:rPr>
                <w:i w:val="0"/>
              </w:rPr>
              <w:t>.0</w:t>
            </w:r>
          </w:p>
        </w:tc>
        <w:tc>
          <w:tcPr>
            <w:tcW w:w="682" w:type="pct"/>
          </w:tcPr>
          <w:p w:rsidR="00C02773" w:rsidRPr="00A10F30" w:rsidRDefault="00C02773" w:rsidP="00A10F30">
            <w:pPr>
              <w:pStyle w:val="TableTextRight"/>
              <w:cnfStyle w:val="000000000000" w:firstRow="0" w:lastRow="0" w:firstColumn="0" w:lastColumn="0" w:oddVBand="0" w:evenVBand="0" w:oddHBand="0" w:evenHBand="0" w:firstRowFirstColumn="0" w:firstRowLastColumn="0" w:lastRowFirstColumn="0" w:lastRowLastColumn="0"/>
              <w:rPr>
                <w:i w:val="0"/>
              </w:rPr>
            </w:pPr>
            <w:r w:rsidRPr="00A10F30">
              <w:rPr>
                <w:i w:val="0"/>
              </w:rPr>
              <w:t>-1,050</w:t>
            </w:r>
            <w:r>
              <w:rPr>
                <w:i w:val="0"/>
              </w:rPr>
              <w:t>.0</w:t>
            </w:r>
          </w:p>
        </w:tc>
        <w:tc>
          <w:tcPr>
            <w:tcW w:w="682" w:type="pct"/>
          </w:tcPr>
          <w:p w:rsidR="00C02773" w:rsidRPr="00A10F30" w:rsidRDefault="00C02773" w:rsidP="00A10F30">
            <w:pPr>
              <w:pStyle w:val="TableTextRight"/>
              <w:cnfStyle w:val="000000000000" w:firstRow="0" w:lastRow="0" w:firstColumn="0" w:lastColumn="0" w:oddVBand="0" w:evenVBand="0" w:oddHBand="0" w:evenHBand="0" w:firstRowFirstColumn="0" w:firstRowLastColumn="0" w:lastRowFirstColumn="0" w:lastRowLastColumn="0"/>
              <w:rPr>
                <w:i w:val="0"/>
              </w:rPr>
            </w:pPr>
            <w:r w:rsidRPr="00A10F30">
              <w:rPr>
                <w:i w:val="0"/>
              </w:rPr>
              <w:t>-1,110</w:t>
            </w:r>
            <w:r>
              <w:rPr>
                <w:i w:val="0"/>
              </w:rPr>
              <w:t>.0</w:t>
            </w:r>
          </w:p>
        </w:tc>
        <w:tc>
          <w:tcPr>
            <w:tcW w:w="681" w:type="pct"/>
          </w:tcPr>
          <w:p w:rsidR="00C02773" w:rsidRPr="00E968F9" w:rsidRDefault="00C02773" w:rsidP="00A10F30">
            <w:pPr>
              <w:pStyle w:val="TableTextRight"/>
              <w:cnfStyle w:val="000000000000" w:firstRow="0" w:lastRow="0" w:firstColumn="0" w:lastColumn="0" w:oddVBand="0" w:evenVBand="0" w:oddHBand="0" w:evenHBand="0" w:firstRowFirstColumn="0" w:firstRowLastColumn="0" w:lastRowFirstColumn="0" w:lastRowLastColumn="0"/>
              <w:rPr>
                <w:b/>
                <w:i w:val="0"/>
              </w:rPr>
            </w:pPr>
            <w:r w:rsidRPr="00E968F9">
              <w:rPr>
                <w:b/>
                <w:i w:val="0"/>
              </w:rPr>
              <w:t>-3,580.0</w:t>
            </w:r>
          </w:p>
        </w:tc>
      </w:tr>
      <w:tr w:rsidR="00A10F30" w:rsidRPr="00B73AC8" w:rsidTr="00EA2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A10F30" w:rsidRPr="00A10F30" w:rsidRDefault="00A10F30" w:rsidP="00A10F30">
            <w:pPr>
              <w:pStyle w:val="TableTextRight"/>
              <w:jc w:val="left"/>
              <w:rPr>
                <w:i w:val="0"/>
              </w:rPr>
            </w:pPr>
            <w:r w:rsidRPr="00A10F30">
              <w:rPr>
                <w:i w:val="0"/>
              </w:rPr>
              <w:t>Headline cash balance ($m)</w:t>
            </w:r>
          </w:p>
        </w:tc>
        <w:tc>
          <w:tcPr>
            <w:tcW w:w="682" w:type="pct"/>
          </w:tcPr>
          <w:p w:rsidR="00A10F30" w:rsidRPr="00A10F30" w:rsidRDefault="00A10F30" w:rsidP="00A10F30">
            <w:pPr>
              <w:pStyle w:val="TableTextRight"/>
              <w:cnfStyle w:val="000000100000" w:firstRow="0" w:lastRow="0" w:firstColumn="0" w:lastColumn="0" w:oddVBand="0" w:evenVBand="0" w:oddHBand="1" w:evenHBand="0" w:firstRowFirstColumn="0" w:firstRowLastColumn="0" w:lastRowFirstColumn="0" w:lastRowLastColumn="0"/>
              <w:rPr>
                <w:i w:val="0"/>
              </w:rPr>
            </w:pPr>
            <w:r w:rsidRPr="00A10F30">
              <w:rPr>
                <w:i w:val="0"/>
              </w:rPr>
              <w:t>-</w:t>
            </w:r>
          </w:p>
        </w:tc>
        <w:tc>
          <w:tcPr>
            <w:tcW w:w="682" w:type="pct"/>
          </w:tcPr>
          <w:p w:rsidR="00A10F30" w:rsidRPr="00A10F30" w:rsidRDefault="00A10F30" w:rsidP="00A10F30">
            <w:pPr>
              <w:pStyle w:val="TableTextRight"/>
              <w:cnfStyle w:val="000000100000" w:firstRow="0" w:lastRow="0" w:firstColumn="0" w:lastColumn="0" w:oddVBand="0" w:evenVBand="0" w:oddHBand="1" w:evenHBand="0" w:firstRowFirstColumn="0" w:firstRowLastColumn="0" w:lastRowFirstColumn="0" w:lastRowLastColumn="0"/>
              <w:rPr>
                <w:i w:val="0"/>
              </w:rPr>
            </w:pPr>
            <w:r w:rsidRPr="00A10F30">
              <w:rPr>
                <w:i w:val="0"/>
              </w:rPr>
              <w:t>-</w:t>
            </w:r>
          </w:p>
        </w:tc>
        <w:tc>
          <w:tcPr>
            <w:tcW w:w="682" w:type="pct"/>
          </w:tcPr>
          <w:p w:rsidR="00A10F30" w:rsidRPr="00A10F30" w:rsidRDefault="00A10F30" w:rsidP="00A10F30">
            <w:pPr>
              <w:pStyle w:val="TableTextRight"/>
              <w:cnfStyle w:val="000000100000" w:firstRow="0" w:lastRow="0" w:firstColumn="0" w:lastColumn="0" w:oddVBand="0" w:evenVBand="0" w:oddHBand="1" w:evenHBand="0" w:firstRowFirstColumn="0" w:firstRowLastColumn="0" w:lastRowFirstColumn="0" w:lastRowLastColumn="0"/>
              <w:rPr>
                <w:i w:val="0"/>
              </w:rPr>
            </w:pPr>
            <w:r w:rsidRPr="00A10F30">
              <w:rPr>
                <w:i w:val="0"/>
              </w:rPr>
              <w:t>-10</w:t>
            </w:r>
            <w:r>
              <w:rPr>
                <w:i w:val="0"/>
              </w:rPr>
              <w:t>.0</w:t>
            </w:r>
          </w:p>
        </w:tc>
        <w:tc>
          <w:tcPr>
            <w:tcW w:w="682" w:type="pct"/>
          </w:tcPr>
          <w:p w:rsidR="00A10F30" w:rsidRPr="00A10F30" w:rsidRDefault="00A10F30" w:rsidP="00A10F30">
            <w:pPr>
              <w:pStyle w:val="TableTextRight"/>
              <w:cnfStyle w:val="000000100000" w:firstRow="0" w:lastRow="0" w:firstColumn="0" w:lastColumn="0" w:oddVBand="0" w:evenVBand="0" w:oddHBand="1" w:evenHBand="0" w:firstRowFirstColumn="0" w:firstRowLastColumn="0" w:lastRowFirstColumn="0" w:lastRowLastColumn="0"/>
              <w:rPr>
                <w:i w:val="0"/>
              </w:rPr>
            </w:pPr>
            <w:r w:rsidRPr="00A10F30">
              <w:rPr>
                <w:i w:val="0"/>
              </w:rPr>
              <w:t>-50</w:t>
            </w:r>
            <w:r>
              <w:rPr>
                <w:i w:val="0"/>
              </w:rPr>
              <w:t>.0</w:t>
            </w:r>
          </w:p>
        </w:tc>
        <w:tc>
          <w:tcPr>
            <w:tcW w:w="681" w:type="pct"/>
          </w:tcPr>
          <w:p w:rsidR="00A10F30" w:rsidRPr="00E968F9" w:rsidRDefault="00A10F30" w:rsidP="00A10F30">
            <w:pPr>
              <w:pStyle w:val="TableTextRight"/>
              <w:cnfStyle w:val="000000100000" w:firstRow="0" w:lastRow="0" w:firstColumn="0" w:lastColumn="0" w:oddVBand="0" w:evenVBand="0" w:oddHBand="1" w:evenHBand="0" w:firstRowFirstColumn="0" w:firstRowLastColumn="0" w:lastRowFirstColumn="0" w:lastRowLastColumn="0"/>
              <w:rPr>
                <w:b/>
                <w:i w:val="0"/>
              </w:rPr>
            </w:pPr>
            <w:r w:rsidRPr="00E968F9">
              <w:rPr>
                <w:b/>
                <w:i w:val="0"/>
              </w:rPr>
              <w:t>-60.0</w:t>
            </w:r>
          </w:p>
        </w:tc>
      </w:tr>
    </w:tbl>
    <w:p w:rsidR="009D4063" w:rsidRDefault="00D805AE" w:rsidP="009D4063">
      <w:pPr>
        <w:pStyle w:val="Footnotes"/>
        <w:keepNext/>
        <w:keepLines/>
        <w:numPr>
          <w:ilvl w:val="0"/>
          <w:numId w:val="7"/>
        </w:numPr>
        <w:ind w:left="284" w:hanging="284"/>
      </w:pPr>
      <w:r>
        <w:t>A positive number represents an increase in the relevant budget balance, a negative number represents a decrease.</w:t>
      </w:r>
    </w:p>
    <w:p w:rsidR="00D747D2" w:rsidRDefault="00D747D2" w:rsidP="009D4063">
      <w:pPr>
        <w:pStyle w:val="Footnotes"/>
        <w:keepNext/>
        <w:keepLines/>
        <w:numPr>
          <w:ilvl w:val="0"/>
          <w:numId w:val="7"/>
        </w:numPr>
        <w:ind w:left="284" w:hanging="284"/>
      </w:pPr>
      <w:r>
        <w:t>Figures may not sum to totals due to rounding.</w:t>
      </w:r>
    </w:p>
    <w:p w:rsidR="008D3909" w:rsidRPr="00FC6579" w:rsidRDefault="005E3562" w:rsidP="00E40B8B">
      <w:pPr>
        <w:pStyle w:val="Heading2"/>
      </w:pPr>
      <w:r w:rsidRPr="00FC6579">
        <w:t>Key assumptions</w:t>
      </w:r>
    </w:p>
    <w:p w:rsidR="00A10F30" w:rsidRDefault="00A10F30" w:rsidP="00A10F30">
      <w:r>
        <w:t>In costing this proposal, the following assumptions have been made:</w:t>
      </w:r>
    </w:p>
    <w:p w:rsidR="00A10F30" w:rsidRPr="00401218" w:rsidRDefault="00A10F30" w:rsidP="00401218">
      <w:pPr>
        <w:pStyle w:val="Bullet1"/>
      </w:pPr>
      <w:r w:rsidRPr="00401218">
        <w:t xml:space="preserve">The proposal would not impact on the number of students undertaking higher education.  If </w:t>
      </w:r>
      <w:r w:rsidR="00136873" w:rsidRPr="00401218">
        <w:t xml:space="preserve">the proposal did cause </w:t>
      </w:r>
      <w:r w:rsidRPr="00401218">
        <w:t>student numbers to increase, the cost of this proposal would increase, due to both an increase in higher education funding and other related government expenses which are driven, in part, by the number of higher education students.</w:t>
      </w:r>
    </w:p>
    <w:p w:rsidR="00A10F30" w:rsidRPr="00401218" w:rsidRDefault="00A10F30" w:rsidP="00401218">
      <w:pPr>
        <w:pStyle w:val="Bullet1"/>
      </w:pPr>
      <w:r w:rsidRPr="00401218">
        <w:t>Students currently projected to make upfront payments for their studies have been adjusted to reflect that a proportion of them would instead take out a HECS-HELP loan to take advantage of the proposal.</w:t>
      </w:r>
    </w:p>
    <w:p w:rsidR="005E3562" w:rsidRPr="00FC6579" w:rsidRDefault="005E3562" w:rsidP="00E40B8B">
      <w:pPr>
        <w:pStyle w:val="Heading2"/>
      </w:pPr>
      <w:r w:rsidRPr="00FC6579">
        <w:t>Methodology</w:t>
      </w:r>
    </w:p>
    <w:p w:rsidR="00A10F30" w:rsidRPr="00A10F30" w:rsidRDefault="00A10F30" w:rsidP="00AF3559">
      <w:r w:rsidRPr="00A10F30">
        <w:t>The Department of Education and Training’s 2016</w:t>
      </w:r>
      <w:r>
        <w:noBreakHyphen/>
      </w:r>
      <w:r w:rsidRPr="00A10F30">
        <w:t>17 Budget forward estimates model for HELP was used to cost the proposal.  This model takes account of the decision of the Government in the 2016</w:t>
      </w:r>
      <w:r>
        <w:noBreakHyphen/>
      </w:r>
      <w:r w:rsidRPr="00A10F30">
        <w:t>17 Budget not to proceed with the deregulation of university fees announced in the 2014</w:t>
      </w:r>
      <w:r>
        <w:noBreakHyphen/>
      </w:r>
      <w:r w:rsidRPr="00A10F30">
        <w:t>15 Budget.</w:t>
      </w:r>
    </w:p>
    <w:p w:rsidR="00A10F30" w:rsidRPr="00A10F30" w:rsidRDefault="00A10F30" w:rsidP="00AF3559">
      <w:r w:rsidRPr="00A10F30">
        <w:t>As per the proposal, reductions in HECS-HELP student contributions are offset exactly by an increase in CGS payments that are paid by the Government to universities.  The increase in CGS payments decreases the fiscal, underlying cash and headline cash balances.</w:t>
      </w:r>
    </w:p>
    <w:p w:rsidR="00A10F30" w:rsidRDefault="00A10F30" w:rsidP="00AF3559">
      <w:r w:rsidRPr="00A10F30">
        <w:lastRenderedPageBreak/>
        <w:t>The costing applies the reduction in HECS-HELP student contribution to the base funding estimates profile in the HELP model.  The HELP component of the proposal has the following impacts on budget balances:</w:t>
      </w:r>
    </w:p>
    <w:p w:rsidR="00A10F30" w:rsidRDefault="00A10F30" w:rsidP="00A10F30">
      <w:pPr>
        <w:pStyle w:val="Captionheading"/>
      </w:pPr>
      <w:r>
        <w:t>Fiscal balance impact – components</w:t>
      </w:r>
    </w:p>
    <w:p w:rsidR="00A10F30" w:rsidRDefault="00A10F30" w:rsidP="00A10F30">
      <w:pPr>
        <w:pStyle w:val="Bullet1"/>
      </w:pPr>
      <w:r>
        <w:t>Lower interest revenue from smaller HECS-HELP loans being issued has a negative impact on the fiscal balance.</w:t>
      </w:r>
    </w:p>
    <w:p w:rsidR="00A10F30" w:rsidRDefault="00A10F30" w:rsidP="00A10F30">
      <w:pPr>
        <w:pStyle w:val="Bullet1"/>
      </w:pPr>
      <w:r>
        <w:t>Lower concessional loan discount expenses due to smaller HECS-HELP loans being issued have a positive impact on the fiscal balance.</w:t>
      </w:r>
    </w:p>
    <w:p w:rsidR="00A10F30" w:rsidRDefault="00A10F30" w:rsidP="00A10F30">
      <w:pPr>
        <w:pStyle w:val="Bullet1"/>
      </w:pPr>
      <w:r>
        <w:t>Concessional loan discount unwinding revenue in later years offsets the reduced concessional loan discount expenses and has a negative impact on the fiscal balance.  Over the life of an individual loan, the concessional loan discount unwinding revenue is equal to the concessional loan discount expenses and results in a nil impact on the fiscal balance</w:t>
      </w:r>
      <w:r>
        <w:rPr>
          <w:rStyle w:val="FootnoteReference"/>
        </w:rPr>
        <w:footnoteReference w:id="1"/>
      </w:r>
      <w:r>
        <w:t>.</w:t>
      </w:r>
    </w:p>
    <w:p w:rsidR="00A10F30" w:rsidRDefault="00A10F30" w:rsidP="00A10F30">
      <w:pPr>
        <w:pStyle w:val="Bullet1"/>
      </w:pPr>
      <w:r>
        <w:t>Reductions in write-downs of bad debts (due to smaller HECS-HELP loans being issued) have a positive impact on the fiscal balance.</w:t>
      </w:r>
    </w:p>
    <w:p w:rsidR="00A10F30" w:rsidRDefault="00A10F30" w:rsidP="00A10F30">
      <w:pPr>
        <w:pStyle w:val="Bullet1"/>
      </w:pPr>
      <w:r>
        <w:t>Lower PDI expenses have a positive impact on the fiscal balance.</w:t>
      </w:r>
    </w:p>
    <w:p w:rsidR="00A10F30" w:rsidRDefault="00A10F30" w:rsidP="00A10F30">
      <w:pPr>
        <w:pStyle w:val="Captionheading"/>
      </w:pPr>
      <w:r>
        <w:t>Underlying cash balance impact – components</w:t>
      </w:r>
    </w:p>
    <w:p w:rsidR="00A10F30" w:rsidRDefault="00A10F30" w:rsidP="00A10F30">
      <w:pPr>
        <w:pStyle w:val="Bullet1"/>
      </w:pPr>
      <w:r>
        <w:t xml:space="preserve">Lower interest receipts from smaller HECS-HELP loans being issued have a negative impact on the </w:t>
      </w:r>
      <w:r w:rsidR="00C02773">
        <w:t xml:space="preserve">underlying cash </w:t>
      </w:r>
      <w:r>
        <w:t>balance.</w:t>
      </w:r>
    </w:p>
    <w:p w:rsidR="00A10F30" w:rsidRDefault="00A10F30" w:rsidP="00A10F30">
      <w:pPr>
        <w:pStyle w:val="Bullet1"/>
      </w:pPr>
      <w:r>
        <w:t>Lower PDI payments have a positive impact on the underlying cash balance.</w:t>
      </w:r>
    </w:p>
    <w:p w:rsidR="00A10F30" w:rsidRDefault="00A10F30" w:rsidP="00A10F30">
      <w:pPr>
        <w:pStyle w:val="Captionheading"/>
      </w:pPr>
      <w:r>
        <w:t>Headline cash balance impact – components</w:t>
      </w:r>
    </w:p>
    <w:p w:rsidR="00A10F30" w:rsidRDefault="00A10F30" w:rsidP="00A10F30">
      <w:pPr>
        <w:pStyle w:val="Bullet1"/>
      </w:pPr>
      <w:r>
        <w:t>Reduced borrowings by HECS-HELP students have a positive impact on the headline cash balance.</w:t>
      </w:r>
    </w:p>
    <w:p w:rsidR="00A10F30" w:rsidRDefault="00A10F30" w:rsidP="00A10F30">
      <w:pPr>
        <w:pStyle w:val="Bullet1"/>
      </w:pPr>
      <w:r>
        <w:t>Lower principal repayments by HECS-HELP students have a negative impact on the headline cash balance.</w:t>
      </w:r>
    </w:p>
    <w:p w:rsidR="00A10F30" w:rsidRDefault="00A10F30" w:rsidP="00A10F30">
      <w:pPr>
        <w:pStyle w:val="Bullet1"/>
      </w:pPr>
      <w:r>
        <w:t>Lower interest receipts from smaller HECS-HELP loans being issued have a negative impact on the headline cash balance.</w:t>
      </w:r>
    </w:p>
    <w:p w:rsidR="00A10F30" w:rsidRDefault="00A10F30" w:rsidP="00A10F30">
      <w:pPr>
        <w:pStyle w:val="Bullet1"/>
      </w:pPr>
      <w:r>
        <w:t>Lower PDI payments have a positive impact on the headline cash balance.</w:t>
      </w:r>
    </w:p>
    <w:p w:rsidR="00A10F30" w:rsidRPr="00A10F30" w:rsidRDefault="00A10F30" w:rsidP="001F1EC6">
      <w:pPr>
        <w:pStyle w:val="BodyText"/>
        <w:spacing w:before="340"/>
      </w:pPr>
      <w:r>
        <w:t>The financial implication of the proposal is the total financial impact of its HELP and CGS components.  All estimates are rounded to the nearest $10 million.</w:t>
      </w:r>
    </w:p>
    <w:p w:rsidR="005E3562" w:rsidRPr="00FC6579" w:rsidRDefault="005E3562" w:rsidP="00A10F30">
      <w:pPr>
        <w:pStyle w:val="Heading2"/>
      </w:pPr>
      <w:r w:rsidRPr="00FC6579">
        <w:lastRenderedPageBreak/>
        <w:t>Data sources</w:t>
      </w:r>
    </w:p>
    <w:p w:rsidR="00507897" w:rsidRDefault="00A10F30" w:rsidP="00AF3559">
      <w:r w:rsidRPr="00A10F30">
        <w:t>The Department of Education</w:t>
      </w:r>
      <w:r w:rsidR="009A5B18">
        <w:t xml:space="preserve"> and Training provided the 2016</w:t>
      </w:r>
      <w:r w:rsidR="009A5B18">
        <w:noBreakHyphen/>
      </w:r>
      <w:r w:rsidRPr="00A10F30">
        <w:t>17 HELP forward estimates model</w:t>
      </w:r>
      <w:r w:rsidR="00561C39">
        <w:t>.</w:t>
      </w:r>
    </w:p>
    <w:p w:rsidR="00561C39" w:rsidRDefault="00561C39" w:rsidP="00AF3559"/>
    <w:p w:rsidR="00561C39" w:rsidRPr="00002D5D" w:rsidRDefault="00561C39" w:rsidP="00AF3559">
      <w:pPr>
        <w:rPr>
          <w:highlight w:val="yellow"/>
        </w:rPr>
        <w:sectPr w:rsidR="00561C39" w:rsidRPr="00002D5D" w:rsidSect="00002D5D">
          <w:headerReference w:type="first" r:id="rId15"/>
          <w:footerReference w:type="first" r:id="rId16"/>
          <w:pgSz w:w="11906" w:h="16838"/>
          <w:pgMar w:top="1361" w:right="1797" w:bottom="1474" w:left="1797" w:header="709" w:footer="709" w:gutter="0"/>
          <w:cols w:space="708"/>
          <w:titlePg/>
          <w:docGrid w:linePitch="360"/>
        </w:sectPr>
      </w:pPr>
    </w:p>
    <w:p w:rsidR="00AF3559" w:rsidRPr="00FC6579" w:rsidRDefault="00AF3559" w:rsidP="000A4C34">
      <w:pPr>
        <w:pStyle w:val="Heading1"/>
        <w:spacing w:before="0" w:after="240"/>
      </w:pPr>
      <w:r w:rsidRPr="00FC6579">
        <w:lastRenderedPageBreak/>
        <w:t>Attachment A:</w:t>
      </w:r>
      <w:r>
        <w:t xml:space="preserve"> Reducing higher education contribution scheme (HECS) burden—financial implications</w:t>
      </w:r>
    </w:p>
    <w:p w:rsidR="00AF3559" w:rsidRDefault="00AF3559" w:rsidP="000A4C34">
      <w:pPr>
        <w:pStyle w:val="Captionheading"/>
        <w:spacing w:before="0" w:after="120"/>
      </w:pPr>
      <w:r>
        <w:t>Table A1</w:t>
      </w:r>
      <w:r w:rsidRPr="00FC6579">
        <w:t xml:space="preserve">: </w:t>
      </w:r>
      <w:r w:rsidRPr="00AF3559">
        <w:t>Reducing HECS-HELP student contributions by 20 per cent from 1 January 2017</w:t>
      </w:r>
      <w:r w:rsidR="002C1AA3">
        <w:t>—</w:t>
      </w:r>
      <w:r>
        <w:t>Fiscal balance</w:t>
      </w:r>
      <w:r w:rsidRPr="001F7D6A">
        <w:rPr>
          <w:vertAlign w:val="superscript"/>
        </w:rPr>
        <w:t>(a)(b)</w:t>
      </w:r>
    </w:p>
    <w:tbl>
      <w:tblPr>
        <w:tblStyle w:val="TableGrid"/>
        <w:tblW w:w="4967" w:type="pct"/>
        <w:tblLook w:val="0680" w:firstRow="0" w:lastRow="0" w:firstColumn="1" w:lastColumn="0" w:noHBand="1" w:noVBand="1"/>
      </w:tblPr>
      <w:tblGrid>
        <w:gridCol w:w="2935"/>
        <w:gridCol w:w="844"/>
        <w:gridCol w:w="838"/>
        <w:gridCol w:w="841"/>
        <w:gridCol w:w="841"/>
        <w:gridCol w:w="838"/>
        <w:gridCol w:w="838"/>
        <w:gridCol w:w="841"/>
        <w:gridCol w:w="838"/>
        <w:gridCol w:w="838"/>
        <w:gridCol w:w="838"/>
        <w:gridCol w:w="838"/>
        <w:gridCol w:w="838"/>
        <w:gridCol w:w="908"/>
        <w:gridCol w:w="8"/>
      </w:tblGrid>
      <w:tr w:rsidR="00866E2A" w:rsidRPr="00B31810" w:rsidTr="00866E2A">
        <w:trPr>
          <w:cantSplit/>
          <w:tblHeader/>
        </w:trPr>
        <w:tc>
          <w:tcPr>
            <w:cnfStyle w:val="001000000000" w:firstRow="0" w:lastRow="0" w:firstColumn="1" w:lastColumn="0" w:oddVBand="0" w:evenVBand="0" w:oddHBand="0" w:evenHBand="0" w:firstRowFirstColumn="0" w:firstRowLastColumn="0" w:lastRowFirstColumn="0" w:lastRowLastColumn="0"/>
            <w:tcW w:w="1054" w:type="pct"/>
            <w:shd w:val="clear" w:color="auto" w:fill="D7DDE9"/>
          </w:tcPr>
          <w:p w:rsidR="00AF3559" w:rsidRPr="00A65EA3" w:rsidRDefault="00AF3559" w:rsidP="000A4C34">
            <w:pPr>
              <w:spacing w:before="70" w:after="70" w:line="240" w:lineRule="auto"/>
              <w:ind w:left="57" w:right="57"/>
            </w:pPr>
            <w:r w:rsidRPr="00A65EA3">
              <w:t>($m)</w:t>
            </w:r>
          </w:p>
        </w:tc>
        <w:tc>
          <w:tcPr>
            <w:tcW w:w="303" w:type="pct"/>
            <w:shd w:val="clear" w:color="auto" w:fill="D7DDE9"/>
          </w:tcPr>
          <w:p w:rsidR="00AF3559" w:rsidRPr="00C24267" w:rsidRDefault="00AF3559" w:rsidP="00866E2A">
            <w:pPr>
              <w:pStyle w:val="TableHeadingCentred"/>
              <w:keepNext w:val="0"/>
              <w:keepLines w:val="0"/>
              <w:cnfStyle w:val="000000000000" w:firstRow="0" w:lastRow="0" w:firstColumn="0" w:lastColumn="0" w:oddVBand="0" w:evenVBand="0" w:oddHBand="0" w:evenHBand="0" w:firstRowFirstColumn="0" w:firstRowLastColumn="0" w:lastRowFirstColumn="0" w:lastRowLastColumn="0"/>
            </w:pPr>
            <w:r w:rsidRPr="00C24267">
              <w:t>2016–17</w:t>
            </w:r>
          </w:p>
        </w:tc>
        <w:tc>
          <w:tcPr>
            <w:tcW w:w="301" w:type="pct"/>
            <w:shd w:val="clear" w:color="auto" w:fill="D7DDE9"/>
          </w:tcPr>
          <w:p w:rsidR="00AF3559" w:rsidRPr="00C24267" w:rsidRDefault="00AF3559" w:rsidP="00866E2A">
            <w:pPr>
              <w:pStyle w:val="TableHeadingCentred"/>
              <w:keepNext w:val="0"/>
              <w:keepLines w:val="0"/>
              <w:cnfStyle w:val="000000000000" w:firstRow="0" w:lastRow="0" w:firstColumn="0" w:lastColumn="0" w:oddVBand="0" w:evenVBand="0" w:oddHBand="0" w:evenHBand="0" w:firstRowFirstColumn="0" w:firstRowLastColumn="0" w:lastRowFirstColumn="0" w:lastRowLastColumn="0"/>
            </w:pPr>
            <w:r w:rsidRPr="00C24267">
              <w:t>2017–18</w:t>
            </w:r>
          </w:p>
        </w:tc>
        <w:tc>
          <w:tcPr>
            <w:tcW w:w="302" w:type="pct"/>
            <w:shd w:val="clear" w:color="auto" w:fill="D7DDE9"/>
          </w:tcPr>
          <w:p w:rsidR="00AF3559" w:rsidRPr="00C24267" w:rsidRDefault="00AF3559" w:rsidP="00866E2A">
            <w:pPr>
              <w:pStyle w:val="TableHeadingCentred"/>
              <w:keepNext w:val="0"/>
              <w:keepLines w:val="0"/>
              <w:cnfStyle w:val="000000000000" w:firstRow="0" w:lastRow="0" w:firstColumn="0" w:lastColumn="0" w:oddVBand="0" w:evenVBand="0" w:oddHBand="0" w:evenHBand="0" w:firstRowFirstColumn="0" w:firstRowLastColumn="0" w:lastRowFirstColumn="0" w:lastRowLastColumn="0"/>
            </w:pPr>
            <w:r w:rsidRPr="00C24267">
              <w:t>2018–19</w:t>
            </w:r>
          </w:p>
        </w:tc>
        <w:tc>
          <w:tcPr>
            <w:tcW w:w="302" w:type="pct"/>
            <w:shd w:val="clear" w:color="auto" w:fill="D7DDE9"/>
          </w:tcPr>
          <w:p w:rsidR="00AF3559" w:rsidRPr="00C24267" w:rsidRDefault="00AF3559" w:rsidP="00866E2A">
            <w:pPr>
              <w:pStyle w:val="TableHeadingCentred"/>
              <w:keepNext w:val="0"/>
              <w:keepLines w:val="0"/>
              <w:cnfStyle w:val="000000000000" w:firstRow="0" w:lastRow="0" w:firstColumn="0" w:lastColumn="0" w:oddVBand="0" w:evenVBand="0" w:oddHBand="0" w:evenHBand="0" w:firstRowFirstColumn="0" w:firstRowLastColumn="0" w:lastRowFirstColumn="0" w:lastRowLastColumn="0"/>
            </w:pPr>
            <w:r w:rsidRPr="00C24267">
              <w:t>2019–20</w:t>
            </w:r>
          </w:p>
        </w:tc>
        <w:tc>
          <w:tcPr>
            <w:tcW w:w="301" w:type="pct"/>
            <w:shd w:val="clear" w:color="auto" w:fill="D7DDE9"/>
          </w:tcPr>
          <w:p w:rsidR="00AF3559" w:rsidRPr="00AE30B5" w:rsidRDefault="00AF3559" w:rsidP="00866E2A">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b/>
              </w:rPr>
            </w:pPr>
            <w:r w:rsidRPr="00AE30B5">
              <w:rPr>
                <w:b/>
              </w:rPr>
              <w:t>Total to 2019–20</w:t>
            </w:r>
          </w:p>
        </w:tc>
        <w:tc>
          <w:tcPr>
            <w:tcW w:w="301" w:type="pct"/>
            <w:shd w:val="clear" w:color="auto" w:fill="D7DDE9"/>
          </w:tcPr>
          <w:p w:rsidR="00AF3559" w:rsidRPr="00C24267" w:rsidRDefault="00AF3559" w:rsidP="00866E2A">
            <w:pPr>
              <w:pStyle w:val="TableHeadingCentred"/>
              <w:keepNext w:val="0"/>
              <w:keepLines w:val="0"/>
              <w:cnfStyle w:val="000000000000" w:firstRow="0" w:lastRow="0" w:firstColumn="0" w:lastColumn="0" w:oddVBand="0" w:evenVBand="0" w:oddHBand="0" w:evenHBand="0" w:firstRowFirstColumn="0" w:firstRowLastColumn="0" w:lastRowFirstColumn="0" w:lastRowLastColumn="0"/>
            </w:pPr>
            <w:r w:rsidRPr="00C24267">
              <w:t>2020–21</w:t>
            </w:r>
          </w:p>
        </w:tc>
        <w:tc>
          <w:tcPr>
            <w:tcW w:w="302" w:type="pct"/>
            <w:shd w:val="clear" w:color="auto" w:fill="D7DDE9"/>
          </w:tcPr>
          <w:p w:rsidR="00AF3559" w:rsidRPr="00C24267" w:rsidRDefault="00AF3559" w:rsidP="00866E2A">
            <w:pPr>
              <w:pStyle w:val="TableHeadingCentred"/>
              <w:keepNext w:val="0"/>
              <w:keepLines w:val="0"/>
              <w:cnfStyle w:val="000000000000" w:firstRow="0" w:lastRow="0" w:firstColumn="0" w:lastColumn="0" w:oddVBand="0" w:evenVBand="0" w:oddHBand="0" w:evenHBand="0" w:firstRowFirstColumn="0" w:firstRowLastColumn="0" w:lastRowFirstColumn="0" w:lastRowLastColumn="0"/>
            </w:pPr>
            <w:r w:rsidRPr="00C24267">
              <w:t>2021–22</w:t>
            </w:r>
          </w:p>
        </w:tc>
        <w:tc>
          <w:tcPr>
            <w:tcW w:w="301" w:type="pct"/>
            <w:shd w:val="clear" w:color="auto" w:fill="D7DDE9"/>
          </w:tcPr>
          <w:p w:rsidR="00AF3559" w:rsidRPr="00C24267" w:rsidRDefault="00AF3559" w:rsidP="00866E2A">
            <w:pPr>
              <w:pStyle w:val="TableHeadingCentred"/>
              <w:keepNext w:val="0"/>
              <w:keepLines w:val="0"/>
              <w:cnfStyle w:val="000000000000" w:firstRow="0" w:lastRow="0" w:firstColumn="0" w:lastColumn="0" w:oddVBand="0" w:evenVBand="0" w:oddHBand="0" w:evenHBand="0" w:firstRowFirstColumn="0" w:firstRowLastColumn="0" w:lastRowFirstColumn="0" w:lastRowLastColumn="0"/>
            </w:pPr>
            <w:r w:rsidRPr="00C24267">
              <w:t>2022–23</w:t>
            </w:r>
          </w:p>
        </w:tc>
        <w:tc>
          <w:tcPr>
            <w:tcW w:w="301" w:type="pct"/>
            <w:shd w:val="clear" w:color="auto" w:fill="D7DDE9"/>
          </w:tcPr>
          <w:p w:rsidR="00AF3559" w:rsidRPr="00C24267" w:rsidRDefault="00AF3559" w:rsidP="00866E2A">
            <w:pPr>
              <w:pStyle w:val="TableHeadingCentred"/>
              <w:keepNext w:val="0"/>
              <w:keepLines w:val="0"/>
              <w:cnfStyle w:val="000000000000" w:firstRow="0" w:lastRow="0" w:firstColumn="0" w:lastColumn="0" w:oddVBand="0" w:evenVBand="0" w:oddHBand="0" w:evenHBand="0" w:firstRowFirstColumn="0" w:firstRowLastColumn="0" w:lastRowFirstColumn="0" w:lastRowLastColumn="0"/>
            </w:pPr>
            <w:r w:rsidRPr="00C24267">
              <w:t>2023–24</w:t>
            </w:r>
          </w:p>
        </w:tc>
        <w:tc>
          <w:tcPr>
            <w:tcW w:w="301" w:type="pct"/>
            <w:shd w:val="clear" w:color="auto" w:fill="D7DDE9"/>
          </w:tcPr>
          <w:p w:rsidR="00AF3559" w:rsidRPr="00C24267" w:rsidRDefault="00AF3559" w:rsidP="00866E2A">
            <w:pPr>
              <w:pStyle w:val="TableHeadingCentred"/>
              <w:keepNext w:val="0"/>
              <w:keepLines w:val="0"/>
              <w:cnfStyle w:val="000000000000" w:firstRow="0" w:lastRow="0" w:firstColumn="0" w:lastColumn="0" w:oddVBand="0" w:evenVBand="0" w:oddHBand="0" w:evenHBand="0" w:firstRowFirstColumn="0" w:firstRowLastColumn="0" w:lastRowFirstColumn="0" w:lastRowLastColumn="0"/>
            </w:pPr>
            <w:r w:rsidRPr="00C24267">
              <w:t>2024–25</w:t>
            </w:r>
          </w:p>
        </w:tc>
        <w:tc>
          <w:tcPr>
            <w:tcW w:w="301" w:type="pct"/>
            <w:shd w:val="clear" w:color="auto" w:fill="D7DDE9"/>
          </w:tcPr>
          <w:p w:rsidR="00AF3559" w:rsidRPr="00C24267" w:rsidRDefault="00AF3559" w:rsidP="00866E2A">
            <w:pPr>
              <w:pStyle w:val="TableHeadingCentred"/>
              <w:keepNext w:val="0"/>
              <w:keepLines w:val="0"/>
              <w:cnfStyle w:val="000000000000" w:firstRow="0" w:lastRow="0" w:firstColumn="0" w:lastColumn="0" w:oddVBand="0" w:evenVBand="0" w:oddHBand="0" w:evenHBand="0" w:firstRowFirstColumn="0" w:firstRowLastColumn="0" w:lastRowFirstColumn="0" w:lastRowLastColumn="0"/>
            </w:pPr>
            <w:r w:rsidRPr="00C24267">
              <w:t>2025–26</w:t>
            </w:r>
          </w:p>
        </w:tc>
        <w:tc>
          <w:tcPr>
            <w:tcW w:w="300" w:type="pct"/>
            <w:shd w:val="clear" w:color="auto" w:fill="D7DDE9"/>
          </w:tcPr>
          <w:p w:rsidR="00AF3559" w:rsidRPr="00C24267" w:rsidRDefault="00AF3559" w:rsidP="00866E2A">
            <w:pPr>
              <w:pStyle w:val="TableHeadingCentred"/>
              <w:keepNext w:val="0"/>
              <w:keepLines w:val="0"/>
              <w:cnfStyle w:val="000000000000" w:firstRow="0" w:lastRow="0" w:firstColumn="0" w:lastColumn="0" w:oddVBand="0" w:evenVBand="0" w:oddHBand="0" w:evenHBand="0" w:firstRowFirstColumn="0" w:firstRowLastColumn="0" w:lastRowFirstColumn="0" w:lastRowLastColumn="0"/>
            </w:pPr>
            <w:r w:rsidRPr="00C24267">
              <w:t>2026–27</w:t>
            </w:r>
          </w:p>
        </w:tc>
        <w:tc>
          <w:tcPr>
            <w:tcW w:w="332" w:type="pct"/>
            <w:gridSpan w:val="2"/>
            <w:shd w:val="clear" w:color="auto" w:fill="D7DDE9"/>
          </w:tcPr>
          <w:p w:rsidR="00AF3559" w:rsidRPr="00AE30B5" w:rsidRDefault="00AF3559" w:rsidP="00866E2A">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b/>
              </w:rPr>
            </w:pPr>
            <w:r w:rsidRPr="00AE30B5">
              <w:rPr>
                <w:b/>
              </w:rPr>
              <w:t>Total to 2026–27</w:t>
            </w:r>
          </w:p>
        </w:tc>
      </w:tr>
      <w:tr w:rsidR="00866E2A" w:rsidTr="00866E2A">
        <w:trPr>
          <w:cantSplit/>
        </w:trPr>
        <w:tc>
          <w:tcPr>
            <w:cnfStyle w:val="001000000000" w:firstRow="0" w:lastRow="0" w:firstColumn="1" w:lastColumn="0" w:oddVBand="0" w:evenVBand="0" w:oddHBand="0" w:evenHBand="0" w:firstRowFirstColumn="0" w:firstRowLastColumn="0" w:lastRowFirstColumn="0" w:lastRowLastColumn="0"/>
            <w:tcW w:w="1054" w:type="pct"/>
          </w:tcPr>
          <w:p w:rsidR="008F7DD7" w:rsidRPr="008F7DD7" w:rsidRDefault="008F7DD7" w:rsidP="000A4C34">
            <w:pPr>
              <w:pStyle w:val="TableTextRight"/>
              <w:jc w:val="left"/>
              <w:rPr>
                <w:i w:val="0"/>
              </w:rPr>
            </w:pPr>
            <w:r w:rsidRPr="008F7DD7">
              <w:rPr>
                <w:i w:val="0"/>
              </w:rPr>
              <w:t>Commonwealth Grant Scheme expenses</w:t>
            </w:r>
          </w:p>
        </w:tc>
        <w:tc>
          <w:tcPr>
            <w:tcW w:w="303"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-460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-960</w:t>
            </w:r>
            <w:r w:rsidR="009A5B18" w:rsidRPr="000A4C34">
              <w:t>.0</w:t>
            </w:r>
          </w:p>
        </w:tc>
        <w:tc>
          <w:tcPr>
            <w:tcW w:w="302"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-1,040</w:t>
            </w:r>
            <w:r w:rsidR="009A5B18" w:rsidRPr="000A4C34">
              <w:t>.0</w:t>
            </w:r>
          </w:p>
        </w:tc>
        <w:tc>
          <w:tcPr>
            <w:tcW w:w="302"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-1,100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rPr>
                <w:b/>
              </w:rPr>
            </w:pPr>
            <w:r w:rsidRPr="000A4C34">
              <w:rPr>
                <w:b/>
              </w:rPr>
              <w:t>-3,570</w:t>
            </w:r>
            <w:r w:rsidR="009A5B18" w:rsidRPr="000A4C34">
              <w:rPr>
                <w:b/>
              </w:rPr>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-1,160</w:t>
            </w:r>
            <w:r w:rsidR="009A5B18" w:rsidRPr="000A4C34">
              <w:t>.0</w:t>
            </w:r>
          </w:p>
        </w:tc>
        <w:tc>
          <w:tcPr>
            <w:tcW w:w="302"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-1,210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-1,270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-1,320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-1,380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-1,440</w:t>
            </w:r>
            <w:r w:rsidR="009A5B18" w:rsidRPr="000A4C34">
              <w:t>.0</w:t>
            </w:r>
          </w:p>
        </w:tc>
        <w:tc>
          <w:tcPr>
            <w:tcW w:w="300"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-1,500</w:t>
            </w:r>
            <w:r w:rsidR="009A5B18" w:rsidRPr="000A4C34">
              <w:t>.0</w:t>
            </w:r>
          </w:p>
        </w:tc>
        <w:tc>
          <w:tcPr>
            <w:tcW w:w="332" w:type="pct"/>
            <w:gridSpan w:val="2"/>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rPr>
                <w:b/>
              </w:rPr>
            </w:pPr>
            <w:r w:rsidRPr="000A4C34">
              <w:rPr>
                <w:b/>
              </w:rPr>
              <w:t>-12,840</w:t>
            </w:r>
            <w:r w:rsidR="009A5B18" w:rsidRPr="000A4C34">
              <w:rPr>
                <w:b/>
              </w:rPr>
              <w:t>.0</w:t>
            </w:r>
          </w:p>
        </w:tc>
      </w:tr>
      <w:tr w:rsidR="00866E2A" w:rsidTr="00866E2A">
        <w:trPr>
          <w:gridAfter w:val="1"/>
          <w:wAfter w:w="6" w:type="pct"/>
          <w:cantSplit/>
        </w:trPr>
        <w:tc>
          <w:tcPr>
            <w:cnfStyle w:val="001000000000" w:firstRow="0" w:lastRow="0" w:firstColumn="1" w:lastColumn="0" w:oddVBand="0" w:evenVBand="0" w:oddHBand="0" w:evenHBand="0" w:firstRowFirstColumn="0" w:firstRowLastColumn="0" w:lastRowFirstColumn="0" w:lastRowLastColumn="0"/>
            <w:tcW w:w="4994" w:type="pct"/>
            <w:gridSpan w:val="14"/>
          </w:tcPr>
          <w:p w:rsidR="00866E2A" w:rsidRPr="00866E2A" w:rsidRDefault="00866E2A" w:rsidP="00866E2A">
            <w:pPr>
              <w:pStyle w:val="TableTextRight"/>
              <w:jc w:val="left"/>
            </w:pPr>
            <w:r w:rsidRPr="00866E2A">
              <w:rPr>
                <w:i w:val="0"/>
              </w:rPr>
              <w:t>Higher Education Loan Programme</w:t>
            </w:r>
          </w:p>
        </w:tc>
      </w:tr>
      <w:tr w:rsidR="00866E2A" w:rsidTr="00866E2A">
        <w:trPr>
          <w:gridAfter w:val="1"/>
          <w:wAfter w:w="4" w:type="pct"/>
          <w:cantSplit/>
        </w:trPr>
        <w:tc>
          <w:tcPr>
            <w:cnfStyle w:val="001000000000" w:firstRow="0" w:lastRow="0" w:firstColumn="1" w:lastColumn="0" w:oddVBand="0" w:evenVBand="0" w:oddHBand="0" w:evenHBand="0" w:firstRowFirstColumn="0" w:firstRowLastColumn="0" w:lastRowFirstColumn="0" w:lastRowLastColumn="0"/>
            <w:tcW w:w="1054" w:type="pct"/>
          </w:tcPr>
          <w:p w:rsidR="008F7DD7" w:rsidRPr="008F7DD7" w:rsidRDefault="008F7DD7" w:rsidP="00866E2A">
            <w:pPr>
              <w:pStyle w:val="TableTextRight"/>
              <w:ind w:left="454"/>
              <w:jc w:val="left"/>
            </w:pPr>
            <w:r w:rsidRPr="008F7DD7">
              <w:t>Concessional loan discount expense</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50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90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100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100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rPr>
                <w:b/>
              </w:rPr>
            </w:pPr>
            <w:r w:rsidRPr="000A4C34">
              <w:rPr>
                <w:b/>
              </w:rPr>
              <w:t>330</w:t>
            </w:r>
            <w:r w:rsidR="009A5B18" w:rsidRPr="000A4C34">
              <w:rPr>
                <w:b/>
              </w:rPr>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100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110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110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120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120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130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130</w:t>
            </w:r>
            <w:r w:rsidR="009A5B18" w:rsidRPr="000A4C34">
              <w:t>.0</w:t>
            </w:r>
          </w:p>
        </w:tc>
        <w:tc>
          <w:tcPr>
            <w:tcW w:w="326"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rPr>
                <w:b/>
              </w:rPr>
            </w:pPr>
            <w:r w:rsidRPr="000A4C34">
              <w:rPr>
                <w:b/>
              </w:rPr>
              <w:t>1,140</w:t>
            </w:r>
            <w:r w:rsidR="009A5B18" w:rsidRPr="000A4C34">
              <w:rPr>
                <w:b/>
              </w:rPr>
              <w:t>.0</w:t>
            </w:r>
          </w:p>
        </w:tc>
      </w:tr>
      <w:tr w:rsidR="00866E2A" w:rsidTr="00866E2A">
        <w:trPr>
          <w:gridAfter w:val="1"/>
          <w:wAfter w:w="4" w:type="pct"/>
          <w:cantSplit/>
        </w:trPr>
        <w:tc>
          <w:tcPr>
            <w:cnfStyle w:val="001000000000" w:firstRow="0" w:lastRow="0" w:firstColumn="1" w:lastColumn="0" w:oddVBand="0" w:evenVBand="0" w:oddHBand="0" w:evenHBand="0" w:firstRowFirstColumn="0" w:firstRowLastColumn="0" w:lastRowFirstColumn="0" w:lastRowLastColumn="0"/>
            <w:tcW w:w="1054" w:type="pct"/>
          </w:tcPr>
          <w:p w:rsidR="008F7DD7" w:rsidRPr="008F7DD7" w:rsidRDefault="008F7DD7" w:rsidP="00866E2A">
            <w:pPr>
              <w:pStyle w:val="TableTextRight"/>
              <w:ind w:left="454"/>
              <w:jc w:val="left"/>
            </w:pPr>
            <w:r w:rsidRPr="008F7DD7">
              <w:t>Concessional loan discount unwinding revenue</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-10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-20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rPr>
                <w:b/>
              </w:rPr>
            </w:pPr>
            <w:r w:rsidRPr="000A4C34">
              <w:rPr>
                <w:b/>
              </w:rPr>
              <w:t>-20</w:t>
            </w:r>
            <w:r w:rsidR="009A5B18" w:rsidRPr="000A4C34">
              <w:rPr>
                <w:b/>
              </w:rPr>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-30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-40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-50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-70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-80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-80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-90</w:t>
            </w:r>
            <w:r w:rsidR="009A5B18" w:rsidRPr="000A4C34">
              <w:t>.0</w:t>
            </w:r>
          </w:p>
        </w:tc>
        <w:tc>
          <w:tcPr>
            <w:tcW w:w="326"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rPr>
                <w:b/>
              </w:rPr>
            </w:pPr>
            <w:r w:rsidRPr="000A4C34">
              <w:rPr>
                <w:b/>
              </w:rPr>
              <w:t>-470</w:t>
            </w:r>
            <w:r w:rsidR="009A5B18" w:rsidRPr="000A4C34">
              <w:rPr>
                <w:b/>
              </w:rPr>
              <w:t>.0</w:t>
            </w:r>
          </w:p>
        </w:tc>
      </w:tr>
      <w:tr w:rsidR="00866E2A" w:rsidTr="00866E2A">
        <w:trPr>
          <w:gridAfter w:val="1"/>
          <w:wAfter w:w="4" w:type="pct"/>
          <w:cantSplit/>
        </w:trPr>
        <w:tc>
          <w:tcPr>
            <w:cnfStyle w:val="001000000000" w:firstRow="0" w:lastRow="0" w:firstColumn="1" w:lastColumn="0" w:oddVBand="0" w:evenVBand="0" w:oddHBand="0" w:evenHBand="0" w:firstRowFirstColumn="0" w:firstRowLastColumn="0" w:lastRowFirstColumn="0" w:lastRowLastColumn="0"/>
            <w:tcW w:w="1054" w:type="pct"/>
          </w:tcPr>
          <w:p w:rsidR="008F7DD7" w:rsidRPr="009A5B18" w:rsidRDefault="008F7DD7" w:rsidP="00866E2A">
            <w:pPr>
              <w:pStyle w:val="TableTextRight"/>
              <w:ind w:left="227"/>
              <w:jc w:val="left"/>
            </w:pPr>
            <w:r w:rsidRPr="009A5B18">
              <w:t>Net concessional loan discount</w:t>
            </w:r>
            <w:r w:rsidR="00B04066" w:rsidRPr="00761E83">
              <w:rPr>
                <w:vertAlign w:val="superscript"/>
              </w:rPr>
              <w:t>(c)</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50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90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90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80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rPr>
                <w:b/>
              </w:rPr>
            </w:pPr>
            <w:r w:rsidRPr="000A4C34">
              <w:rPr>
                <w:b/>
              </w:rPr>
              <w:t>310</w:t>
            </w:r>
            <w:r w:rsidR="009A5B18" w:rsidRPr="000A4C34">
              <w:rPr>
                <w:b/>
              </w:rPr>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70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60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60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50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40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40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40</w:t>
            </w:r>
            <w:r w:rsidR="009A5B18" w:rsidRPr="000A4C34">
              <w:t>.0</w:t>
            </w:r>
          </w:p>
        </w:tc>
        <w:tc>
          <w:tcPr>
            <w:tcW w:w="326"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rPr>
                <w:b/>
              </w:rPr>
            </w:pPr>
            <w:r w:rsidRPr="000A4C34">
              <w:rPr>
                <w:b/>
              </w:rPr>
              <w:t>670</w:t>
            </w:r>
            <w:r w:rsidR="009A5B18" w:rsidRPr="000A4C34">
              <w:rPr>
                <w:b/>
              </w:rPr>
              <w:t>.0</w:t>
            </w:r>
          </w:p>
        </w:tc>
      </w:tr>
      <w:tr w:rsidR="00866E2A" w:rsidTr="00866E2A">
        <w:trPr>
          <w:gridAfter w:val="1"/>
          <w:wAfter w:w="4" w:type="pct"/>
          <w:cantSplit/>
        </w:trPr>
        <w:tc>
          <w:tcPr>
            <w:cnfStyle w:val="001000000000" w:firstRow="0" w:lastRow="0" w:firstColumn="1" w:lastColumn="0" w:oddVBand="0" w:evenVBand="0" w:oddHBand="0" w:evenHBand="0" w:firstRowFirstColumn="0" w:firstRowLastColumn="0" w:lastRowFirstColumn="0" w:lastRowLastColumn="0"/>
            <w:tcW w:w="1054" w:type="pct"/>
          </w:tcPr>
          <w:p w:rsidR="008F7DD7" w:rsidRPr="009A5B18" w:rsidRDefault="008F7DD7" w:rsidP="00866E2A">
            <w:pPr>
              <w:pStyle w:val="TableTextRight"/>
              <w:ind w:left="227"/>
              <w:jc w:val="left"/>
            </w:pPr>
            <w:r w:rsidRPr="009A5B18">
              <w:t>Interest revenue accrued</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-10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-20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-50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rPr>
                <w:b/>
              </w:rPr>
            </w:pPr>
            <w:r w:rsidRPr="000A4C34">
              <w:rPr>
                <w:b/>
              </w:rPr>
              <w:t>-80</w:t>
            </w:r>
            <w:r w:rsidR="009A5B18" w:rsidRPr="000A4C34">
              <w:rPr>
                <w:b/>
              </w:rPr>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-70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-90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-110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-130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-160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-180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-210</w:t>
            </w:r>
            <w:r w:rsidR="009A5B18" w:rsidRPr="000A4C34">
              <w:t>.0</w:t>
            </w:r>
          </w:p>
        </w:tc>
        <w:tc>
          <w:tcPr>
            <w:tcW w:w="326"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rPr>
                <w:b/>
              </w:rPr>
            </w:pPr>
            <w:r w:rsidRPr="000A4C34">
              <w:rPr>
                <w:b/>
              </w:rPr>
              <w:t>-1,010</w:t>
            </w:r>
            <w:r w:rsidR="009A5B18" w:rsidRPr="000A4C34">
              <w:rPr>
                <w:b/>
              </w:rPr>
              <w:t>.0</w:t>
            </w:r>
          </w:p>
        </w:tc>
      </w:tr>
      <w:tr w:rsidR="00866E2A" w:rsidTr="00866E2A">
        <w:trPr>
          <w:gridAfter w:val="1"/>
          <w:wAfter w:w="4" w:type="pct"/>
          <w:cantSplit/>
        </w:trPr>
        <w:tc>
          <w:tcPr>
            <w:cnfStyle w:val="001000000000" w:firstRow="0" w:lastRow="0" w:firstColumn="1" w:lastColumn="0" w:oddVBand="0" w:evenVBand="0" w:oddHBand="0" w:evenHBand="0" w:firstRowFirstColumn="0" w:firstRowLastColumn="0" w:lastRowFirstColumn="0" w:lastRowLastColumn="0"/>
            <w:tcW w:w="1054" w:type="pct"/>
          </w:tcPr>
          <w:p w:rsidR="008F7DD7" w:rsidRPr="009A5B18" w:rsidRDefault="008F7DD7" w:rsidP="00866E2A">
            <w:pPr>
              <w:pStyle w:val="TableTextRight"/>
              <w:ind w:left="227"/>
              <w:jc w:val="left"/>
            </w:pPr>
            <w:r w:rsidRPr="009A5B18">
              <w:t>Loan write</w:t>
            </w:r>
            <w:r w:rsidR="00870213">
              <w:t>-</w:t>
            </w:r>
            <w:r w:rsidRPr="009A5B18">
              <w:t>downs</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rPr>
                <w:b/>
              </w:rPr>
            </w:pPr>
            <w:r w:rsidRPr="000A4C34">
              <w:rPr>
                <w:b/>
              </w:rPr>
              <w:t>..</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w:t>
            </w:r>
          </w:p>
        </w:tc>
        <w:tc>
          <w:tcPr>
            <w:tcW w:w="326"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rPr>
                <w:b/>
              </w:rPr>
            </w:pPr>
            <w:r w:rsidRPr="000A4C34">
              <w:rPr>
                <w:b/>
              </w:rPr>
              <w:t>20</w:t>
            </w:r>
            <w:r w:rsidR="009A5B18" w:rsidRPr="000A4C34">
              <w:rPr>
                <w:b/>
              </w:rPr>
              <w:t>.0</w:t>
            </w:r>
          </w:p>
        </w:tc>
      </w:tr>
      <w:tr w:rsidR="00866E2A" w:rsidTr="00866E2A">
        <w:trPr>
          <w:gridAfter w:val="1"/>
          <w:wAfter w:w="4" w:type="pct"/>
          <w:cantSplit/>
        </w:trPr>
        <w:tc>
          <w:tcPr>
            <w:cnfStyle w:val="001000000000" w:firstRow="0" w:lastRow="0" w:firstColumn="1" w:lastColumn="0" w:oddVBand="0" w:evenVBand="0" w:oddHBand="0" w:evenHBand="0" w:firstRowFirstColumn="0" w:firstRowLastColumn="0" w:lastRowFirstColumn="0" w:lastRowLastColumn="0"/>
            <w:tcW w:w="1054" w:type="pct"/>
          </w:tcPr>
          <w:p w:rsidR="008F7DD7" w:rsidRPr="008F7DD7" w:rsidRDefault="008F7DD7" w:rsidP="000A4C34">
            <w:pPr>
              <w:pStyle w:val="TableTextRight"/>
              <w:jc w:val="left"/>
              <w:rPr>
                <w:i w:val="0"/>
              </w:rPr>
            </w:pPr>
            <w:r w:rsidRPr="008F7DD7">
              <w:rPr>
                <w:i w:val="0"/>
              </w:rPr>
              <w:t>Public Debt Interest</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rPr>
                <w:b/>
              </w:rPr>
            </w:pPr>
            <w:r w:rsidRPr="000A4C34">
              <w:rPr>
                <w:b/>
              </w:rPr>
              <w:t>..</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-10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-20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-40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-60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-80</w:t>
            </w:r>
            <w:r w:rsidR="009A5B18" w:rsidRPr="000A4C34">
              <w:t>.0</w:t>
            </w:r>
          </w:p>
        </w:tc>
        <w:tc>
          <w:tcPr>
            <w:tcW w:w="301"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pPr>
            <w:r w:rsidRPr="000A4C34">
              <w:t>-110</w:t>
            </w:r>
            <w:r w:rsidR="009A5B18" w:rsidRPr="000A4C34">
              <w:t>.0</w:t>
            </w:r>
          </w:p>
        </w:tc>
        <w:tc>
          <w:tcPr>
            <w:tcW w:w="326" w:type="pct"/>
          </w:tcPr>
          <w:p w:rsidR="008F7DD7" w:rsidRPr="000A4C34" w:rsidRDefault="008F7DD7" w:rsidP="00866E2A">
            <w:pPr>
              <w:pStyle w:val="TableTextRight"/>
              <w:cnfStyle w:val="000000000000" w:firstRow="0" w:lastRow="0" w:firstColumn="0" w:lastColumn="0" w:oddVBand="0" w:evenVBand="0" w:oddHBand="0" w:evenHBand="0" w:firstRowFirstColumn="0" w:firstRowLastColumn="0" w:lastRowFirstColumn="0" w:lastRowLastColumn="0"/>
              <w:rPr>
                <w:b/>
              </w:rPr>
            </w:pPr>
            <w:r w:rsidRPr="000A4C34">
              <w:rPr>
                <w:b/>
              </w:rPr>
              <w:t>-330</w:t>
            </w:r>
            <w:r w:rsidR="009A5B18" w:rsidRPr="000A4C34">
              <w:rPr>
                <w:b/>
              </w:rPr>
              <w:t>.0</w:t>
            </w:r>
          </w:p>
        </w:tc>
      </w:tr>
      <w:tr w:rsidR="00866E2A" w:rsidRPr="00AB55AE" w:rsidTr="00866E2A">
        <w:trPr>
          <w:gridAfter w:val="1"/>
          <w:wAfter w:w="4" w:type="pct"/>
          <w:cantSplit/>
        </w:trPr>
        <w:tc>
          <w:tcPr>
            <w:cnfStyle w:val="001000000000" w:firstRow="0" w:lastRow="0" w:firstColumn="1" w:lastColumn="0" w:oddVBand="0" w:evenVBand="0" w:oddHBand="0" w:evenHBand="0" w:firstRowFirstColumn="0" w:firstRowLastColumn="0" w:lastRowFirstColumn="0" w:lastRowLastColumn="0"/>
            <w:tcW w:w="1054" w:type="pct"/>
            <w:shd w:val="clear" w:color="auto" w:fill="D7DDE9"/>
          </w:tcPr>
          <w:p w:rsidR="008F7DD7" w:rsidRPr="008F7DD7" w:rsidRDefault="008F7DD7" w:rsidP="000A4C34">
            <w:pPr>
              <w:pStyle w:val="TableTextRight"/>
              <w:jc w:val="left"/>
              <w:rPr>
                <w:b/>
                <w:i w:val="0"/>
              </w:rPr>
            </w:pPr>
            <w:r w:rsidRPr="008F7DD7">
              <w:rPr>
                <w:b/>
                <w:i w:val="0"/>
              </w:rPr>
              <w:t xml:space="preserve">Total </w:t>
            </w:r>
            <w:r>
              <w:rPr>
                <w:b/>
                <w:i w:val="0"/>
              </w:rPr>
              <w:t>impact</w:t>
            </w:r>
          </w:p>
        </w:tc>
        <w:tc>
          <w:tcPr>
            <w:tcW w:w="301" w:type="pct"/>
            <w:shd w:val="clear" w:color="auto" w:fill="D7DDE9"/>
          </w:tcPr>
          <w:p w:rsidR="008F7DD7" w:rsidRPr="008F7DD7" w:rsidRDefault="008F7DD7" w:rsidP="00866E2A">
            <w:pPr>
              <w:pStyle w:val="TableTextRight"/>
              <w:cnfStyle w:val="000000000000" w:firstRow="0" w:lastRow="0" w:firstColumn="0" w:lastColumn="0" w:oddVBand="0" w:evenVBand="0" w:oddHBand="0" w:evenHBand="0" w:firstRowFirstColumn="0" w:firstRowLastColumn="0" w:lastRowFirstColumn="0" w:lastRowLastColumn="0"/>
              <w:rPr>
                <w:b/>
                <w:i w:val="0"/>
              </w:rPr>
            </w:pPr>
            <w:r w:rsidRPr="008F7DD7">
              <w:rPr>
                <w:b/>
                <w:i w:val="0"/>
              </w:rPr>
              <w:t>-410</w:t>
            </w:r>
            <w:r w:rsidR="009A5B18">
              <w:rPr>
                <w:b/>
                <w:i w:val="0"/>
              </w:rPr>
              <w:t>.0</w:t>
            </w:r>
          </w:p>
        </w:tc>
        <w:tc>
          <w:tcPr>
            <w:tcW w:w="301" w:type="pct"/>
            <w:shd w:val="clear" w:color="auto" w:fill="D7DDE9"/>
          </w:tcPr>
          <w:p w:rsidR="008F7DD7" w:rsidRPr="008F7DD7" w:rsidRDefault="008F7DD7" w:rsidP="00866E2A">
            <w:pPr>
              <w:pStyle w:val="TableTextRight"/>
              <w:cnfStyle w:val="000000000000" w:firstRow="0" w:lastRow="0" w:firstColumn="0" w:lastColumn="0" w:oddVBand="0" w:evenVBand="0" w:oddHBand="0" w:evenHBand="0" w:firstRowFirstColumn="0" w:firstRowLastColumn="0" w:lastRowFirstColumn="0" w:lastRowLastColumn="0"/>
              <w:rPr>
                <w:b/>
                <w:i w:val="0"/>
              </w:rPr>
            </w:pPr>
            <w:r w:rsidRPr="008F7DD7">
              <w:rPr>
                <w:b/>
                <w:i w:val="0"/>
              </w:rPr>
              <w:t>-880</w:t>
            </w:r>
            <w:r w:rsidR="009A5B18">
              <w:rPr>
                <w:b/>
                <w:i w:val="0"/>
              </w:rPr>
              <w:t>.0</w:t>
            </w:r>
          </w:p>
        </w:tc>
        <w:tc>
          <w:tcPr>
            <w:tcW w:w="301" w:type="pct"/>
            <w:shd w:val="clear" w:color="auto" w:fill="D7DDE9"/>
          </w:tcPr>
          <w:p w:rsidR="008F7DD7" w:rsidRPr="008F7DD7" w:rsidRDefault="008F7DD7" w:rsidP="00866E2A">
            <w:pPr>
              <w:pStyle w:val="TableTextRight"/>
              <w:cnfStyle w:val="000000000000" w:firstRow="0" w:lastRow="0" w:firstColumn="0" w:lastColumn="0" w:oddVBand="0" w:evenVBand="0" w:oddHBand="0" w:evenHBand="0" w:firstRowFirstColumn="0" w:firstRowLastColumn="0" w:lastRowFirstColumn="0" w:lastRowLastColumn="0"/>
              <w:rPr>
                <w:b/>
                <w:i w:val="0"/>
              </w:rPr>
            </w:pPr>
            <w:r w:rsidRPr="008F7DD7">
              <w:rPr>
                <w:b/>
                <w:i w:val="0"/>
              </w:rPr>
              <w:t>-980</w:t>
            </w:r>
            <w:r w:rsidR="009A5B18">
              <w:rPr>
                <w:b/>
                <w:i w:val="0"/>
              </w:rPr>
              <w:t>.0</w:t>
            </w:r>
          </w:p>
        </w:tc>
        <w:tc>
          <w:tcPr>
            <w:tcW w:w="301" w:type="pct"/>
            <w:shd w:val="clear" w:color="auto" w:fill="D7DDE9"/>
          </w:tcPr>
          <w:p w:rsidR="008F7DD7" w:rsidRPr="008F7DD7" w:rsidRDefault="008F7DD7" w:rsidP="00866E2A">
            <w:pPr>
              <w:pStyle w:val="TableTextRight"/>
              <w:cnfStyle w:val="000000000000" w:firstRow="0" w:lastRow="0" w:firstColumn="0" w:lastColumn="0" w:oddVBand="0" w:evenVBand="0" w:oddHBand="0" w:evenHBand="0" w:firstRowFirstColumn="0" w:firstRowLastColumn="0" w:lastRowFirstColumn="0" w:lastRowLastColumn="0"/>
              <w:rPr>
                <w:b/>
                <w:i w:val="0"/>
              </w:rPr>
            </w:pPr>
            <w:r w:rsidRPr="008F7DD7">
              <w:rPr>
                <w:b/>
                <w:i w:val="0"/>
              </w:rPr>
              <w:t>-1,060</w:t>
            </w:r>
            <w:r w:rsidR="009A5B18">
              <w:rPr>
                <w:b/>
                <w:i w:val="0"/>
              </w:rPr>
              <w:t>.0</w:t>
            </w:r>
          </w:p>
        </w:tc>
        <w:tc>
          <w:tcPr>
            <w:tcW w:w="301" w:type="pct"/>
            <w:shd w:val="clear" w:color="auto" w:fill="D7DDE9"/>
          </w:tcPr>
          <w:p w:rsidR="008F7DD7" w:rsidRPr="008F7DD7" w:rsidRDefault="008F7DD7" w:rsidP="00866E2A">
            <w:pPr>
              <w:pStyle w:val="TableTextRight"/>
              <w:cnfStyle w:val="000000000000" w:firstRow="0" w:lastRow="0" w:firstColumn="0" w:lastColumn="0" w:oddVBand="0" w:evenVBand="0" w:oddHBand="0" w:evenHBand="0" w:firstRowFirstColumn="0" w:firstRowLastColumn="0" w:lastRowFirstColumn="0" w:lastRowLastColumn="0"/>
              <w:rPr>
                <w:b/>
                <w:i w:val="0"/>
              </w:rPr>
            </w:pPr>
            <w:r w:rsidRPr="008F7DD7">
              <w:rPr>
                <w:b/>
                <w:i w:val="0"/>
              </w:rPr>
              <w:t>-3,330</w:t>
            </w:r>
            <w:r w:rsidR="009A5B18">
              <w:rPr>
                <w:b/>
                <w:i w:val="0"/>
              </w:rPr>
              <w:t>.0</w:t>
            </w:r>
          </w:p>
        </w:tc>
        <w:tc>
          <w:tcPr>
            <w:tcW w:w="301" w:type="pct"/>
            <w:shd w:val="clear" w:color="auto" w:fill="D7DDE9"/>
          </w:tcPr>
          <w:p w:rsidR="008F7DD7" w:rsidRPr="008F7DD7" w:rsidRDefault="008F7DD7" w:rsidP="00866E2A">
            <w:pPr>
              <w:pStyle w:val="TableTextRight"/>
              <w:cnfStyle w:val="000000000000" w:firstRow="0" w:lastRow="0" w:firstColumn="0" w:lastColumn="0" w:oddVBand="0" w:evenVBand="0" w:oddHBand="0" w:evenHBand="0" w:firstRowFirstColumn="0" w:firstRowLastColumn="0" w:lastRowFirstColumn="0" w:lastRowLastColumn="0"/>
              <w:rPr>
                <w:b/>
                <w:i w:val="0"/>
              </w:rPr>
            </w:pPr>
            <w:r w:rsidRPr="008F7DD7">
              <w:rPr>
                <w:b/>
                <w:i w:val="0"/>
              </w:rPr>
              <w:t>-1,160</w:t>
            </w:r>
            <w:r w:rsidR="009A5B18">
              <w:rPr>
                <w:b/>
                <w:i w:val="0"/>
              </w:rPr>
              <w:t>.0</w:t>
            </w:r>
          </w:p>
        </w:tc>
        <w:tc>
          <w:tcPr>
            <w:tcW w:w="301" w:type="pct"/>
            <w:shd w:val="clear" w:color="auto" w:fill="D7DDE9"/>
          </w:tcPr>
          <w:p w:rsidR="008F7DD7" w:rsidRPr="008F7DD7" w:rsidRDefault="008F7DD7" w:rsidP="00866E2A">
            <w:pPr>
              <w:pStyle w:val="TableTextRight"/>
              <w:cnfStyle w:val="000000000000" w:firstRow="0" w:lastRow="0" w:firstColumn="0" w:lastColumn="0" w:oddVBand="0" w:evenVBand="0" w:oddHBand="0" w:evenHBand="0" w:firstRowFirstColumn="0" w:firstRowLastColumn="0" w:lastRowFirstColumn="0" w:lastRowLastColumn="0"/>
              <w:rPr>
                <w:b/>
                <w:i w:val="0"/>
              </w:rPr>
            </w:pPr>
            <w:r w:rsidRPr="008F7DD7">
              <w:rPr>
                <w:b/>
                <w:i w:val="0"/>
              </w:rPr>
              <w:t>-1,250</w:t>
            </w:r>
            <w:r w:rsidR="009A5B18">
              <w:rPr>
                <w:b/>
                <w:i w:val="0"/>
              </w:rPr>
              <w:t>.0</w:t>
            </w:r>
          </w:p>
        </w:tc>
        <w:tc>
          <w:tcPr>
            <w:tcW w:w="301" w:type="pct"/>
            <w:shd w:val="clear" w:color="auto" w:fill="D7DDE9"/>
          </w:tcPr>
          <w:p w:rsidR="008F7DD7" w:rsidRPr="008F7DD7" w:rsidRDefault="008F7DD7" w:rsidP="00866E2A">
            <w:pPr>
              <w:pStyle w:val="TableTextRight"/>
              <w:cnfStyle w:val="000000000000" w:firstRow="0" w:lastRow="0" w:firstColumn="0" w:lastColumn="0" w:oddVBand="0" w:evenVBand="0" w:oddHBand="0" w:evenHBand="0" w:firstRowFirstColumn="0" w:firstRowLastColumn="0" w:lastRowFirstColumn="0" w:lastRowLastColumn="0"/>
              <w:rPr>
                <w:b/>
                <w:i w:val="0"/>
              </w:rPr>
            </w:pPr>
            <w:r w:rsidRPr="008F7DD7">
              <w:rPr>
                <w:b/>
                <w:i w:val="0"/>
              </w:rPr>
              <w:t>-1,340</w:t>
            </w:r>
            <w:r w:rsidR="009A5B18">
              <w:rPr>
                <w:b/>
                <w:i w:val="0"/>
              </w:rPr>
              <w:t>.0</w:t>
            </w:r>
          </w:p>
        </w:tc>
        <w:tc>
          <w:tcPr>
            <w:tcW w:w="301" w:type="pct"/>
            <w:shd w:val="clear" w:color="auto" w:fill="D7DDE9"/>
          </w:tcPr>
          <w:p w:rsidR="008F7DD7" w:rsidRPr="008F7DD7" w:rsidRDefault="008F7DD7" w:rsidP="00866E2A">
            <w:pPr>
              <w:pStyle w:val="TableTextRight"/>
              <w:cnfStyle w:val="000000000000" w:firstRow="0" w:lastRow="0" w:firstColumn="0" w:lastColumn="0" w:oddVBand="0" w:evenVBand="0" w:oddHBand="0" w:evenHBand="0" w:firstRowFirstColumn="0" w:firstRowLastColumn="0" w:lastRowFirstColumn="0" w:lastRowLastColumn="0"/>
              <w:rPr>
                <w:b/>
                <w:i w:val="0"/>
              </w:rPr>
            </w:pPr>
            <w:r w:rsidRPr="008F7DD7">
              <w:rPr>
                <w:b/>
                <w:i w:val="0"/>
              </w:rPr>
              <w:t>-1,440</w:t>
            </w:r>
            <w:r w:rsidR="009A5B18">
              <w:rPr>
                <w:b/>
                <w:i w:val="0"/>
              </w:rPr>
              <w:t>.0</w:t>
            </w:r>
          </w:p>
        </w:tc>
        <w:tc>
          <w:tcPr>
            <w:tcW w:w="301" w:type="pct"/>
            <w:shd w:val="clear" w:color="auto" w:fill="D7DDE9"/>
          </w:tcPr>
          <w:p w:rsidR="008F7DD7" w:rsidRPr="008F7DD7" w:rsidRDefault="008F7DD7" w:rsidP="00866E2A">
            <w:pPr>
              <w:pStyle w:val="TableTextRight"/>
              <w:cnfStyle w:val="000000000000" w:firstRow="0" w:lastRow="0" w:firstColumn="0" w:lastColumn="0" w:oddVBand="0" w:evenVBand="0" w:oddHBand="0" w:evenHBand="0" w:firstRowFirstColumn="0" w:firstRowLastColumn="0" w:lastRowFirstColumn="0" w:lastRowLastColumn="0"/>
              <w:rPr>
                <w:b/>
                <w:i w:val="0"/>
              </w:rPr>
            </w:pPr>
            <w:r w:rsidRPr="008F7DD7">
              <w:rPr>
                <w:b/>
                <w:i w:val="0"/>
              </w:rPr>
              <w:t>-1,540</w:t>
            </w:r>
            <w:r w:rsidR="009A5B18">
              <w:rPr>
                <w:b/>
                <w:i w:val="0"/>
              </w:rPr>
              <w:t>.0</w:t>
            </w:r>
          </w:p>
        </w:tc>
        <w:tc>
          <w:tcPr>
            <w:tcW w:w="301" w:type="pct"/>
            <w:shd w:val="clear" w:color="auto" w:fill="D7DDE9"/>
          </w:tcPr>
          <w:p w:rsidR="008F7DD7" w:rsidRPr="008F7DD7" w:rsidRDefault="008F7DD7" w:rsidP="00866E2A">
            <w:pPr>
              <w:pStyle w:val="TableTextRight"/>
              <w:cnfStyle w:val="000000000000" w:firstRow="0" w:lastRow="0" w:firstColumn="0" w:lastColumn="0" w:oddVBand="0" w:evenVBand="0" w:oddHBand="0" w:evenHBand="0" w:firstRowFirstColumn="0" w:firstRowLastColumn="0" w:lastRowFirstColumn="0" w:lastRowLastColumn="0"/>
              <w:rPr>
                <w:b/>
                <w:i w:val="0"/>
              </w:rPr>
            </w:pPr>
            <w:r w:rsidRPr="008F7DD7">
              <w:rPr>
                <w:b/>
                <w:i w:val="0"/>
              </w:rPr>
              <w:t>-1,660</w:t>
            </w:r>
            <w:r w:rsidR="009A5B18">
              <w:rPr>
                <w:b/>
                <w:i w:val="0"/>
              </w:rPr>
              <w:t>.0</w:t>
            </w:r>
          </w:p>
        </w:tc>
        <w:tc>
          <w:tcPr>
            <w:tcW w:w="301" w:type="pct"/>
            <w:shd w:val="clear" w:color="auto" w:fill="D7DDE9"/>
          </w:tcPr>
          <w:p w:rsidR="008F7DD7" w:rsidRPr="008F7DD7" w:rsidRDefault="008F7DD7" w:rsidP="00866E2A">
            <w:pPr>
              <w:pStyle w:val="TableTextRight"/>
              <w:cnfStyle w:val="000000000000" w:firstRow="0" w:lastRow="0" w:firstColumn="0" w:lastColumn="0" w:oddVBand="0" w:evenVBand="0" w:oddHBand="0" w:evenHBand="0" w:firstRowFirstColumn="0" w:firstRowLastColumn="0" w:lastRowFirstColumn="0" w:lastRowLastColumn="0"/>
              <w:rPr>
                <w:b/>
                <w:i w:val="0"/>
              </w:rPr>
            </w:pPr>
            <w:r w:rsidRPr="008F7DD7">
              <w:rPr>
                <w:b/>
                <w:i w:val="0"/>
              </w:rPr>
              <w:t>-1,780</w:t>
            </w:r>
            <w:r w:rsidR="009A5B18">
              <w:rPr>
                <w:b/>
                <w:i w:val="0"/>
              </w:rPr>
              <w:t>.0</w:t>
            </w:r>
          </w:p>
        </w:tc>
        <w:tc>
          <w:tcPr>
            <w:tcW w:w="326" w:type="pct"/>
            <w:shd w:val="clear" w:color="auto" w:fill="D7DDE9"/>
          </w:tcPr>
          <w:p w:rsidR="008F7DD7" w:rsidRPr="008F7DD7" w:rsidRDefault="008F7DD7" w:rsidP="00866E2A">
            <w:pPr>
              <w:pStyle w:val="TableTextRight"/>
              <w:cnfStyle w:val="000000000000" w:firstRow="0" w:lastRow="0" w:firstColumn="0" w:lastColumn="0" w:oddVBand="0" w:evenVBand="0" w:oddHBand="0" w:evenHBand="0" w:firstRowFirstColumn="0" w:firstRowLastColumn="0" w:lastRowFirstColumn="0" w:lastRowLastColumn="0"/>
              <w:rPr>
                <w:b/>
                <w:i w:val="0"/>
              </w:rPr>
            </w:pPr>
            <w:r w:rsidRPr="008F7DD7">
              <w:rPr>
                <w:b/>
                <w:i w:val="0"/>
              </w:rPr>
              <w:t>-13,500</w:t>
            </w:r>
            <w:r w:rsidR="009A5B18">
              <w:rPr>
                <w:b/>
                <w:i w:val="0"/>
              </w:rPr>
              <w:t>.0</w:t>
            </w:r>
          </w:p>
        </w:tc>
      </w:tr>
    </w:tbl>
    <w:p w:rsidR="008F7DD7" w:rsidRPr="008F7DD7" w:rsidRDefault="008F7DD7" w:rsidP="000A4C34">
      <w:pPr>
        <w:pStyle w:val="Footnotes"/>
        <w:numPr>
          <w:ilvl w:val="0"/>
          <w:numId w:val="17"/>
        </w:numPr>
        <w:spacing w:line="240" w:lineRule="auto"/>
        <w:ind w:left="284" w:hanging="284"/>
      </w:pPr>
      <w:r w:rsidRPr="008F7DD7">
        <w:t>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w:t>
      </w:r>
    </w:p>
    <w:p w:rsidR="008F7DD7" w:rsidRDefault="008F7DD7" w:rsidP="000A4C34">
      <w:pPr>
        <w:pStyle w:val="Footnotes"/>
        <w:numPr>
          <w:ilvl w:val="0"/>
          <w:numId w:val="17"/>
        </w:numPr>
        <w:spacing w:line="240" w:lineRule="auto"/>
        <w:ind w:left="284" w:hanging="284"/>
      </w:pPr>
      <w:r w:rsidRPr="008F7DD7">
        <w:t>Figures may not sum to totals due to rounding.</w:t>
      </w:r>
    </w:p>
    <w:p w:rsidR="00B04066" w:rsidRPr="008F7DD7" w:rsidRDefault="00B04066" w:rsidP="000A4C34">
      <w:pPr>
        <w:pStyle w:val="Footnotes"/>
        <w:numPr>
          <w:ilvl w:val="0"/>
          <w:numId w:val="17"/>
        </w:numPr>
        <w:spacing w:line="240" w:lineRule="auto"/>
        <w:ind w:left="284" w:hanging="284"/>
      </w:pPr>
      <w:r>
        <w:t xml:space="preserve">Net concessional loan discount comprises the Concessional loan discount expense </w:t>
      </w:r>
      <w:r w:rsidRPr="00761E83">
        <w:rPr>
          <w:i/>
        </w:rPr>
        <w:t>less</w:t>
      </w:r>
      <w:r>
        <w:t xml:space="preserve"> the Concessional loan discount unwinding revenue.</w:t>
      </w:r>
    </w:p>
    <w:p w:rsidR="00AF3559" w:rsidRDefault="00AF3559" w:rsidP="000A4C34">
      <w:pPr>
        <w:pStyle w:val="Footnotes"/>
        <w:numPr>
          <w:ilvl w:val="0"/>
          <w:numId w:val="0"/>
        </w:numPr>
        <w:spacing w:line="240" w:lineRule="auto"/>
        <w:ind w:left="284" w:hanging="284"/>
      </w:pPr>
      <w:r>
        <w:t>..</w:t>
      </w:r>
      <w:r>
        <w:tab/>
        <w:t>Not zero but rounded to zero.</w:t>
      </w:r>
    </w:p>
    <w:p w:rsidR="00AF3559" w:rsidRPr="00CA5D42" w:rsidRDefault="00AF3559" w:rsidP="000A4C34">
      <w:pPr>
        <w:pStyle w:val="Footnotes"/>
        <w:numPr>
          <w:ilvl w:val="0"/>
          <w:numId w:val="0"/>
        </w:numPr>
        <w:spacing w:line="240" w:lineRule="auto"/>
        <w:ind w:left="284" w:hanging="284"/>
      </w:pPr>
      <w:r>
        <w:t>-</w:t>
      </w:r>
      <w:r>
        <w:tab/>
        <w:t>Indicates nil.</w:t>
      </w:r>
    </w:p>
    <w:p w:rsidR="008F7DD7" w:rsidRDefault="008F7DD7" w:rsidP="008F7DD7">
      <w:pPr>
        <w:pStyle w:val="Captionheading"/>
      </w:pPr>
      <w:r>
        <w:lastRenderedPageBreak/>
        <w:t>Table A2</w:t>
      </w:r>
      <w:r w:rsidRPr="00FC6579">
        <w:t xml:space="preserve">: </w:t>
      </w:r>
      <w:r w:rsidRPr="00AF3559">
        <w:t>Reducing HECS-HELP student contributions by 20 per cent from 1 January 2017</w:t>
      </w:r>
      <w:r>
        <w:t xml:space="preserve"> – Underlying cash balance</w:t>
      </w:r>
      <w:r w:rsidRPr="00AF3559">
        <w:t xml:space="preserve"> </w:t>
      </w:r>
      <w:r w:rsidRPr="001F7D6A">
        <w:rPr>
          <w:vertAlign w:val="superscript"/>
        </w:rPr>
        <w:t>(a)(b)</w:t>
      </w:r>
    </w:p>
    <w:tbl>
      <w:tblPr>
        <w:tblStyle w:val="TableGrid"/>
        <w:tblW w:w="4957" w:type="pct"/>
        <w:tblLook w:val="0680" w:firstRow="0" w:lastRow="0" w:firstColumn="1" w:lastColumn="0" w:noHBand="1" w:noVBand="1"/>
      </w:tblPr>
      <w:tblGrid>
        <w:gridCol w:w="2935"/>
        <w:gridCol w:w="837"/>
        <w:gridCol w:w="837"/>
        <w:gridCol w:w="836"/>
        <w:gridCol w:w="836"/>
        <w:gridCol w:w="839"/>
        <w:gridCol w:w="839"/>
        <w:gridCol w:w="839"/>
        <w:gridCol w:w="839"/>
        <w:gridCol w:w="839"/>
        <w:gridCol w:w="839"/>
        <w:gridCol w:w="839"/>
        <w:gridCol w:w="839"/>
        <w:gridCol w:w="900"/>
      </w:tblGrid>
      <w:tr w:rsidR="009A5B18" w:rsidRPr="00B31810" w:rsidTr="009748FA">
        <w:trPr>
          <w:cantSplit/>
          <w:tblHeader/>
        </w:trPr>
        <w:tc>
          <w:tcPr>
            <w:cnfStyle w:val="001000000000" w:firstRow="0" w:lastRow="0" w:firstColumn="1" w:lastColumn="0" w:oddVBand="0" w:evenVBand="0" w:oddHBand="0" w:evenHBand="0" w:firstRowFirstColumn="0" w:firstRowLastColumn="0" w:lastRowFirstColumn="0" w:lastRowLastColumn="0"/>
            <w:tcW w:w="1056" w:type="pct"/>
            <w:shd w:val="clear" w:color="auto" w:fill="D7DDE9"/>
          </w:tcPr>
          <w:p w:rsidR="008F7DD7" w:rsidRPr="00A65EA3" w:rsidRDefault="008F7DD7" w:rsidP="00C02773">
            <w:pPr>
              <w:spacing w:before="70" w:after="70" w:line="240" w:lineRule="auto"/>
              <w:ind w:left="57" w:right="57"/>
            </w:pPr>
            <w:r w:rsidRPr="00A65EA3">
              <w:t>($m)</w:t>
            </w:r>
          </w:p>
        </w:tc>
        <w:tc>
          <w:tcPr>
            <w:tcW w:w="301" w:type="pct"/>
            <w:shd w:val="clear" w:color="auto" w:fill="D7DDE9"/>
          </w:tcPr>
          <w:p w:rsidR="008F7DD7" w:rsidRPr="00C24267" w:rsidRDefault="008F7DD7" w:rsidP="00C02773">
            <w:pPr>
              <w:pStyle w:val="TableHeadingCentred"/>
              <w:keepNext w:val="0"/>
              <w:keepLines w:val="0"/>
              <w:cnfStyle w:val="000000000000" w:firstRow="0" w:lastRow="0" w:firstColumn="0" w:lastColumn="0" w:oddVBand="0" w:evenVBand="0" w:oddHBand="0" w:evenHBand="0" w:firstRowFirstColumn="0" w:firstRowLastColumn="0" w:lastRowFirstColumn="0" w:lastRowLastColumn="0"/>
            </w:pPr>
            <w:r w:rsidRPr="00C24267">
              <w:t>2016–17</w:t>
            </w:r>
          </w:p>
        </w:tc>
        <w:tc>
          <w:tcPr>
            <w:tcW w:w="301" w:type="pct"/>
            <w:shd w:val="clear" w:color="auto" w:fill="D7DDE9"/>
          </w:tcPr>
          <w:p w:rsidR="008F7DD7" w:rsidRPr="00C24267" w:rsidRDefault="008F7DD7" w:rsidP="00C02773">
            <w:pPr>
              <w:pStyle w:val="TableHeadingCentred"/>
              <w:keepNext w:val="0"/>
              <w:keepLines w:val="0"/>
              <w:cnfStyle w:val="000000000000" w:firstRow="0" w:lastRow="0" w:firstColumn="0" w:lastColumn="0" w:oddVBand="0" w:evenVBand="0" w:oddHBand="0" w:evenHBand="0" w:firstRowFirstColumn="0" w:firstRowLastColumn="0" w:lastRowFirstColumn="0" w:lastRowLastColumn="0"/>
            </w:pPr>
            <w:r w:rsidRPr="00C24267">
              <w:t>2017–18</w:t>
            </w:r>
          </w:p>
        </w:tc>
        <w:tc>
          <w:tcPr>
            <w:tcW w:w="301" w:type="pct"/>
            <w:shd w:val="clear" w:color="auto" w:fill="D7DDE9"/>
          </w:tcPr>
          <w:p w:rsidR="008F7DD7" w:rsidRPr="00C24267" w:rsidRDefault="008F7DD7" w:rsidP="00C02773">
            <w:pPr>
              <w:pStyle w:val="TableHeadingCentred"/>
              <w:keepNext w:val="0"/>
              <w:keepLines w:val="0"/>
              <w:cnfStyle w:val="000000000000" w:firstRow="0" w:lastRow="0" w:firstColumn="0" w:lastColumn="0" w:oddVBand="0" w:evenVBand="0" w:oddHBand="0" w:evenHBand="0" w:firstRowFirstColumn="0" w:firstRowLastColumn="0" w:lastRowFirstColumn="0" w:lastRowLastColumn="0"/>
            </w:pPr>
            <w:r w:rsidRPr="00C24267">
              <w:t>2018–19</w:t>
            </w:r>
          </w:p>
        </w:tc>
        <w:tc>
          <w:tcPr>
            <w:tcW w:w="301" w:type="pct"/>
            <w:shd w:val="clear" w:color="auto" w:fill="D7DDE9"/>
          </w:tcPr>
          <w:p w:rsidR="008F7DD7" w:rsidRPr="00C24267" w:rsidRDefault="008F7DD7" w:rsidP="00C02773">
            <w:pPr>
              <w:pStyle w:val="TableHeadingCentred"/>
              <w:keepNext w:val="0"/>
              <w:keepLines w:val="0"/>
              <w:cnfStyle w:val="000000000000" w:firstRow="0" w:lastRow="0" w:firstColumn="0" w:lastColumn="0" w:oddVBand="0" w:evenVBand="0" w:oddHBand="0" w:evenHBand="0" w:firstRowFirstColumn="0" w:firstRowLastColumn="0" w:lastRowFirstColumn="0" w:lastRowLastColumn="0"/>
            </w:pPr>
            <w:r w:rsidRPr="00C24267">
              <w:t>2019–20</w:t>
            </w:r>
          </w:p>
        </w:tc>
        <w:tc>
          <w:tcPr>
            <w:tcW w:w="302" w:type="pct"/>
            <w:shd w:val="clear" w:color="auto" w:fill="D7DDE9"/>
          </w:tcPr>
          <w:p w:rsidR="008F7DD7" w:rsidRPr="00AE30B5" w:rsidRDefault="008F7DD7" w:rsidP="00C02773">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b/>
              </w:rPr>
            </w:pPr>
            <w:r w:rsidRPr="00AE30B5">
              <w:rPr>
                <w:b/>
              </w:rPr>
              <w:t>Total to 2019–20</w:t>
            </w:r>
          </w:p>
        </w:tc>
        <w:tc>
          <w:tcPr>
            <w:tcW w:w="302" w:type="pct"/>
            <w:shd w:val="clear" w:color="auto" w:fill="D7DDE9"/>
          </w:tcPr>
          <w:p w:rsidR="008F7DD7" w:rsidRPr="00C24267" w:rsidRDefault="008F7DD7" w:rsidP="00C02773">
            <w:pPr>
              <w:pStyle w:val="TableHeadingCentred"/>
              <w:keepNext w:val="0"/>
              <w:keepLines w:val="0"/>
              <w:cnfStyle w:val="000000000000" w:firstRow="0" w:lastRow="0" w:firstColumn="0" w:lastColumn="0" w:oddVBand="0" w:evenVBand="0" w:oddHBand="0" w:evenHBand="0" w:firstRowFirstColumn="0" w:firstRowLastColumn="0" w:lastRowFirstColumn="0" w:lastRowLastColumn="0"/>
            </w:pPr>
            <w:r w:rsidRPr="00C24267">
              <w:t>2020–21</w:t>
            </w:r>
          </w:p>
        </w:tc>
        <w:tc>
          <w:tcPr>
            <w:tcW w:w="302" w:type="pct"/>
            <w:shd w:val="clear" w:color="auto" w:fill="D7DDE9"/>
          </w:tcPr>
          <w:p w:rsidR="008F7DD7" w:rsidRPr="00C24267" w:rsidRDefault="008F7DD7" w:rsidP="00C02773">
            <w:pPr>
              <w:pStyle w:val="TableHeadingCentred"/>
              <w:keepNext w:val="0"/>
              <w:keepLines w:val="0"/>
              <w:cnfStyle w:val="000000000000" w:firstRow="0" w:lastRow="0" w:firstColumn="0" w:lastColumn="0" w:oddVBand="0" w:evenVBand="0" w:oddHBand="0" w:evenHBand="0" w:firstRowFirstColumn="0" w:firstRowLastColumn="0" w:lastRowFirstColumn="0" w:lastRowLastColumn="0"/>
            </w:pPr>
            <w:r w:rsidRPr="00C24267">
              <w:t>2021–22</w:t>
            </w:r>
          </w:p>
        </w:tc>
        <w:tc>
          <w:tcPr>
            <w:tcW w:w="302" w:type="pct"/>
            <w:shd w:val="clear" w:color="auto" w:fill="D7DDE9"/>
          </w:tcPr>
          <w:p w:rsidR="008F7DD7" w:rsidRPr="00C24267" w:rsidRDefault="008F7DD7" w:rsidP="00C02773">
            <w:pPr>
              <w:pStyle w:val="TableHeadingCentred"/>
              <w:keepNext w:val="0"/>
              <w:keepLines w:val="0"/>
              <w:cnfStyle w:val="000000000000" w:firstRow="0" w:lastRow="0" w:firstColumn="0" w:lastColumn="0" w:oddVBand="0" w:evenVBand="0" w:oddHBand="0" w:evenHBand="0" w:firstRowFirstColumn="0" w:firstRowLastColumn="0" w:lastRowFirstColumn="0" w:lastRowLastColumn="0"/>
            </w:pPr>
            <w:r w:rsidRPr="00C24267">
              <w:t>2022–23</w:t>
            </w:r>
          </w:p>
        </w:tc>
        <w:tc>
          <w:tcPr>
            <w:tcW w:w="302" w:type="pct"/>
            <w:shd w:val="clear" w:color="auto" w:fill="D7DDE9"/>
          </w:tcPr>
          <w:p w:rsidR="008F7DD7" w:rsidRPr="00C24267" w:rsidRDefault="008F7DD7" w:rsidP="00C02773">
            <w:pPr>
              <w:pStyle w:val="TableHeadingCentred"/>
              <w:keepNext w:val="0"/>
              <w:keepLines w:val="0"/>
              <w:cnfStyle w:val="000000000000" w:firstRow="0" w:lastRow="0" w:firstColumn="0" w:lastColumn="0" w:oddVBand="0" w:evenVBand="0" w:oddHBand="0" w:evenHBand="0" w:firstRowFirstColumn="0" w:firstRowLastColumn="0" w:lastRowFirstColumn="0" w:lastRowLastColumn="0"/>
            </w:pPr>
            <w:r w:rsidRPr="00C24267">
              <w:t>2023–24</w:t>
            </w:r>
          </w:p>
        </w:tc>
        <w:tc>
          <w:tcPr>
            <w:tcW w:w="302" w:type="pct"/>
            <w:shd w:val="clear" w:color="auto" w:fill="D7DDE9"/>
          </w:tcPr>
          <w:p w:rsidR="008F7DD7" w:rsidRPr="00C24267" w:rsidRDefault="008F7DD7" w:rsidP="00C02773">
            <w:pPr>
              <w:pStyle w:val="TableHeadingCentred"/>
              <w:keepNext w:val="0"/>
              <w:keepLines w:val="0"/>
              <w:cnfStyle w:val="000000000000" w:firstRow="0" w:lastRow="0" w:firstColumn="0" w:lastColumn="0" w:oddVBand="0" w:evenVBand="0" w:oddHBand="0" w:evenHBand="0" w:firstRowFirstColumn="0" w:firstRowLastColumn="0" w:lastRowFirstColumn="0" w:lastRowLastColumn="0"/>
            </w:pPr>
            <w:r w:rsidRPr="00C24267">
              <w:t>2024–25</w:t>
            </w:r>
          </w:p>
        </w:tc>
        <w:tc>
          <w:tcPr>
            <w:tcW w:w="302" w:type="pct"/>
            <w:shd w:val="clear" w:color="auto" w:fill="D7DDE9"/>
          </w:tcPr>
          <w:p w:rsidR="008F7DD7" w:rsidRPr="00C24267" w:rsidRDefault="008F7DD7" w:rsidP="00C02773">
            <w:pPr>
              <w:pStyle w:val="TableHeadingCentred"/>
              <w:keepNext w:val="0"/>
              <w:keepLines w:val="0"/>
              <w:cnfStyle w:val="000000000000" w:firstRow="0" w:lastRow="0" w:firstColumn="0" w:lastColumn="0" w:oddVBand="0" w:evenVBand="0" w:oddHBand="0" w:evenHBand="0" w:firstRowFirstColumn="0" w:firstRowLastColumn="0" w:lastRowFirstColumn="0" w:lastRowLastColumn="0"/>
            </w:pPr>
            <w:r w:rsidRPr="00C24267">
              <w:t>2025–26</w:t>
            </w:r>
          </w:p>
        </w:tc>
        <w:tc>
          <w:tcPr>
            <w:tcW w:w="302" w:type="pct"/>
            <w:shd w:val="clear" w:color="auto" w:fill="D7DDE9"/>
          </w:tcPr>
          <w:p w:rsidR="008F7DD7" w:rsidRPr="00C24267" w:rsidRDefault="008F7DD7" w:rsidP="00C02773">
            <w:pPr>
              <w:pStyle w:val="TableHeadingCentred"/>
              <w:keepNext w:val="0"/>
              <w:keepLines w:val="0"/>
              <w:cnfStyle w:val="000000000000" w:firstRow="0" w:lastRow="0" w:firstColumn="0" w:lastColumn="0" w:oddVBand="0" w:evenVBand="0" w:oddHBand="0" w:evenHBand="0" w:firstRowFirstColumn="0" w:firstRowLastColumn="0" w:lastRowFirstColumn="0" w:lastRowLastColumn="0"/>
            </w:pPr>
            <w:r w:rsidRPr="00C24267">
              <w:t>2026–27</w:t>
            </w:r>
          </w:p>
        </w:tc>
        <w:tc>
          <w:tcPr>
            <w:tcW w:w="326" w:type="pct"/>
            <w:shd w:val="clear" w:color="auto" w:fill="D7DDE9"/>
          </w:tcPr>
          <w:p w:rsidR="008F7DD7" w:rsidRPr="00AE30B5" w:rsidRDefault="008F7DD7" w:rsidP="00C02773">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b/>
              </w:rPr>
            </w:pPr>
            <w:r w:rsidRPr="00AE30B5">
              <w:rPr>
                <w:b/>
              </w:rPr>
              <w:t>Total to 2026–27</w:t>
            </w:r>
          </w:p>
        </w:tc>
      </w:tr>
      <w:tr w:rsidR="008F7DD7" w:rsidTr="009748FA">
        <w:trPr>
          <w:cantSplit/>
        </w:trPr>
        <w:tc>
          <w:tcPr>
            <w:cnfStyle w:val="001000000000" w:firstRow="0" w:lastRow="0" w:firstColumn="1" w:lastColumn="0" w:oddVBand="0" w:evenVBand="0" w:oddHBand="0" w:evenHBand="0" w:firstRowFirstColumn="0" w:firstRowLastColumn="0" w:lastRowFirstColumn="0" w:lastRowLastColumn="0"/>
            <w:tcW w:w="1056" w:type="pct"/>
          </w:tcPr>
          <w:p w:rsidR="008F7DD7" w:rsidRPr="008F7DD7" w:rsidRDefault="008F7DD7" w:rsidP="008F7DD7">
            <w:pPr>
              <w:pStyle w:val="TableTextRight"/>
              <w:jc w:val="left"/>
              <w:rPr>
                <w:i w:val="0"/>
              </w:rPr>
            </w:pPr>
            <w:r w:rsidRPr="008F7DD7">
              <w:rPr>
                <w:i w:val="0"/>
              </w:rPr>
              <w:t xml:space="preserve">Commonwealth Grant Scheme </w:t>
            </w:r>
            <w:r>
              <w:rPr>
                <w:i w:val="0"/>
              </w:rPr>
              <w:t>payments</w:t>
            </w:r>
          </w:p>
        </w:tc>
        <w:tc>
          <w:tcPr>
            <w:tcW w:w="301" w:type="pct"/>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i w:val="0"/>
              </w:rPr>
            </w:pPr>
            <w:r w:rsidRPr="008F7DD7">
              <w:rPr>
                <w:i w:val="0"/>
              </w:rPr>
              <w:t>-460</w:t>
            </w:r>
            <w:r w:rsidR="009A5B18">
              <w:rPr>
                <w:i w:val="0"/>
              </w:rPr>
              <w:t>.0</w:t>
            </w:r>
          </w:p>
        </w:tc>
        <w:tc>
          <w:tcPr>
            <w:tcW w:w="301" w:type="pct"/>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i w:val="0"/>
              </w:rPr>
            </w:pPr>
            <w:r w:rsidRPr="008F7DD7">
              <w:rPr>
                <w:i w:val="0"/>
              </w:rPr>
              <w:t>-960</w:t>
            </w:r>
            <w:r w:rsidR="009A5B18">
              <w:rPr>
                <w:i w:val="0"/>
              </w:rPr>
              <w:t>.0</w:t>
            </w:r>
          </w:p>
        </w:tc>
        <w:tc>
          <w:tcPr>
            <w:tcW w:w="301" w:type="pct"/>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i w:val="0"/>
              </w:rPr>
            </w:pPr>
            <w:r w:rsidRPr="008F7DD7">
              <w:rPr>
                <w:i w:val="0"/>
              </w:rPr>
              <w:t>-1,040</w:t>
            </w:r>
            <w:r w:rsidR="009A5B18">
              <w:rPr>
                <w:i w:val="0"/>
              </w:rPr>
              <w:t>.0</w:t>
            </w:r>
          </w:p>
        </w:tc>
        <w:tc>
          <w:tcPr>
            <w:tcW w:w="301" w:type="pct"/>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i w:val="0"/>
              </w:rPr>
            </w:pPr>
            <w:r w:rsidRPr="008F7DD7">
              <w:rPr>
                <w:i w:val="0"/>
              </w:rPr>
              <w:t>-1,100</w:t>
            </w:r>
            <w:r w:rsidR="009A5B18">
              <w:rPr>
                <w:i w:val="0"/>
              </w:rPr>
              <w:t>.0</w:t>
            </w:r>
          </w:p>
        </w:tc>
        <w:tc>
          <w:tcPr>
            <w:tcW w:w="302" w:type="pct"/>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i w:val="0"/>
              </w:rPr>
            </w:pPr>
            <w:r w:rsidRPr="008F7DD7">
              <w:rPr>
                <w:i w:val="0"/>
              </w:rPr>
              <w:t>-3,570</w:t>
            </w:r>
            <w:r w:rsidR="009A5B18">
              <w:rPr>
                <w:i w:val="0"/>
              </w:rPr>
              <w:t>.0</w:t>
            </w:r>
          </w:p>
        </w:tc>
        <w:tc>
          <w:tcPr>
            <w:tcW w:w="302" w:type="pct"/>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i w:val="0"/>
              </w:rPr>
            </w:pPr>
            <w:r w:rsidRPr="008F7DD7">
              <w:rPr>
                <w:i w:val="0"/>
              </w:rPr>
              <w:t>-1,160</w:t>
            </w:r>
            <w:r w:rsidR="009A5B18">
              <w:rPr>
                <w:i w:val="0"/>
              </w:rPr>
              <w:t>.0</w:t>
            </w:r>
          </w:p>
        </w:tc>
        <w:tc>
          <w:tcPr>
            <w:tcW w:w="302" w:type="pct"/>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i w:val="0"/>
              </w:rPr>
            </w:pPr>
            <w:r w:rsidRPr="008F7DD7">
              <w:rPr>
                <w:i w:val="0"/>
              </w:rPr>
              <w:t>-1,210</w:t>
            </w:r>
            <w:r w:rsidR="009A5B18">
              <w:rPr>
                <w:i w:val="0"/>
              </w:rPr>
              <w:t>.0</w:t>
            </w:r>
          </w:p>
        </w:tc>
        <w:tc>
          <w:tcPr>
            <w:tcW w:w="302" w:type="pct"/>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i w:val="0"/>
              </w:rPr>
            </w:pPr>
            <w:r w:rsidRPr="008F7DD7">
              <w:rPr>
                <w:i w:val="0"/>
              </w:rPr>
              <w:t>-1,270</w:t>
            </w:r>
            <w:r w:rsidR="009A5B18">
              <w:rPr>
                <w:i w:val="0"/>
              </w:rPr>
              <w:t>.0</w:t>
            </w:r>
          </w:p>
        </w:tc>
        <w:tc>
          <w:tcPr>
            <w:tcW w:w="302" w:type="pct"/>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i w:val="0"/>
              </w:rPr>
            </w:pPr>
            <w:r w:rsidRPr="008F7DD7">
              <w:rPr>
                <w:i w:val="0"/>
              </w:rPr>
              <w:t>-1,320</w:t>
            </w:r>
            <w:r w:rsidR="009A5B18">
              <w:rPr>
                <w:i w:val="0"/>
              </w:rPr>
              <w:t>.0</w:t>
            </w:r>
          </w:p>
        </w:tc>
        <w:tc>
          <w:tcPr>
            <w:tcW w:w="302" w:type="pct"/>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i w:val="0"/>
              </w:rPr>
            </w:pPr>
            <w:r w:rsidRPr="008F7DD7">
              <w:rPr>
                <w:i w:val="0"/>
              </w:rPr>
              <w:t>-1,380</w:t>
            </w:r>
            <w:r w:rsidR="009A5B18">
              <w:rPr>
                <w:i w:val="0"/>
              </w:rPr>
              <w:t>.0</w:t>
            </w:r>
          </w:p>
        </w:tc>
        <w:tc>
          <w:tcPr>
            <w:tcW w:w="302" w:type="pct"/>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i w:val="0"/>
              </w:rPr>
            </w:pPr>
            <w:r w:rsidRPr="008F7DD7">
              <w:rPr>
                <w:i w:val="0"/>
              </w:rPr>
              <w:t>-1,440</w:t>
            </w:r>
            <w:r w:rsidR="009A5B18">
              <w:rPr>
                <w:i w:val="0"/>
              </w:rPr>
              <w:t>.0</w:t>
            </w:r>
          </w:p>
        </w:tc>
        <w:tc>
          <w:tcPr>
            <w:tcW w:w="302" w:type="pct"/>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i w:val="0"/>
              </w:rPr>
            </w:pPr>
            <w:r w:rsidRPr="008F7DD7">
              <w:rPr>
                <w:i w:val="0"/>
              </w:rPr>
              <w:t>-1,500</w:t>
            </w:r>
            <w:r w:rsidR="009A5B18">
              <w:rPr>
                <w:i w:val="0"/>
              </w:rPr>
              <w:t>.0</w:t>
            </w:r>
          </w:p>
        </w:tc>
        <w:tc>
          <w:tcPr>
            <w:tcW w:w="326" w:type="pct"/>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b/>
                <w:i w:val="0"/>
              </w:rPr>
            </w:pPr>
            <w:r w:rsidRPr="008F7DD7">
              <w:rPr>
                <w:b/>
                <w:i w:val="0"/>
              </w:rPr>
              <w:t>-12,840</w:t>
            </w:r>
            <w:r w:rsidR="009A5B18">
              <w:rPr>
                <w:b/>
                <w:i w:val="0"/>
              </w:rPr>
              <w:t>.0</w:t>
            </w:r>
          </w:p>
        </w:tc>
      </w:tr>
      <w:tr w:rsidR="00EA2DFF" w:rsidTr="009748FA">
        <w:trPr>
          <w:cantSplit/>
        </w:trPr>
        <w:tc>
          <w:tcPr>
            <w:cnfStyle w:val="001000000000" w:firstRow="0" w:lastRow="0" w:firstColumn="1" w:lastColumn="0" w:oddVBand="0" w:evenVBand="0" w:oddHBand="0" w:evenHBand="0" w:firstRowFirstColumn="0" w:firstRowLastColumn="0" w:lastRowFirstColumn="0" w:lastRowLastColumn="0"/>
            <w:tcW w:w="4999" w:type="pct"/>
            <w:gridSpan w:val="14"/>
          </w:tcPr>
          <w:p w:rsidR="00EA2DFF" w:rsidRPr="00EA2DFF" w:rsidRDefault="00EA2DFF" w:rsidP="00EA2DFF">
            <w:pPr>
              <w:pStyle w:val="TableTextRight"/>
              <w:jc w:val="left"/>
              <w:rPr>
                <w:i w:val="0"/>
              </w:rPr>
            </w:pPr>
            <w:r w:rsidRPr="008F7DD7">
              <w:rPr>
                <w:i w:val="0"/>
              </w:rPr>
              <w:t>Higher Education Loan Programme</w:t>
            </w:r>
          </w:p>
        </w:tc>
      </w:tr>
      <w:tr w:rsidR="008F7DD7" w:rsidTr="009748FA">
        <w:trPr>
          <w:cantSplit/>
        </w:trPr>
        <w:tc>
          <w:tcPr>
            <w:cnfStyle w:val="001000000000" w:firstRow="0" w:lastRow="0" w:firstColumn="1" w:lastColumn="0" w:oddVBand="0" w:evenVBand="0" w:oddHBand="0" w:evenHBand="0" w:firstRowFirstColumn="0" w:firstRowLastColumn="0" w:lastRowFirstColumn="0" w:lastRowLastColumn="0"/>
            <w:tcW w:w="1056" w:type="pct"/>
          </w:tcPr>
          <w:p w:rsidR="008F7DD7" w:rsidRPr="009A5B18" w:rsidRDefault="008F7DD7" w:rsidP="00EA2DFF">
            <w:pPr>
              <w:pStyle w:val="TableTextRight"/>
              <w:ind w:left="227"/>
              <w:jc w:val="left"/>
            </w:pPr>
            <w:r w:rsidRPr="009A5B18">
              <w:t>Interest received</w:t>
            </w:r>
          </w:p>
        </w:tc>
        <w:tc>
          <w:tcPr>
            <w:tcW w:w="301" w:type="pct"/>
            <w:vAlign w:val="top"/>
          </w:tcPr>
          <w:p w:rsidR="008F7DD7" w:rsidRPr="009A5B18" w:rsidRDefault="008F7DD7" w:rsidP="008F7DD7">
            <w:pPr>
              <w:pStyle w:val="TableTextRight"/>
              <w:cnfStyle w:val="000000000000" w:firstRow="0" w:lastRow="0" w:firstColumn="0" w:lastColumn="0" w:oddVBand="0" w:evenVBand="0" w:oddHBand="0" w:evenHBand="0" w:firstRowFirstColumn="0" w:firstRowLastColumn="0" w:lastRowFirstColumn="0" w:lastRowLastColumn="0"/>
            </w:pPr>
            <w:r w:rsidRPr="009A5B18">
              <w:t>-</w:t>
            </w:r>
          </w:p>
        </w:tc>
        <w:tc>
          <w:tcPr>
            <w:tcW w:w="301" w:type="pct"/>
            <w:vAlign w:val="top"/>
          </w:tcPr>
          <w:p w:rsidR="008F7DD7" w:rsidRPr="009A5B18" w:rsidRDefault="008F7DD7" w:rsidP="008F7DD7">
            <w:pPr>
              <w:pStyle w:val="TableTextRight"/>
              <w:cnfStyle w:val="000000000000" w:firstRow="0" w:lastRow="0" w:firstColumn="0" w:lastColumn="0" w:oddVBand="0" w:evenVBand="0" w:oddHBand="0" w:evenHBand="0" w:firstRowFirstColumn="0" w:firstRowLastColumn="0" w:lastRowFirstColumn="0" w:lastRowLastColumn="0"/>
            </w:pPr>
            <w:r w:rsidRPr="009A5B18">
              <w:t>-</w:t>
            </w:r>
          </w:p>
        </w:tc>
        <w:tc>
          <w:tcPr>
            <w:tcW w:w="301" w:type="pct"/>
            <w:vAlign w:val="top"/>
          </w:tcPr>
          <w:p w:rsidR="008F7DD7" w:rsidRPr="009A5B18" w:rsidRDefault="008F7DD7" w:rsidP="008F7DD7">
            <w:pPr>
              <w:pStyle w:val="TableTextRight"/>
              <w:cnfStyle w:val="000000000000" w:firstRow="0" w:lastRow="0" w:firstColumn="0" w:lastColumn="0" w:oddVBand="0" w:evenVBand="0" w:oddHBand="0" w:evenHBand="0" w:firstRowFirstColumn="0" w:firstRowLastColumn="0" w:lastRowFirstColumn="0" w:lastRowLastColumn="0"/>
            </w:pPr>
            <w:r w:rsidRPr="009A5B18">
              <w:t>..</w:t>
            </w:r>
          </w:p>
        </w:tc>
        <w:tc>
          <w:tcPr>
            <w:tcW w:w="301" w:type="pct"/>
            <w:vAlign w:val="top"/>
          </w:tcPr>
          <w:p w:rsidR="008F7DD7" w:rsidRPr="009A5B18" w:rsidRDefault="008F7DD7" w:rsidP="008F7DD7">
            <w:pPr>
              <w:pStyle w:val="TableTextRight"/>
              <w:cnfStyle w:val="000000000000" w:firstRow="0" w:lastRow="0" w:firstColumn="0" w:lastColumn="0" w:oddVBand="0" w:evenVBand="0" w:oddHBand="0" w:evenHBand="0" w:firstRowFirstColumn="0" w:firstRowLastColumn="0" w:lastRowFirstColumn="0" w:lastRowLastColumn="0"/>
            </w:pPr>
            <w:r w:rsidRPr="009A5B18">
              <w:t>-10</w:t>
            </w:r>
            <w:r w:rsidR="009A5B18" w:rsidRPr="009A5B18">
              <w:t>.0</w:t>
            </w:r>
          </w:p>
        </w:tc>
        <w:tc>
          <w:tcPr>
            <w:tcW w:w="302" w:type="pct"/>
            <w:vAlign w:val="top"/>
          </w:tcPr>
          <w:p w:rsidR="008F7DD7" w:rsidRPr="009A5B18" w:rsidRDefault="008F7DD7" w:rsidP="008F7DD7">
            <w:pPr>
              <w:pStyle w:val="TableTextRight"/>
              <w:cnfStyle w:val="000000000000" w:firstRow="0" w:lastRow="0" w:firstColumn="0" w:lastColumn="0" w:oddVBand="0" w:evenVBand="0" w:oddHBand="0" w:evenHBand="0" w:firstRowFirstColumn="0" w:firstRowLastColumn="0" w:lastRowFirstColumn="0" w:lastRowLastColumn="0"/>
            </w:pPr>
            <w:r w:rsidRPr="009A5B18">
              <w:t>-10</w:t>
            </w:r>
            <w:r w:rsidR="009A5B18" w:rsidRPr="009A5B18">
              <w:t>.0</w:t>
            </w:r>
          </w:p>
        </w:tc>
        <w:tc>
          <w:tcPr>
            <w:tcW w:w="302" w:type="pct"/>
            <w:vAlign w:val="top"/>
          </w:tcPr>
          <w:p w:rsidR="008F7DD7" w:rsidRPr="009A5B18" w:rsidRDefault="008F7DD7" w:rsidP="008F7DD7">
            <w:pPr>
              <w:pStyle w:val="TableTextRight"/>
              <w:cnfStyle w:val="000000000000" w:firstRow="0" w:lastRow="0" w:firstColumn="0" w:lastColumn="0" w:oddVBand="0" w:evenVBand="0" w:oddHBand="0" w:evenHBand="0" w:firstRowFirstColumn="0" w:firstRowLastColumn="0" w:lastRowFirstColumn="0" w:lastRowLastColumn="0"/>
            </w:pPr>
            <w:r w:rsidRPr="009A5B18">
              <w:t>-30</w:t>
            </w:r>
            <w:r w:rsidR="009A5B18" w:rsidRPr="009A5B18">
              <w:t>.0</w:t>
            </w:r>
          </w:p>
        </w:tc>
        <w:tc>
          <w:tcPr>
            <w:tcW w:w="302" w:type="pct"/>
            <w:vAlign w:val="top"/>
          </w:tcPr>
          <w:p w:rsidR="008F7DD7" w:rsidRPr="009A5B18" w:rsidRDefault="008F7DD7" w:rsidP="008F7DD7">
            <w:pPr>
              <w:pStyle w:val="TableTextRight"/>
              <w:cnfStyle w:val="000000000000" w:firstRow="0" w:lastRow="0" w:firstColumn="0" w:lastColumn="0" w:oddVBand="0" w:evenVBand="0" w:oddHBand="0" w:evenHBand="0" w:firstRowFirstColumn="0" w:firstRowLastColumn="0" w:lastRowFirstColumn="0" w:lastRowLastColumn="0"/>
            </w:pPr>
            <w:r w:rsidRPr="009A5B18">
              <w:t>-40</w:t>
            </w:r>
            <w:r w:rsidR="009A5B18" w:rsidRPr="009A5B18">
              <w:t>.0</w:t>
            </w:r>
          </w:p>
        </w:tc>
        <w:tc>
          <w:tcPr>
            <w:tcW w:w="302" w:type="pct"/>
            <w:vAlign w:val="top"/>
          </w:tcPr>
          <w:p w:rsidR="008F7DD7" w:rsidRPr="009A5B18" w:rsidRDefault="008F7DD7" w:rsidP="008F7DD7">
            <w:pPr>
              <w:pStyle w:val="TableTextRight"/>
              <w:cnfStyle w:val="000000000000" w:firstRow="0" w:lastRow="0" w:firstColumn="0" w:lastColumn="0" w:oddVBand="0" w:evenVBand="0" w:oddHBand="0" w:evenHBand="0" w:firstRowFirstColumn="0" w:firstRowLastColumn="0" w:lastRowFirstColumn="0" w:lastRowLastColumn="0"/>
            </w:pPr>
            <w:r w:rsidRPr="009A5B18">
              <w:t>-60</w:t>
            </w:r>
            <w:r w:rsidR="009A5B18" w:rsidRPr="009A5B18">
              <w:t>.0</w:t>
            </w:r>
          </w:p>
        </w:tc>
        <w:tc>
          <w:tcPr>
            <w:tcW w:w="302" w:type="pct"/>
            <w:vAlign w:val="top"/>
          </w:tcPr>
          <w:p w:rsidR="008F7DD7" w:rsidRPr="009A5B18" w:rsidRDefault="008F7DD7" w:rsidP="008F7DD7">
            <w:pPr>
              <w:pStyle w:val="TableTextRight"/>
              <w:cnfStyle w:val="000000000000" w:firstRow="0" w:lastRow="0" w:firstColumn="0" w:lastColumn="0" w:oddVBand="0" w:evenVBand="0" w:oddHBand="0" w:evenHBand="0" w:firstRowFirstColumn="0" w:firstRowLastColumn="0" w:lastRowFirstColumn="0" w:lastRowLastColumn="0"/>
            </w:pPr>
            <w:r w:rsidRPr="009A5B18">
              <w:t>-70</w:t>
            </w:r>
            <w:r w:rsidR="009A5B18" w:rsidRPr="009A5B18">
              <w:t>.0</w:t>
            </w:r>
          </w:p>
        </w:tc>
        <w:tc>
          <w:tcPr>
            <w:tcW w:w="302" w:type="pct"/>
            <w:vAlign w:val="top"/>
          </w:tcPr>
          <w:p w:rsidR="008F7DD7" w:rsidRPr="009A5B18" w:rsidRDefault="008F7DD7" w:rsidP="008F7DD7">
            <w:pPr>
              <w:pStyle w:val="TableTextRight"/>
              <w:cnfStyle w:val="000000000000" w:firstRow="0" w:lastRow="0" w:firstColumn="0" w:lastColumn="0" w:oddVBand="0" w:evenVBand="0" w:oddHBand="0" w:evenHBand="0" w:firstRowFirstColumn="0" w:firstRowLastColumn="0" w:lastRowFirstColumn="0" w:lastRowLastColumn="0"/>
            </w:pPr>
            <w:r w:rsidRPr="009A5B18">
              <w:t>-80</w:t>
            </w:r>
            <w:r w:rsidR="009A5B18" w:rsidRPr="009A5B18">
              <w:t>.0</w:t>
            </w:r>
          </w:p>
        </w:tc>
        <w:tc>
          <w:tcPr>
            <w:tcW w:w="302" w:type="pct"/>
            <w:vAlign w:val="top"/>
          </w:tcPr>
          <w:p w:rsidR="008F7DD7" w:rsidRPr="009A5B18" w:rsidRDefault="008F7DD7" w:rsidP="008F7DD7">
            <w:pPr>
              <w:pStyle w:val="TableTextRight"/>
              <w:cnfStyle w:val="000000000000" w:firstRow="0" w:lastRow="0" w:firstColumn="0" w:lastColumn="0" w:oddVBand="0" w:evenVBand="0" w:oddHBand="0" w:evenHBand="0" w:firstRowFirstColumn="0" w:firstRowLastColumn="0" w:lastRowFirstColumn="0" w:lastRowLastColumn="0"/>
            </w:pPr>
            <w:r w:rsidRPr="009A5B18">
              <w:t>-90</w:t>
            </w:r>
            <w:r w:rsidR="009A5B18" w:rsidRPr="009A5B18">
              <w:t>.0</w:t>
            </w:r>
          </w:p>
        </w:tc>
        <w:tc>
          <w:tcPr>
            <w:tcW w:w="302" w:type="pct"/>
            <w:vAlign w:val="top"/>
          </w:tcPr>
          <w:p w:rsidR="008F7DD7" w:rsidRPr="009A5B18" w:rsidRDefault="008F7DD7" w:rsidP="008F7DD7">
            <w:pPr>
              <w:pStyle w:val="TableTextRight"/>
              <w:cnfStyle w:val="000000000000" w:firstRow="0" w:lastRow="0" w:firstColumn="0" w:lastColumn="0" w:oddVBand="0" w:evenVBand="0" w:oddHBand="0" w:evenHBand="0" w:firstRowFirstColumn="0" w:firstRowLastColumn="0" w:lastRowFirstColumn="0" w:lastRowLastColumn="0"/>
            </w:pPr>
            <w:r w:rsidRPr="009A5B18">
              <w:t>-100</w:t>
            </w:r>
            <w:r w:rsidR="009A5B18" w:rsidRPr="009A5B18">
              <w:t>.0</w:t>
            </w:r>
          </w:p>
        </w:tc>
        <w:tc>
          <w:tcPr>
            <w:tcW w:w="326" w:type="pct"/>
            <w:vAlign w:val="top"/>
          </w:tcPr>
          <w:p w:rsidR="008F7DD7" w:rsidRPr="009A5B18"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b/>
              </w:rPr>
            </w:pPr>
            <w:r w:rsidRPr="009A5B18">
              <w:rPr>
                <w:b/>
              </w:rPr>
              <w:t>-490</w:t>
            </w:r>
            <w:r w:rsidR="009A5B18" w:rsidRPr="009A5B18">
              <w:rPr>
                <w:b/>
              </w:rPr>
              <w:t>.0</w:t>
            </w:r>
          </w:p>
        </w:tc>
      </w:tr>
      <w:tr w:rsidR="008F7DD7" w:rsidTr="009748FA">
        <w:trPr>
          <w:cantSplit/>
        </w:trPr>
        <w:tc>
          <w:tcPr>
            <w:cnfStyle w:val="001000000000" w:firstRow="0" w:lastRow="0" w:firstColumn="1" w:lastColumn="0" w:oddVBand="0" w:evenVBand="0" w:oddHBand="0" w:evenHBand="0" w:firstRowFirstColumn="0" w:firstRowLastColumn="0" w:lastRowFirstColumn="0" w:lastRowLastColumn="0"/>
            <w:tcW w:w="1056" w:type="pct"/>
          </w:tcPr>
          <w:p w:rsidR="008F7DD7" w:rsidRPr="008F7DD7" w:rsidRDefault="008F7DD7" w:rsidP="00C02773">
            <w:pPr>
              <w:pStyle w:val="TableTextRight"/>
              <w:jc w:val="left"/>
              <w:rPr>
                <w:i w:val="0"/>
              </w:rPr>
            </w:pPr>
            <w:r w:rsidRPr="008F7DD7">
              <w:rPr>
                <w:i w:val="0"/>
              </w:rPr>
              <w:t>Public Debt Interest</w:t>
            </w:r>
          </w:p>
        </w:tc>
        <w:tc>
          <w:tcPr>
            <w:tcW w:w="301" w:type="pct"/>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i w:val="0"/>
              </w:rPr>
            </w:pPr>
            <w:r w:rsidRPr="008F7DD7">
              <w:rPr>
                <w:i w:val="0"/>
              </w:rPr>
              <w:t>-</w:t>
            </w:r>
          </w:p>
        </w:tc>
        <w:tc>
          <w:tcPr>
            <w:tcW w:w="301" w:type="pct"/>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i w:val="0"/>
              </w:rPr>
            </w:pPr>
            <w:r w:rsidRPr="008F7DD7">
              <w:rPr>
                <w:i w:val="0"/>
              </w:rPr>
              <w:t>-</w:t>
            </w:r>
          </w:p>
        </w:tc>
        <w:tc>
          <w:tcPr>
            <w:tcW w:w="301" w:type="pct"/>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i w:val="0"/>
              </w:rPr>
            </w:pPr>
            <w:r w:rsidRPr="008F7DD7">
              <w:rPr>
                <w:i w:val="0"/>
              </w:rPr>
              <w:t>..</w:t>
            </w:r>
          </w:p>
        </w:tc>
        <w:tc>
          <w:tcPr>
            <w:tcW w:w="301" w:type="pct"/>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i w:val="0"/>
              </w:rPr>
            </w:pPr>
            <w:r w:rsidRPr="008F7DD7">
              <w:rPr>
                <w:i w:val="0"/>
              </w:rPr>
              <w:t>..</w:t>
            </w:r>
          </w:p>
        </w:tc>
        <w:tc>
          <w:tcPr>
            <w:tcW w:w="302" w:type="pct"/>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i w:val="0"/>
              </w:rPr>
            </w:pPr>
            <w:r w:rsidRPr="008F7DD7">
              <w:rPr>
                <w:i w:val="0"/>
              </w:rPr>
              <w:t>..</w:t>
            </w:r>
          </w:p>
        </w:tc>
        <w:tc>
          <w:tcPr>
            <w:tcW w:w="302" w:type="pct"/>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i w:val="0"/>
              </w:rPr>
            </w:pPr>
            <w:r w:rsidRPr="008F7DD7">
              <w:rPr>
                <w:i w:val="0"/>
              </w:rPr>
              <w:t>..</w:t>
            </w:r>
          </w:p>
        </w:tc>
        <w:tc>
          <w:tcPr>
            <w:tcW w:w="302" w:type="pct"/>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i w:val="0"/>
              </w:rPr>
            </w:pPr>
            <w:r w:rsidRPr="008F7DD7">
              <w:rPr>
                <w:i w:val="0"/>
              </w:rPr>
              <w:t>-10</w:t>
            </w:r>
            <w:r w:rsidR="009A5B18">
              <w:rPr>
                <w:i w:val="0"/>
              </w:rPr>
              <w:t>.0</w:t>
            </w:r>
          </w:p>
        </w:tc>
        <w:tc>
          <w:tcPr>
            <w:tcW w:w="302" w:type="pct"/>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i w:val="0"/>
              </w:rPr>
            </w:pPr>
            <w:r w:rsidRPr="008F7DD7">
              <w:rPr>
                <w:i w:val="0"/>
              </w:rPr>
              <w:t>-20</w:t>
            </w:r>
            <w:r w:rsidR="009A5B18">
              <w:rPr>
                <w:i w:val="0"/>
              </w:rPr>
              <w:t>.0</w:t>
            </w:r>
          </w:p>
        </w:tc>
        <w:tc>
          <w:tcPr>
            <w:tcW w:w="302" w:type="pct"/>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i w:val="0"/>
              </w:rPr>
            </w:pPr>
            <w:r w:rsidRPr="008F7DD7">
              <w:rPr>
                <w:i w:val="0"/>
              </w:rPr>
              <w:t>-40</w:t>
            </w:r>
            <w:r w:rsidR="009A5B18">
              <w:rPr>
                <w:i w:val="0"/>
              </w:rPr>
              <w:t>.0</w:t>
            </w:r>
          </w:p>
        </w:tc>
        <w:tc>
          <w:tcPr>
            <w:tcW w:w="302" w:type="pct"/>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i w:val="0"/>
              </w:rPr>
            </w:pPr>
            <w:r w:rsidRPr="008F7DD7">
              <w:rPr>
                <w:i w:val="0"/>
              </w:rPr>
              <w:t>-60</w:t>
            </w:r>
            <w:r w:rsidR="009A5B18">
              <w:rPr>
                <w:i w:val="0"/>
              </w:rPr>
              <w:t>.0</w:t>
            </w:r>
          </w:p>
        </w:tc>
        <w:tc>
          <w:tcPr>
            <w:tcW w:w="302" w:type="pct"/>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i w:val="0"/>
              </w:rPr>
            </w:pPr>
            <w:r w:rsidRPr="008F7DD7">
              <w:rPr>
                <w:i w:val="0"/>
              </w:rPr>
              <w:t>-80</w:t>
            </w:r>
            <w:r w:rsidR="009A5B18">
              <w:rPr>
                <w:i w:val="0"/>
              </w:rPr>
              <w:t>.0</w:t>
            </w:r>
          </w:p>
        </w:tc>
        <w:tc>
          <w:tcPr>
            <w:tcW w:w="302" w:type="pct"/>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i w:val="0"/>
              </w:rPr>
            </w:pPr>
            <w:r w:rsidRPr="008F7DD7">
              <w:rPr>
                <w:i w:val="0"/>
              </w:rPr>
              <w:t>-110</w:t>
            </w:r>
            <w:r w:rsidR="009A5B18">
              <w:rPr>
                <w:i w:val="0"/>
              </w:rPr>
              <w:t>.0</w:t>
            </w:r>
          </w:p>
        </w:tc>
        <w:tc>
          <w:tcPr>
            <w:tcW w:w="326" w:type="pct"/>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b/>
                <w:i w:val="0"/>
              </w:rPr>
            </w:pPr>
            <w:r w:rsidRPr="008F7DD7">
              <w:rPr>
                <w:b/>
                <w:i w:val="0"/>
              </w:rPr>
              <w:t>-320</w:t>
            </w:r>
            <w:r w:rsidR="009A5B18">
              <w:rPr>
                <w:b/>
                <w:i w:val="0"/>
              </w:rPr>
              <w:t>.0</w:t>
            </w:r>
          </w:p>
        </w:tc>
      </w:tr>
      <w:tr w:rsidR="008F7DD7" w:rsidRPr="00AB55AE" w:rsidTr="009748FA">
        <w:trPr>
          <w:cantSplit/>
        </w:trPr>
        <w:tc>
          <w:tcPr>
            <w:cnfStyle w:val="001000000000" w:firstRow="0" w:lastRow="0" w:firstColumn="1" w:lastColumn="0" w:oddVBand="0" w:evenVBand="0" w:oddHBand="0" w:evenHBand="0" w:firstRowFirstColumn="0" w:firstRowLastColumn="0" w:lastRowFirstColumn="0" w:lastRowLastColumn="0"/>
            <w:tcW w:w="1056" w:type="pct"/>
            <w:shd w:val="clear" w:color="auto" w:fill="D7DDE9"/>
          </w:tcPr>
          <w:p w:rsidR="008F7DD7" w:rsidRPr="008F7DD7" w:rsidRDefault="008F7DD7" w:rsidP="00C02773">
            <w:pPr>
              <w:pStyle w:val="TableTextRight"/>
              <w:jc w:val="left"/>
              <w:rPr>
                <w:b/>
                <w:i w:val="0"/>
              </w:rPr>
            </w:pPr>
            <w:r w:rsidRPr="008F7DD7">
              <w:rPr>
                <w:b/>
                <w:i w:val="0"/>
              </w:rPr>
              <w:t xml:space="preserve">Total </w:t>
            </w:r>
            <w:r>
              <w:rPr>
                <w:b/>
                <w:i w:val="0"/>
              </w:rPr>
              <w:t>impact</w:t>
            </w:r>
          </w:p>
        </w:tc>
        <w:tc>
          <w:tcPr>
            <w:tcW w:w="301" w:type="pct"/>
            <w:shd w:val="clear" w:color="auto" w:fill="D7DDE9"/>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b/>
                <w:i w:val="0"/>
              </w:rPr>
            </w:pPr>
            <w:r w:rsidRPr="008F7DD7">
              <w:rPr>
                <w:b/>
                <w:i w:val="0"/>
              </w:rPr>
              <w:t>-460</w:t>
            </w:r>
            <w:r w:rsidR="009A5B18">
              <w:rPr>
                <w:b/>
                <w:i w:val="0"/>
              </w:rPr>
              <w:t>.0</w:t>
            </w:r>
          </w:p>
        </w:tc>
        <w:tc>
          <w:tcPr>
            <w:tcW w:w="301" w:type="pct"/>
            <w:shd w:val="clear" w:color="auto" w:fill="D7DDE9"/>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b/>
                <w:i w:val="0"/>
              </w:rPr>
            </w:pPr>
            <w:r w:rsidRPr="008F7DD7">
              <w:rPr>
                <w:b/>
                <w:i w:val="0"/>
              </w:rPr>
              <w:t>-960</w:t>
            </w:r>
            <w:r w:rsidR="009A5B18">
              <w:rPr>
                <w:b/>
                <w:i w:val="0"/>
              </w:rPr>
              <w:t>.0</w:t>
            </w:r>
          </w:p>
        </w:tc>
        <w:tc>
          <w:tcPr>
            <w:tcW w:w="301" w:type="pct"/>
            <w:shd w:val="clear" w:color="auto" w:fill="D7DDE9"/>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b/>
                <w:i w:val="0"/>
              </w:rPr>
            </w:pPr>
            <w:r w:rsidRPr="008F7DD7">
              <w:rPr>
                <w:b/>
                <w:i w:val="0"/>
              </w:rPr>
              <w:t>-1,050</w:t>
            </w:r>
            <w:r w:rsidR="009A5B18">
              <w:rPr>
                <w:b/>
                <w:i w:val="0"/>
              </w:rPr>
              <w:t>.0</w:t>
            </w:r>
          </w:p>
        </w:tc>
        <w:tc>
          <w:tcPr>
            <w:tcW w:w="301" w:type="pct"/>
            <w:shd w:val="clear" w:color="auto" w:fill="D7DDE9"/>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b/>
                <w:i w:val="0"/>
              </w:rPr>
            </w:pPr>
            <w:r w:rsidRPr="008F7DD7">
              <w:rPr>
                <w:b/>
                <w:i w:val="0"/>
              </w:rPr>
              <w:t>-1,110</w:t>
            </w:r>
            <w:r w:rsidR="009A5B18">
              <w:rPr>
                <w:b/>
                <w:i w:val="0"/>
              </w:rPr>
              <w:t>.0</w:t>
            </w:r>
          </w:p>
        </w:tc>
        <w:tc>
          <w:tcPr>
            <w:tcW w:w="302" w:type="pct"/>
            <w:shd w:val="clear" w:color="auto" w:fill="D7DDE9"/>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b/>
                <w:i w:val="0"/>
              </w:rPr>
            </w:pPr>
            <w:r w:rsidRPr="008F7DD7">
              <w:rPr>
                <w:b/>
                <w:i w:val="0"/>
              </w:rPr>
              <w:t>-3,580</w:t>
            </w:r>
            <w:r w:rsidR="009A5B18">
              <w:rPr>
                <w:b/>
                <w:i w:val="0"/>
              </w:rPr>
              <w:t>.0</w:t>
            </w:r>
          </w:p>
        </w:tc>
        <w:tc>
          <w:tcPr>
            <w:tcW w:w="302" w:type="pct"/>
            <w:shd w:val="clear" w:color="auto" w:fill="D7DDE9"/>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b/>
                <w:i w:val="0"/>
              </w:rPr>
            </w:pPr>
            <w:r w:rsidRPr="008F7DD7">
              <w:rPr>
                <w:b/>
                <w:i w:val="0"/>
              </w:rPr>
              <w:t>-1,190</w:t>
            </w:r>
            <w:r w:rsidR="009A5B18">
              <w:rPr>
                <w:b/>
                <w:i w:val="0"/>
              </w:rPr>
              <w:t>.0</w:t>
            </w:r>
          </w:p>
        </w:tc>
        <w:tc>
          <w:tcPr>
            <w:tcW w:w="302" w:type="pct"/>
            <w:shd w:val="clear" w:color="auto" w:fill="D7DDE9"/>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b/>
                <w:i w:val="0"/>
              </w:rPr>
            </w:pPr>
            <w:r w:rsidRPr="008F7DD7">
              <w:rPr>
                <w:b/>
                <w:i w:val="0"/>
              </w:rPr>
              <w:t>-1,270</w:t>
            </w:r>
            <w:r w:rsidR="009A5B18">
              <w:rPr>
                <w:b/>
                <w:i w:val="0"/>
              </w:rPr>
              <w:t>.0</w:t>
            </w:r>
          </w:p>
        </w:tc>
        <w:tc>
          <w:tcPr>
            <w:tcW w:w="302" w:type="pct"/>
            <w:shd w:val="clear" w:color="auto" w:fill="D7DDE9"/>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b/>
                <w:i w:val="0"/>
              </w:rPr>
            </w:pPr>
            <w:r w:rsidRPr="008F7DD7">
              <w:rPr>
                <w:b/>
                <w:i w:val="0"/>
              </w:rPr>
              <w:t>-1,350</w:t>
            </w:r>
            <w:r w:rsidR="009A5B18">
              <w:rPr>
                <w:b/>
                <w:i w:val="0"/>
              </w:rPr>
              <w:t>.0</w:t>
            </w:r>
          </w:p>
        </w:tc>
        <w:tc>
          <w:tcPr>
            <w:tcW w:w="302" w:type="pct"/>
            <w:shd w:val="clear" w:color="auto" w:fill="D7DDE9"/>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b/>
                <w:i w:val="0"/>
              </w:rPr>
            </w:pPr>
            <w:r w:rsidRPr="008F7DD7">
              <w:rPr>
                <w:b/>
                <w:i w:val="0"/>
              </w:rPr>
              <w:t>-1,430</w:t>
            </w:r>
            <w:r w:rsidR="009A5B18">
              <w:rPr>
                <w:b/>
                <w:i w:val="0"/>
              </w:rPr>
              <w:t>.0</w:t>
            </w:r>
          </w:p>
        </w:tc>
        <w:tc>
          <w:tcPr>
            <w:tcW w:w="302" w:type="pct"/>
            <w:shd w:val="clear" w:color="auto" w:fill="D7DDE9"/>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b/>
                <w:i w:val="0"/>
              </w:rPr>
            </w:pPr>
            <w:r w:rsidRPr="008F7DD7">
              <w:rPr>
                <w:b/>
                <w:i w:val="0"/>
              </w:rPr>
              <w:t>-1,520</w:t>
            </w:r>
            <w:r w:rsidR="009A5B18">
              <w:rPr>
                <w:b/>
                <w:i w:val="0"/>
              </w:rPr>
              <w:t>.0</w:t>
            </w:r>
          </w:p>
        </w:tc>
        <w:tc>
          <w:tcPr>
            <w:tcW w:w="302" w:type="pct"/>
            <w:shd w:val="clear" w:color="auto" w:fill="D7DDE9"/>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b/>
                <w:i w:val="0"/>
              </w:rPr>
            </w:pPr>
            <w:r w:rsidRPr="008F7DD7">
              <w:rPr>
                <w:b/>
                <w:i w:val="0"/>
              </w:rPr>
              <w:t>-1,610</w:t>
            </w:r>
            <w:r w:rsidR="009A5B18">
              <w:rPr>
                <w:b/>
                <w:i w:val="0"/>
              </w:rPr>
              <w:t>.0</w:t>
            </w:r>
          </w:p>
        </w:tc>
        <w:tc>
          <w:tcPr>
            <w:tcW w:w="302" w:type="pct"/>
            <w:shd w:val="clear" w:color="auto" w:fill="D7DDE9"/>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b/>
                <w:i w:val="0"/>
              </w:rPr>
            </w:pPr>
            <w:r w:rsidRPr="008F7DD7">
              <w:rPr>
                <w:b/>
                <w:i w:val="0"/>
              </w:rPr>
              <w:t>-1,710</w:t>
            </w:r>
            <w:r w:rsidR="009A5B18">
              <w:rPr>
                <w:b/>
                <w:i w:val="0"/>
              </w:rPr>
              <w:t>.0</w:t>
            </w:r>
          </w:p>
        </w:tc>
        <w:tc>
          <w:tcPr>
            <w:tcW w:w="326" w:type="pct"/>
            <w:shd w:val="clear" w:color="auto" w:fill="D7DDE9"/>
            <w:vAlign w:val="top"/>
          </w:tcPr>
          <w:p w:rsidR="008F7DD7" w:rsidRPr="008F7DD7" w:rsidRDefault="008F7DD7" w:rsidP="008F7DD7">
            <w:pPr>
              <w:pStyle w:val="TableTextRight"/>
              <w:cnfStyle w:val="000000000000" w:firstRow="0" w:lastRow="0" w:firstColumn="0" w:lastColumn="0" w:oddVBand="0" w:evenVBand="0" w:oddHBand="0" w:evenHBand="0" w:firstRowFirstColumn="0" w:firstRowLastColumn="0" w:lastRowFirstColumn="0" w:lastRowLastColumn="0"/>
              <w:rPr>
                <w:b/>
                <w:i w:val="0"/>
              </w:rPr>
            </w:pPr>
            <w:r w:rsidRPr="008F7DD7">
              <w:rPr>
                <w:b/>
                <w:i w:val="0"/>
              </w:rPr>
              <w:t>-13,650</w:t>
            </w:r>
            <w:r w:rsidR="009A5B18">
              <w:rPr>
                <w:b/>
                <w:i w:val="0"/>
              </w:rPr>
              <w:t>.0</w:t>
            </w:r>
          </w:p>
        </w:tc>
      </w:tr>
    </w:tbl>
    <w:p w:rsidR="00726D3D" w:rsidRPr="00DB3B7E" w:rsidRDefault="00726D3D" w:rsidP="00726D3D">
      <w:pPr>
        <w:pStyle w:val="Footnotes"/>
        <w:numPr>
          <w:ilvl w:val="0"/>
          <w:numId w:val="21"/>
        </w:numPr>
      </w:pPr>
      <w:r w:rsidRPr="00DB3B7E">
        <w:t xml:space="preserve">A positive number for the underlying cash balance indicates an increase in receipts or a decrease in outlays or net capital investment in cash terms. </w:t>
      </w:r>
      <w:r>
        <w:t xml:space="preserve"> </w:t>
      </w:r>
      <w:r w:rsidRPr="00DB3B7E">
        <w:t xml:space="preserve">A negative number for the </w:t>
      </w:r>
      <w:r>
        <w:t>underlying cash</w:t>
      </w:r>
      <w:r w:rsidRPr="00DB3B7E">
        <w:t xml:space="preserve"> balance indicates a decrease in receipts or an increase in outlays or net capital investment in cash terms.</w:t>
      </w:r>
    </w:p>
    <w:p w:rsidR="008F7DD7" w:rsidRPr="008F7DD7" w:rsidRDefault="008F7DD7" w:rsidP="008F7DD7">
      <w:pPr>
        <w:pStyle w:val="Footnotes"/>
        <w:numPr>
          <w:ilvl w:val="0"/>
          <w:numId w:val="17"/>
        </w:numPr>
      </w:pPr>
      <w:r w:rsidRPr="008F7DD7">
        <w:t>Figures may not sum to totals due to rounding.</w:t>
      </w:r>
    </w:p>
    <w:p w:rsidR="008F7DD7" w:rsidRDefault="008F7DD7" w:rsidP="008F7DD7">
      <w:pPr>
        <w:pStyle w:val="Footnotes"/>
        <w:numPr>
          <w:ilvl w:val="0"/>
          <w:numId w:val="0"/>
        </w:numPr>
        <w:ind w:left="284" w:hanging="284"/>
      </w:pPr>
      <w:r>
        <w:t>..</w:t>
      </w:r>
      <w:r>
        <w:tab/>
        <w:t>Not zero but rounded to zero.</w:t>
      </w:r>
    </w:p>
    <w:p w:rsidR="008F7DD7" w:rsidRPr="00CA5D42" w:rsidRDefault="008F7DD7" w:rsidP="008F7DD7">
      <w:pPr>
        <w:pStyle w:val="Footnotes"/>
        <w:numPr>
          <w:ilvl w:val="0"/>
          <w:numId w:val="0"/>
        </w:numPr>
        <w:ind w:left="284" w:hanging="284"/>
      </w:pPr>
      <w:r>
        <w:t>-</w:t>
      </w:r>
      <w:r>
        <w:tab/>
        <w:t>Indicates nil.</w:t>
      </w:r>
    </w:p>
    <w:p w:rsidR="009A5B18" w:rsidRDefault="009A5B18" w:rsidP="009748FA">
      <w:pPr>
        <w:pStyle w:val="Captionheading"/>
        <w:keepLines/>
      </w:pPr>
      <w:r>
        <w:lastRenderedPageBreak/>
        <w:t>Table A3</w:t>
      </w:r>
      <w:r w:rsidRPr="00FC6579">
        <w:t xml:space="preserve">: </w:t>
      </w:r>
      <w:r w:rsidRPr="00AF3559">
        <w:t>Reducing HECS-HELP student contributions by 20 per cent from 1 January 2017</w:t>
      </w:r>
      <w:r>
        <w:t xml:space="preserve"> – Headline cash balance</w:t>
      </w:r>
      <w:r w:rsidRPr="00AF3559">
        <w:t xml:space="preserve"> </w:t>
      </w:r>
      <w:r w:rsidRPr="001F7D6A">
        <w:rPr>
          <w:vertAlign w:val="superscript"/>
        </w:rPr>
        <w:t>(a)(b)</w:t>
      </w:r>
    </w:p>
    <w:tbl>
      <w:tblPr>
        <w:tblStyle w:val="TableGrid"/>
        <w:tblW w:w="4966" w:type="pct"/>
        <w:tblLook w:val="0680" w:firstRow="0" w:lastRow="0" w:firstColumn="1" w:lastColumn="0" w:noHBand="1" w:noVBand="1"/>
      </w:tblPr>
      <w:tblGrid>
        <w:gridCol w:w="2942"/>
        <w:gridCol w:w="838"/>
        <w:gridCol w:w="838"/>
        <w:gridCol w:w="838"/>
        <w:gridCol w:w="838"/>
        <w:gridCol w:w="838"/>
        <w:gridCol w:w="838"/>
        <w:gridCol w:w="838"/>
        <w:gridCol w:w="838"/>
        <w:gridCol w:w="838"/>
        <w:gridCol w:w="838"/>
        <w:gridCol w:w="838"/>
        <w:gridCol w:w="838"/>
        <w:gridCol w:w="921"/>
      </w:tblGrid>
      <w:tr w:rsidR="009A5B18" w:rsidRPr="00B31810" w:rsidTr="004C3DEA">
        <w:trPr>
          <w:cantSplit/>
          <w:tblHeader/>
        </w:trPr>
        <w:tc>
          <w:tcPr>
            <w:cnfStyle w:val="001000000000" w:firstRow="0" w:lastRow="0" w:firstColumn="1" w:lastColumn="0" w:oddVBand="0" w:evenVBand="0" w:oddHBand="0" w:evenHBand="0" w:firstRowFirstColumn="0" w:firstRowLastColumn="0" w:lastRowFirstColumn="0" w:lastRowLastColumn="0"/>
            <w:tcW w:w="1057" w:type="pct"/>
            <w:shd w:val="clear" w:color="auto" w:fill="D7DDE9"/>
          </w:tcPr>
          <w:p w:rsidR="009A5B18" w:rsidRPr="00A65EA3" w:rsidRDefault="009A5B18" w:rsidP="009748FA">
            <w:pPr>
              <w:keepNext/>
              <w:keepLines/>
              <w:spacing w:before="70" w:after="70" w:line="240" w:lineRule="auto"/>
              <w:ind w:left="57" w:right="57"/>
            </w:pPr>
            <w:r w:rsidRPr="00A65EA3">
              <w:t>($m)</w:t>
            </w:r>
          </w:p>
        </w:tc>
        <w:tc>
          <w:tcPr>
            <w:tcW w:w="301" w:type="pct"/>
            <w:shd w:val="clear" w:color="auto" w:fill="D7DDE9"/>
          </w:tcPr>
          <w:p w:rsidR="009A5B18" w:rsidRPr="00C24267" w:rsidRDefault="009A5B18" w:rsidP="009748FA">
            <w:pPr>
              <w:pStyle w:val="TableHeadingCentred"/>
              <w:cnfStyle w:val="000000000000" w:firstRow="0" w:lastRow="0" w:firstColumn="0" w:lastColumn="0" w:oddVBand="0" w:evenVBand="0" w:oddHBand="0" w:evenHBand="0" w:firstRowFirstColumn="0" w:firstRowLastColumn="0" w:lastRowFirstColumn="0" w:lastRowLastColumn="0"/>
            </w:pPr>
            <w:r w:rsidRPr="00C24267">
              <w:t>2016–17</w:t>
            </w:r>
          </w:p>
        </w:tc>
        <w:tc>
          <w:tcPr>
            <w:tcW w:w="301" w:type="pct"/>
            <w:shd w:val="clear" w:color="auto" w:fill="D7DDE9"/>
          </w:tcPr>
          <w:p w:rsidR="009A5B18" w:rsidRPr="00C24267" w:rsidRDefault="009A5B18" w:rsidP="009748FA">
            <w:pPr>
              <w:pStyle w:val="TableHeadingCentred"/>
              <w:cnfStyle w:val="000000000000" w:firstRow="0" w:lastRow="0" w:firstColumn="0" w:lastColumn="0" w:oddVBand="0" w:evenVBand="0" w:oddHBand="0" w:evenHBand="0" w:firstRowFirstColumn="0" w:firstRowLastColumn="0" w:lastRowFirstColumn="0" w:lastRowLastColumn="0"/>
            </w:pPr>
            <w:r w:rsidRPr="00C24267">
              <w:t>2017–18</w:t>
            </w:r>
          </w:p>
        </w:tc>
        <w:tc>
          <w:tcPr>
            <w:tcW w:w="301" w:type="pct"/>
            <w:shd w:val="clear" w:color="auto" w:fill="D7DDE9"/>
          </w:tcPr>
          <w:p w:rsidR="009A5B18" w:rsidRPr="00C24267" w:rsidRDefault="009A5B18" w:rsidP="009748FA">
            <w:pPr>
              <w:pStyle w:val="TableHeadingCentred"/>
              <w:cnfStyle w:val="000000000000" w:firstRow="0" w:lastRow="0" w:firstColumn="0" w:lastColumn="0" w:oddVBand="0" w:evenVBand="0" w:oddHBand="0" w:evenHBand="0" w:firstRowFirstColumn="0" w:firstRowLastColumn="0" w:lastRowFirstColumn="0" w:lastRowLastColumn="0"/>
            </w:pPr>
            <w:r w:rsidRPr="00C24267">
              <w:t>2018–19</w:t>
            </w:r>
          </w:p>
        </w:tc>
        <w:tc>
          <w:tcPr>
            <w:tcW w:w="301" w:type="pct"/>
            <w:shd w:val="clear" w:color="auto" w:fill="D7DDE9"/>
          </w:tcPr>
          <w:p w:rsidR="009A5B18" w:rsidRPr="00C24267" w:rsidRDefault="009A5B18" w:rsidP="009748FA">
            <w:pPr>
              <w:pStyle w:val="TableHeadingCentred"/>
              <w:cnfStyle w:val="000000000000" w:firstRow="0" w:lastRow="0" w:firstColumn="0" w:lastColumn="0" w:oddVBand="0" w:evenVBand="0" w:oddHBand="0" w:evenHBand="0" w:firstRowFirstColumn="0" w:firstRowLastColumn="0" w:lastRowFirstColumn="0" w:lastRowLastColumn="0"/>
            </w:pPr>
            <w:r w:rsidRPr="00C24267">
              <w:t>2019–20</w:t>
            </w:r>
          </w:p>
        </w:tc>
        <w:tc>
          <w:tcPr>
            <w:tcW w:w="301" w:type="pct"/>
            <w:shd w:val="clear" w:color="auto" w:fill="D7DDE9"/>
          </w:tcPr>
          <w:p w:rsidR="009A5B18" w:rsidRPr="00AE30B5" w:rsidRDefault="009A5B18" w:rsidP="009748FA">
            <w:pPr>
              <w:pStyle w:val="TableHeadingCentred"/>
              <w:cnfStyle w:val="000000000000" w:firstRow="0" w:lastRow="0" w:firstColumn="0" w:lastColumn="0" w:oddVBand="0" w:evenVBand="0" w:oddHBand="0" w:evenHBand="0" w:firstRowFirstColumn="0" w:firstRowLastColumn="0" w:lastRowFirstColumn="0" w:lastRowLastColumn="0"/>
              <w:rPr>
                <w:b/>
              </w:rPr>
            </w:pPr>
            <w:r w:rsidRPr="00AE30B5">
              <w:rPr>
                <w:b/>
              </w:rPr>
              <w:t>Total to 2019–20</w:t>
            </w:r>
          </w:p>
        </w:tc>
        <w:tc>
          <w:tcPr>
            <w:tcW w:w="301" w:type="pct"/>
            <w:shd w:val="clear" w:color="auto" w:fill="D7DDE9"/>
          </w:tcPr>
          <w:p w:rsidR="009A5B18" w:rsidRPr="00C24267" w:rsidRDefault="009A5B18" w:rsidP="009748FA">
            <w:pPr>
              <w:pStyle w:val="TableHeadingCentred"/>
              <w:cnfStyle w:val="000000000000" w:firstRow="0" w:lastRow="0" w:firstColumn="0" w:lastColumn="0" w:oddVBand="0" w:evenVBand="0" w:oddHBand="0" w:evenHBand="0" w:firstRowFirstColumn="0" w:firstRowLastColumn="0" w:lastRowFirstColumn="0" w:lastRowLastColumn="0"/>
            </w:pPr>
            <w:r w:rsidRPr="00C24267">
              <w:t>2020–21</w:t>
            </w:r>
          </w:p>
        </w:tc>
        <w:tc>
          <w:tcPr>
            <w:tcW w:w="301" w:type="pct"/>
            <w:shd w:val="clear" w:color="auto" w:fill="D7DDE9"/>
          </w:tcPr>
          <w:p w:rsidR="009A5B18" w:rsidRPr="00C24267" w:rsidRDefault="009A5B18" w:rsidP="009748FA">
            <w:pPr>
              <w:pStyle w:val="TableHeadingCentred"/>
              <w:cnfStyle w:val="000000000000" w:firstRow="0" w:lastRow="0" w:firstColumn="0" w:lastColumn="0" w:oddVBand="0" w:evenVBand="0" w:oddHBand="0" w:evenHBand="0" w:firstRowFirstColumn="0" w:firstRowLastColumn="0" w:lastRowFirstColumn="0" w:lastRowLastColumn="0"/>
            </w:pPr>
            <w:r w:rsidRPr="00C24267">
              <w:t>2021–22</w:t>
            </w:r>
          </w:p>
        </w:tc>
        <w:tc>
          <w:tcPr>
            <w:tcW w:w="301" w:type="pct"/>
            <w:shd w:val="clear" w:color="auto" w:fill="D7DDE9"/>
          </w:tcPr>
          <w:p w:rsidR="009A5B18" w:rsidRPr="00C24267" w:rsidRDefault="009A5B18" w:rsidP="009748FA">
            <w:pPr>
              <w:pStyle w:val="TableHeadingCentred"/>
              <w:cnfStyle w:val="000000000000" w:firstRow="0" w:lastRow="0" w:firstColumn="0" w:lastColumn="0" w:oddVBand="0" w:evenVBand="0" w:oddHBand="0" w:evenHBand="0" w:firstRowFirstColumn="0" w:firstRowLastColumn="0" w:lastRowFirstColumn="0" w:lastRowLastColumn="0"/>
            </w:pPr>
            <w:r w:rsidRPr="00C24267">
              <w:t>2022–23</w:t>
            </w:r>
          </w:p>
        </w:tc>
        <w:tc>
          <w:tcPr>
            <w:tcW w:w="301" w:type="pct"/>
            <w:shd w:val="clear" w:color="auto" w:fill="D7DDE9"/>
          </w:tcPr>
          <w:p w:rsidR="009A5B18" w:rsidRPr="00C24267" w:rsidRDefault="009A5B18" w:rsidP="009748FA">
            <w:pPr>
              <w:pStyle w:val="TableHeadingCentred"/>
              <w:cnfStyle w:val="000000000000" w:firstRow="0" w:lastRow="0" w:firstColumn="0" w:lastColumn="0" w:oddVBand="0" w:evenVBand="0" w:oddHBand="0" w:evenHBand="0" w:firstRowFirstColumn="0" w:firstRowLastColumn="0" w:lastRowFirstColumn="0" w:lastRowLastColumn="0"/>
            </w:pPr>
            <w:r w:rsidRPr="00C24267">
              <w:t>2023–24</w:t>
            </w:r>
          </w:p>
        </w:tc>
        <w:tc>
          <w:tcPr>
            <w:tcW w:w="301" w:type="pct"/>
            <w:shd w:val="clear" w:color="auto" w:fill="D7DDE9"/>
          </w:tcPr>
          <w:p w:rsidR="009A5B18" w:rsidRPr="00C24267" w:rsidRDefault="009A5B18" w:rsidP="009748FA">
            <w:pPr>
              <w:pStyle w:val="TableHeadingCentred"/>
              <w:cnfStyle w:val="000000000000" w:firstRow="0" w:lastRow="0" w:firstColumn="0" w:lastColumn="0" w:oddVBand="0" w:evenVBand="0" w:oddHBand="0" w:evenHBand="0" w:firstRowFirstColumn="0" w:firstRowLastColumn="0" w:lastRowFirstColumn="0" w:lastRowLastColumn="0"/>
            </w:pPr>
            <w:r w:rsidRPr="00C24267">
              <w:t>2024–25</w:t>
            </w:r>
          </w:p>
        </w:tc>
        <w:tc>
          <w:tcPr>
            <w:tcW w:w="301" w:type="pct"/>
            <w:shd w:val="clear" w:color="auto" w:fill="D7DDE9"/>
          </w:tcPr>
          <w:p w:rsidR="009A5B18" w:rsidRPr="00C24267" w:rsidRDefault="009A5B18" w:rsidP="009748FA">
            <w:pPr>
              <w:pStyle w:val="TableHeadingCentred"/>
              <w:cnfStyle w:val="000000000000" w:firstRow="0" w:lastRow="0" w:firstColumn="0" w:lastColumn="0" w:oddVBand="0" w:evenVBand="0" w:oddHBand="0" w:evenHBand="0" w:firstRowFirstColumn="0" w:firstRowLastColumn="0" w:lastRowFirstColumn="0" w:lastRowLastColumn="0"/>
            </w:pPr>
            <w:r w:rsidRPr="00C24267">
              <w:t>2025–26</w:t>
            </w:r>
          </w:p>
        </w:tc>
        <w:tc>
          <w:tcPr>
            <w:tcW w:w="301" w:type="pct"/>
            <w:shd w:val="clear" w:color="auto" w:fill="D7DDE9"/>
          </w:tcPr>
          <w:p w:rsidR="009A5B18" w:rsidRPr="00C24267" w:rsidRDefault="009A5B18" w:rsidP="009748FA">
            <w:pPr>
              <w:pStyle w:val="TableHeadingCentred"/>
              <w:cnfStyle w:val="000000000000" w:firstRow="0" w:lastRow="0" w:firstColumn="0" w:lastColumn="0" w:oddVBand="0" w:evenVBand="0" w:oddHBand="0" w:evenHBand="0" w:firstRowFirstColumn="0" w:firstRowLastColumn="0" w:lastRowFirstColumn="0" w:lastRowLastColumn="0"/>
            </w:pPr>
            <w:r w:rsidRPr="00C24267">
              <w:t>2026–27</w:t>
            </w:r>
          </w:p>
        </w:tc>
        <w:tc>
          <w:tcPr>
            <w:tcW w:w="331" w:type="pct"/>
            <w:shd w:val="clear" w:color="auto" w:fill="D7DDE9"/>
          </w:tcPr>
          <w:p w:rsidR="009A5B18" w:rsidRPr="00AE30B5" w:rsidRDefault="009A5B18" w:rsidP="009748FA">
            <w:pPr>
              <w:pStyle w:val="TableHeadingCentred"/>
              <w:cnfStyle w:val="000000000000" w:firstRow="0" w:lastRow="0" w:firstColumn="0" w:lastColumn="0" w:oddVBand="0" w:evenVBand="0" w:oddHBand="0" w:evenHBand="0" w:firstRowFirstColumn="0" w:firstRowLastColumn="0" w:lastRowFirstColumn="0" w:lastRowLastColumn="0"/>
              <w:rPr>
                <w:b/>
              </w:rPr>
            </w:pPr>
            <w:r w:rsidRPr="00AE30B5">
              <w:rPr>
                <w:b/>
              </w:rPr>
              <w:t>Total to 2026–27</w:t>
            </w:r>
          </w:p>
        </w:tc>
      </w:tr>
      <w:tr w:rsidR="009A5B18" w:rsidTr="004C3DEA">
        <w:trPr>
          <w:cantSplit/>
        </w:trPr>
        <w:tc>
          <w:tcPr>
            <w:cnfStyle w:val="001000000000" w:firstRow="0" w:lastRow="0" w:firstColumn="1" w:lastColumn="0" w:oddVBand="0" w:evenVBand="0" w:oddHBand="0" w:evenHBand="0" w:firstRowFirstColumn="0" w:firstRowLastColumn="0" w:lastRowFirstColumn="0" w:lastRowLastColumn="0"/>
            <w:tcW w:w="1057" w:type="pct"/>
          </w:tcPr>
          <w:p w:rsidR="009A5B18" w:rsidRPr="008F7DD7" w:rsidRDefault="009A5B18" w:rsidP="009748FA">
            <w:pPr>
              <w:pStyle w:val="TableTextRight"/>
              <w:keepNext/>
              <w:keepLines/>
              <w:jc w:val="left"/>
              <w:rPr>
                <w:i w:val="0"/>
              </w:rPr>
            </w:pPr>
            <w:r w:rsidRPr="008F7DD7">
              <w:rPr>
                <w:i w:val="0"/>
              </w:rPr>
              <w:t>Commonwealth Grant Scheme expenses</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rPr>
                <w:i w:val="0"/>
              </w:rPr>
            </w:pPr>
            <w:r w:rsidRPr="009A5B18">
              <w:rPr>
                <w:i w:val="0"/>
              </w:rPr>
              <w:t>-460</w:t>
            </w:r>
            <w:r>
              <w:rPr>
                <w:i w:val="0"/>
              </w:rPr>
              <w:t>.0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rPr>
                <w:i w:val="0"/>
              </w:rPr>
            </w:pPr>
            <w:r w:rsidRPr="009A5B18">
              <w:rPr>
                <w:i w:val="0"/>
              </w:rPr>
              <w:t>-960</w:t>
            </w:r>
            <w:r>
              <w:rPr>
                <w:i w:val="0"/>
              </w:rPr>
              <w:t>.0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rPr>
                <w:i w:val="0"/>
              </w:rPr>
            </w:pPr>
            <w:r w:rsidRPr="009A5B18">
              <w:rPr>
                <w:i w:val="0"/>
              </w:rPr>
              <w:t>-1,040</w:t>
            </w:r>
            <w:r>
              <w:rPr>
                <w:i w:val="0"/>
              </w:rPr>
              <w:t>.0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rPr>
                <w:i w:val="0"/>
              </w:rPr>
            </w:pPr>
            <w:r w:rsidRPr="009A5B18">
              <w:rPr>
                <w:i w:val="0"/>
              </w:rPr>
              <w:t>-1,100</w:t>
            </w:r>
            <w:r>
              <w:rPr>
                <w:i w:val="0"/>
              </w:rPr>
              <w:t>.0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rPr>
                <w:b/>
                <w:i w:val="0"/>
              </w:rPr>
            </w:pPr>
            <w:r w:rsidRPr="009A5B18">
              <w:rPr>
                <w:b/>
                <w:i w:val="0"/>
              </w:rPr>
              <w:t>-3,570</w:t>
            </w:r>
            <w:r>
              <w:rPr>
                <w:b/>
                <w:i w:val="0"/>
              </w:rPr>
              <w:t>.0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rPr>
                <w:i w:val="0"/>
              </w:rPr>
            </w:pPr>
            <w:r w:rsidRPr="009A5B18">
              <w:rPr>
                <w:i w:val="0"/>
              </w:rPr>
              <w:t>-1,160</w:t>
            </w:r>
            <w:r>
              <w:rPr>
                <w:i w:val="0"/>
              </w:rPr>
              <w:t>.0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rPr>
                <w:i w:val="0"/>
              </w:rPr>
            </w:pPr>
            <w:r w:rsidRPr="009A5B18">
              <w:rPr>
                <w:i w:val="0"/>
              </w:rPr>
              <w:t>-1,210</w:t>
            </w:r>
            <w:r>
              <w:rPr>
                <w:i w:val="0"/>
              </w:rPr>
              <w:t>.0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rPr>
                <w:i w:val="0"/>
              </w:rPr>
            </w:pPr>
            <w:r w:rsidRPr="009A5B18">
              <w:rPr>
                <w:i w:val="0"/>
              </w:rPr>
              <w:t>-1,270</w:t>
            </w:r>
            <w:r>
              <w:rPr>
                <w:i w:val="0"/>
              </w:rPr>
              <w:t>.0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rPr>
                <w:i w:val="0"/>
              </w:rPr>
            </w:pPr>
            <w:r w:rsidRPr="009A5B18">
              <w:rPr>
                <w:i w:val="0"/>
              </w:rPr>
              <w:t>-1,320</w:t>
            </w:r>
            <w:r>
              <w:rPr>
                <w:i w:val="0"/>
              </w:rPr>
              <w:t>.0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rPr>
                <w:i w:val="0"/>
              </w:rPr>
            </w:pPr>
            <w:r w:rsidRPr="009A5B18">
              <w:rPr>
                <w:i w:val="0"/>
              </w:rPr>
              <w:t>-1,380</w:t>
            </w:r>
            <w:r>
              <w:rPr>
                <w:i w:val="0"/>
              </w:rPr>
              <w:t>.0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rPr>
                <w:i w:val="0"/>
              </w:rPr>
            </w:pPr>
            <w:r w:rsidRPr="009A5B18">
              <w:rPr>
                <w:i w:val="0"/>
              </w:rPr>
              <w:t>-1,440</w:t>
            </w:r>
            <w:r>
              <w:rPr>
                <w:i w:val="0"/>
              </w:rPr>
              <w:t>.0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rPr>
                <w:i w:val="0"/>
              </w:rPr>
            </w:pPr>
            <w:r w:rsidRPr="009A5B18">
              <w:rPr>
                <w:i w:val="0"/>
              </w:rPr>
              <w:t>-1,500</w:t>
            </w:r>
            <w:r>
              <w:rPr>
                <w:i w:val="0"/>
              </w:rPr>
              <w:t>.0</w:t>
            </w:r>
          </w:p>
        </w:tc>
        <w:tc>
          <w:tcPr>
            <w:tcW w:w="33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rPr>
                <w:b/>
                <w:i w:val="0"/>
              </w:rPr>
            </w:pPr>
            <w:r w:rsidRPr="009A5B18">
              <w:rPr>
                <w:b/>
                <w:i w:val="0"/>
              </w:rPr>
              <w:t>-12,840</w:t>
            </w:r>
            <w:r>
              <w:rPr>
                <w:b/>
                <w:i w:val="0"/>
              </w:rPr>
              <w:t>.0</w:t>
            </w:r>
          </w:p>
        </w:tc>
      </w:tr>
      <w:tr w:rsidR="009748FA" w:rsidTr="004C3DEA">
        <w:trPr>
          <w:cantSplit/>
        </w:trPr>
        <w:tc>
          <w:tcPr>
            <w:cnfStyle w:val="001000000000" w:firstRow="0" w:lastRow="0" w:firstColumn="1" w:lastColumn="0" w:oddVBand="0" w:evenVBand="0" w:oddHBand="0" w:evenHBand="0" w:firstRowFirstColumn="0" w:firstRowLastColumn="0" w:lastRowFirstColumn="0" w:lastRowLastColumn="0"/>
            <w:tcW w:w="5000" w:type="pct"/>
            <w:gridSpan w:val="14"/>
          </w:tcPr>
          <w:p w:rsidR="009748FA" w:rsidRPr="009748FA" w:rsidRDefault="009748FA" w:rsidP="009748FA">
            <w:pPr>
              <w:pStyle w:val="TableTextRight"/>
              <w:keepNext/>
              <w:keepLines/>
              <w:jc w:val="left"/>
              <w:rPr>
                <w:i w:val="0"/>
              </w:rPr>
            </w:pPr>
            <w:r w:rsidRPr="009748FA">
              <w:rPr>
                <w:i w:val="0"/>
              </w:rPr>
              <w:t xml:space="preserve">Higher Education Loan Programme </w:t>
            </w:r>
          </w:p>
        </w:tc>
      </w:tr>
      <w:tr w:rsidR="009A5B18" w:rsidTr="004C3DEA">
        <w:trPr>
          <w:cantSplit/>
        </w:trPr>
        <w:tc>
          <w:tcPr>
            <w:cnfStyle w:val="001000000000" w:firstRow="0" w:lastRow="0" w:firstColumn="1" w:lastColumn="0" w:oddVBand="0" w:evenVBand="0" w:oddHBand="0" w:evenHBand="0" w:firstRowFirstColumn="0" w:firstRowLastColumn="0" w:lastRowFirstColumn="0" w:lastRowLastColumn="0"/>
            <w:tcW w:w="1057" w:type="pct"/>
          </w:tcPr>
          <w:p w:rsidR="009A5B18" w:rsidRPr="009A5B18" w:rsidRDefault="009A5B18" w:rsidP="004C3DEA">
            <w:pPr>
              <w:pStyle w:val="TableTextRight"/>
              <w:keepNext/>
              <w:keepLines/>
              <w:ind w:left="227"/>
              <w:jc w:val="left"/>
            </w:pPr>
            <w:r w:rsidRPr="009A5B18">
              <w:t>Loans issued</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pPr>
            <w:r w:rsidRPr="009A5B18">
              <w:t>460.0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pPr>
            <w:r w:rsidRPr="009A5B18">
              <w:t>960.0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pPr>
            <w:r w:rsidRPr="009A5B18">
              <w:t>1,040.0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pPr>
            <w:r w:rsidRPr="009A5B18">
              <w:t>1,100.0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rPr>
                <w:b/>
              </w:rPr>
            </w:pPr>
            <w:r w:rsidRPr="009A5B18">
              <w:rPr>
                <w:b/>
              </w:rPr>
              <w:t>3,570.0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pPr>
            <w:r w:rsidRPr="009A5B18">
              <w:t>1,160.0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pPr>
            <w:r w:rsidRPr="009A5B18">
              <w:t>1,210.0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pPr>
            <w:r w:rsidRPr="009A5B18">
              <w:t>1,270.0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pPr>
            <w:r w:rsidRPr="009A5B18">
              <w:t>1,320.0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pPr>
            <w:r w:rsidRPr="009A5B18">
              <w:t>1,380.0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pPr>
            <w:r w:rsidRPr="009A5B18">
              <w:t>1,440.0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pPr>
            <w:r w:rsidRPr="009A5B18">
              <w:t>1,500.0</w:t>
            </w:r>
          </w:p>
        </w:tc>
        <w:tc>
          <w:tcPr>
            <w:tcW w:w="33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rPr>
                <w:b/>
              </w:rPr>
            </w:pPr>
            <w:r w:rsidRPr="009A5B18">
              <w:rPr>
                <w:b/>
              </w:rPr>
              <w:t>12,840.0</w:t>
            </w:r>
          </w:p>
        </w:tc>
      </w:tr>
      <w:tr w:rsidR="009A5B18" w:rsidTr="004C3DEA">
        <w:trPr>
          <w:cantSplit/>
        </w:trPr>
        <w:tc>
          <w:tcPr>
            <w:cnfStyle w:val="001000000000" w:firstRow="0" w:lastRow="0" w:firstColumn="1" w:lastColumn="0" w:oddVBand="0" w:evenVBand="0" w:oddHBand="0" w:evenHBand="0" w:firstRowFirstColumn="0" w:firstRowLastColumn="0" w:lastRowFirstColumn="0" w:lastRowLastColumn="0"/>
            <w:tcW w:w="1057" w:type="pct"/>
          </w:tcPr>
          <w:p w:rsidR="009A5B18" w:rsidRPr="009A5B18" w:rsidRDefault="009A5B18" w:rsidP="004C3DEA">
            <w:pPr>
              <w:pStyle w:val="TableTextRight"/>
              <w:keepNext/>
              <w:keepLines/>
              <w:ind w:left="227"/>
              <w:jc w:val="left"/>
            </w:pPr>
            <w:r w:rsidRPr="009A5B18">
              <w:t>Repayments and interest received</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pPr>
            <w:r w:rsidRPr="009A5B18">
              <w:t>-</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pPr>
            <w:r w:rsidRPr="009A5B18">
              <w:t>-</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pPr>
            <w:r w:rsidRPr="009A5B18">
              <w:t>-10.0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pPr>
            <w:r w:rsidRPr="009A5B18">
              <w:t>-50.0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rPr>
                <w:b/>
              </w:rPr>
            </w:pPr>
            <w:r w:rsidRPr="009A5B18">
              <w:rPr>
                <w:b/>
              </w:rPr>
              <w:t>-60.0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pPr>
            <w:r w:rsidRPr="009A5B18">
              <w:t>-110.0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pPr>
            <w:r w:rsidRPr="009A5B18">
              <w:t>-180.0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pPr>
            <w:r w:rsidRPr="009A5B18">
              <w:t>-240.0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pPr>
            <w:r w:rsidRPr="009A5B18">
              <w:t>-300.0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pPr>
            <w:r w:rsidRPr="009A5B18">
              <w:t>-350.0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pPr>
            <w:r w:rsidRPr="009A5B18">
              <w:t>-400.0</w:t>
            </w:r>
          </w:p>
        </w:tc>
        <w:tc>
          <w:tcPr>
            <w:tcW w:w="30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pPr>
            <w:r w:rsidRPr="009A5B18">
              <w:t>-450.0</w:t>
            </w:r>
          </w:p>
        </w:tc>
        <w:tc>
          <w:tcPr>
            <w:tcW w:w="331" w:type="pct"/>
            <w:vAlign w:val="top"/>
          </w:tcPr>
          <w:p w:rsidR="009A5B18" w:rsidRPr="009A5B18" w:rsidRDefault="009A5B18" w:rsidP="009748FA">
            <w:pPr>
              <w:pStyle w:val="TableTextRight"/>
              <w:keepNext/>
              <w:keepLines/>
              <w:cnfStyle w:val="000000000000" w:firstRow="0" w:lastRow="0" w:firstColumn="0" w:lastColumn="0" w:oddVBand="0" w:evenVBand="0" w:oddHBand="0" w:evenHBand="0" w:firstRowFirstColumn="0" w:firstRowLastColumn="0" w:lastRowFirstColumn="0" w:lastRowLastColumn="0"/>
              <w:rPr>
                <w:b/>
              </w:rPr>
            </w:pPr>
            <w:r w:rsidRPr="009A5B18">
              <w:rPr>
                <w:b/>
              </w:rPr>
              <w:t>-2,080.0</w:t>
            </w:r>
          </w:p>
        </w:tc>
      </w:tr>
      <w:tr w:rsidR="009A5B18" w:rsidTr="004C3DEA">
        <w:trPr>
          <w:cantSplit/>
        </w:trPr>
        <w:tc>
          <w:tcPr>
            <w:cnfStyle w:val="001000000000" w:firstRow="0" w:lastRow="0" w:firstColumn="1" w:lastColumn="0" w:oddVBand="0" w:evenVBand="0" w:oddHBand="0" w:evenHBand="0" w:firstRowFirstColumn="0" w:firstRowLastColumn="0" w:lastRowFirstColumn="0" w:lastRowLastColumn="0"/>
            <w:tcW w:w="1057" w:type="pct"/>
          </w:tcPr>
          <w:p w:rsidR="009A5B18" w:rsidRPr="008F7DD7" w:rsidRDefault="009A5B18" w:rsidP="00C02773">
            <w:pPr>
              <w:pStyle w:val="TableTextRight"/>
              <w:jc w:val="left"/>
              <w:rPr>
                <w:i w:val="0"/>
              </w:rPr>
            </w:pPr>
            <w:r w:rsidRPr="008F7DD7">
              <w:rPr>
                <w:i w:val="0"/>
              </w:rPr>
              <w:t>Public Debt Interest</w:t>
            </w:r>
          </w:p>
        </w:tc>
        <w:tc>
          <w:tcPr>
            <w:tcW w:w="301" w:type="pct"/>
            <w:vAlign w:val="top"/>
          </w:tcPr>
          <w:p w:rsidR="009A5B18" w:rsidRPr="009A5B18" w:rsidRDefault="009A5B18" w:rsidP="009A5B18">
            <w:pPr>
              <w:pStyle w:val="TableTextRight"/>
              <w:cnfStyle w:val="000000000000" w:firstRow="0" w:lastRow="0" w:firstColumn="0" w:lastColumn="0" w:oddVBand="0" w:evenVBand="0" w:oddHBand="0" w:evenHBand="0" w:firstRowFirstColumn="0" w:firstRowLastColumn="0" w:lastRowFirstColumn="0" w:lastRowLastColumn="0"/>
              <w:rPr>
                <w:i w:val="0"/>
              </w:rPr>
            </w:pPr>
            <w:r w:rsidRPr="009A5B18">
              <w:rPr>
                <w:i w:val="0"/>
              </w:rPr>
              <w:t>-</w:t>
            </w:r>
          </w:p>
        </w:tc>
        <w:tc>
          <w:tcPr>
            <w:tcW w:w="301" w:type="pct"/>
            <w:vAlign w:val="top"/>
          </w:tcPr>
          <w:p w:rsidR="009A5B18" w:rsidRPr="009A5B18" w:rsidRDefault="009A5B18" w:rsidP="009A5B18">
            <w:pPr>
              <w:pStyle w:val="TableTextRight"/>
              <w:cnfStyle w:val="000000000000" w:firstRow="0" w:lastRow="0" w:firstColumn="0" w:lastColumn="0" w:oddVBand="0" w:evenVBand="0" w:oddHBand="0" w:evenHBand="0" w:firstRowFirstColumn="0" w:firstRowLastColumn="0" w:lastRowFirstColumn="0" w:lastRowLastColumn="0"/>
              <w:rPr>
                <w:i w:val="0"/>
              </w:rPr>
            </w:pPr>
            <w:r w:rsidRPr="009A5B18">
              <w:rPr>
                <w:i w:val="0"/>
              </w:rPr>
              <w:t>-</w:t>
            </w:r>
          </w:p>
        </w:tc>
        <w:tc>
          <w:tcPr>
            <w:tcW w:w="301" w:type="pct"/>
            <w:vAlign w:val="top"/>
          </w:tcPr>
          <w:p w:rsidR="009A5B18" w:rsidRPr="009A5B18" w:rsidRDefault="009A5B18" w:rsidP="009A5B18">
            <w:pPr>
              <w:pStyle w:val="TableTextRight"/>
              <w:cnfStyle w:val="000000000000" w:firstRow="0" w:lastRow="0" w:firstColumn="0" w:lastColumn="0" w:oddVBand="0" w:evenVBand="0" w:oddHBand="0" w:evenHBand="0" w:firstRowFirstColumn="0" w:firstRowLastColumn="0" w:lastRowFirstColumn="0" w:lastRowLastColumn="0"/>
              <w:rPr>
                <w:i w:val="0"/>
              </w:rPr>
            </w:pPr>
            <w:r w:rsidRPr="009A5B18">
              <w:rPr>
                <w:i w:val="0"/>
              </w:rPr>
              <w:t>..</w:t>
            </w:r>
          </w:p>
        </w:tc>
        <w:tc>
          <w:tcPr>
            <w:tcW w:w="301" w:type="pct"/>
            <w:vAlign w:val="top"/>
          </w:tcPr>
          <w:p w:rsidR="009A5B18" w:rsidRPr="009A5B18" w:rsidRDefault="009A5B18" w:rsidP="009A5B18">
            <w:pPr>
              <w:pStyle w:val="TableTextRight"/>
              <w:cnfStyle w:val="000000000000" w:firstRow="0" w:lastRow="0" w:firstColumn="0" w:lastColumn="0" w:oddVBand="0" w:evenVBand="0" w:oddHBand="0" w:evenHBand="0" w:firstRowFirstColumn="0" w:firstRowLastColumn="0" w:lastRowFirstColumn="0" w:lastRowLastColumn="0"/>
              <w:rPr>
                <w:i w:val="0"/>
              </w:rPr>
            </w:pPr>
            <w:r w:rsidRPr="009A5B18">
              <w:rPr>
                <w:i w:val="0"/>
              </w:rPr>
              <w:t>..</w:t>
            </w:r>
          </w:p>
        </w:tc>
        <w:tc>
          <w:tcPr>
            <w:tcW w:w="301" w:type="pct"/>
            <w:vAlign w:val="top"/>
          </w:tcPr>
          <w:p w:rsidR="009A5B18" w:rsidRPr="009A5B18" w:rsidRDefault="009A5B18" w:rsidP="009A5B18">
            <w:pPr>
              <w:pStyle w:val="TableTextRight"/>
              <w:cnfStyle w:val="000000000000" w:firstRow="0" w:lastRow="0" w:firstColumn="0" w:lastColumn="0" w:oddVBand="0" w:evenVBand="0" w:oddHBand="0" w:evenHBand="0" w:firstRowFirstColumn="0" w:firstRowLastColumn="0" w:lastRowFirstColumn="0" w:lastRowLastColumn="0"/>
              <w:rPr>
                <w:b/>
                <w:i w:val="0"/>
              </w:rPr>
            </w:pPr>
            <w:r w:rsidRPr="009A5B18">
              <w:rPr>
                <w:b/>
                <w:i w:val="0"/>
              </w:rPr>
              <w:t>..</w:t>
            </w:r>
          </w:p>
        </w:tc>
        <w:tc>
          <w:tcPr>
            <w:tcW w:w="301" w:type="pct"/>
            <w:vAlign w:val="top"/>
          </w:tcPr>
          <w:p w:rsidR="009A5B18" w:rsidRPr="009A5B18" w:rsidRDefault="009A5B18" w:rsidP="009A5B18">
            <w:pPr>
              <w:pStyle w:val="TableTextRight"/>
              <w:cnfStyle w:val="000000000000" w:firstRow="0" w:lastRow="0" w:firstColumn="0" w:lastColumn="0" w:oddVBand="0" w:evenVBand="0" w:oddHBand="0" w:evenHBand="0" w:firstRowFirstColumn="0" w:firstRowLastColumn="0" w:lastRowFirstColumn="0" w:lastRowLastColumn="0"/>
              <w:rPr>
                <w:i w:val="0"/>
              </w:rPr>
            </w:pPr>
            <w:r w:rsidRPr="009A5B18">
              <w:rPr>
                <w:i w:val="0"/>
              </w:rPr>
              <w:t>..</w:t>
            </w:r>
          </w:p>
        </w:tc>
        <w:tc>
          <w:tcPr>
            <w:tcW w:w="301" w:type="pct"/>
            <w:vAlign w:val="top"/>
          </w:tcPr>
          <w:p w:rsidR="009A5B18" w:rsidRPr="009A5B18" w:rsidRDefault="009A5B18" w:rsidP="009A5B18">
            <w:pPr>
              <w:pStyle w:val="TableTextRight"/>
              <w:cnfStyle w:val="000000000000" w:firstRow="0" w:lastRow="0" w:firstColumn="0" w:lastColumn="0" w:oddVBand="0" w:evenVBand="0" w:oddHBand="0" w:evenHBand="0" w:firstRowFirstColumn="0" w:firstRowLastColumn="0" w:lastRowFirstColumn="0" w:lastRowLastColumn="0"/>
              <w:rPr>
                <w:i w:val="0"/>
              </w:rPr>
            </w:pPr>
            <w:r w:rsidRPr="009A5B18">
              <w:rPr>
                <w:i w:val="0"/>
              </w:rPr>
              <w:t>-10</w:t>
            </w:r>
            <w:r>
              <w:rPr>
                <w:i w:val="0"/>
              </w:rPr>
              <w:t>.0</w:t>
            </w:r>
          </w:p>
        </w:tc>
        <w:tc>
          <w:tcPr>
            <w:tcW w:w="301" w:type="pct"/>
            <w:vAlign w:val="top"/>
          </w:tcPr>
          <w:p w:rsidR="009A5B18" w:rsidRPr="009A5B18" w:rsidRDefault="009A5B18" w:rsidP="009A5B18">
            <w:pPr>
              <w:pStyle w:val="TableTextRight"/>
              <w:cnfStyle w:val="000000000000" w:firstRow="0" w:lastRow="0" w:firstColumn="0" w:lastColumn="0" w:oddVBand="0" w:evenVBand="0" w:oddHBand="0" w:evenHBand="0" w:firstRowFirstColumn="0" w:firstRowLastColumn="0" w:lastRowFirstColumn="0" w:lastRowLastColumn="0"/>
              <w:rPr>
                <w:i w:val="0"/>
              </w:rPr>
            </w:pPr>
            <w:r w:rsidRPr="009A5B18">
              <w:rPr>
                <w:i w:val="0"/>
              </w:rPr>
              <w:t>-20</w:t>
            </w:r>
            <w:r>
              <w:rPr>
                <w:i w:val="0"/>
              </w:rPr>
              <w:t>.0</w:t>
            </w:r>
          </w:p>
        </w:tc>
        <w:tc>
          <w:tcPr>
            <w:tcW w:w="301" w:type="pct"/>
            <w:vAlign w:val="top"/>
          </w:tcPr>
          <w:p w:rsidR="009A5B18" w:rsidRPr="009A5B18" w:rsidRDefault="009A5B18" w:rsidP="009A5B18">
            <w:pPr>
              <w:pStyle w:val="TableTextRight"/>
              <w:cnfStyle w:val="000000000000" w:firstRow="0" w:lastRow="0" w:firstColumn="0" w:lastColumn="0" w:oddVBand="0" w:evenVBand="0" w:oddHBand="0" w:evenHBand="0" w:firstRowFirstColumn="0" w:firstRowLastColumn="0" w:lastRowFirstColumn="0" w:lastRowLastColumn="0"/>
              <w:rPr>
                <w:i w:val="0"/>
              </w:rPr>
            </w:pPr>
            <w:r w:rsidRPr="009A5B18">
              <w:rPr>
                <w:i w:val="0"/>
              </w:rPr>
              <w:t>-40</w:t>
            </w:r>
            <w:r>
              <w:rPr>
                <w:i w:val="0"/>
              </w:rPr>
              <w:t>.0</w:t>
            </w:r>
          </w:p>
        </w:tc>
        <w:tc>
          <w:tcPr>
            <w:tcW w:w="301" w:type="pct"/>
            <w:vAlign w:val="top"/>
          </w:tcPr>
          <w:p w:rsidR="009A5B18" w:rsidRPr="009A5B18" w:rsidRDefault="009A5B18" w:rsidP="009A5B18">
            <w:pPr>
              <w:pStyle w:val="TableTextRight"/>
              <w:cnfStyle w:val="000000000000" w:firstRow="0" w:lastRow="0" w:firstColumn="0" w:lastColumn="0" w:oddVBand="0" w:evenVBand="0" w:oddHBand="0" w:evenHBand="0" w:firstRowFirstColumn="0" w:firstRowLastColumn="0" w:lastRowFirstColumn="0" w:lastRowLastColumn="0"/>
              <w:rPr>
                <w:i w:val="0"/>
              </w:rPr>
            </w:pPr>
            <w:r w:rsidRPr="009A5B18">
              <w:rPr>
                <w:i w:val="0"/>
              </w:rPr>
              <w:t>-60</w:t>
            </w:r>
            <w:r>
              <w:rPr>
                <w:i w:val="0"/>
              </w:rPr>
              <w:t>.0</w:t>
            </w:r>
          </w:p>
        </w:tc>
        <w:tc>
          <w:tcPr>
            <w:tcW w:w="301" w:type="pct"/>
            <w:vAlign w:val="top"/>
          </w:tcPr>
          <w:p w:rsidR="009A5B18" w:rsidRPr="009A5B18" w:rsidRDefault="009A5B18" w:rsidP="009A5B18">
            <w:pPr>
              <w:pStyle w:val="TableTextRight"/>
              <w:cnfStyle w:val="000000000000" w:firstRow="0" w:lastRow="0" w:firstColumn="0" w:lastColumn="0" w:oddVBand="0" w:evenVBand="0" w:oddHBand="0" w:evenHBand="0" w:firstRowFirstColumn="0" w:firstRowLastColumn="0" w:lastRowFirstColumn="0" w:lastRowLastColumn="0"/>
              <w:rPr>
                <w:i w:val="0"/>
              </w:rPr>
            </w:pPr>
            <w:r w:rsidRPr="009A5B18">
              <w:rPr>
                <w:i w:val="0"/>
              </w:rPr>
              <w:t>-80</w:t>
            </w:r>
            <w:r>
              <w:rPr>
                <w:i w:val="0"/>
              </w:rPr>
              <w:t>.0</w:t>
            </w:r>
          </w:p>
        </w:tc>
        <w:tc>
          <w:tcPr>
            <w:tcW w:w="301" w:type="pct"/>
            <w:vAlign w:val="top"/>
          </w:tcPr>
          <w:p w:rsidR="009A5B18" w:rsidRPr="009A5B18" w:rsidRDefault="009A5B18" w:rsidP="009A5B18">
            <w:pPr>
              <w:pStyle w:val="TableTextRight"/>
              <w:cnfStyle w:val="000000000000" w:firstRow="0" w:lastRow="0" w:firstColumn="0" w:lastColumn="0" w:oddVBand="0" w:evenVBand="0" w:oddHBand="0" w:evenHBand="0" w:firstRowFirstColumn="0" w:firstRowLastColumn="0" w:lastRowFirstColumn="0" w:lastRowLastColumn="0"/>
              <w:rPr>
                <w:i w:val="0"/>
              </w:rPr>
            </w:pPr>
            <w:r w:rsidRPr="009A5B18">
              <w:rPr>
                <w:i w:val="0"/>
              </w:rPr>
              <w:t>-110</w:t>
            </w:r>
            <w:r>
              <w:rPr>
                <w:i w:val="0"/>
              </w:rPr>
              <w:t>.0</w:t>
            </w:r>
          </w:p>
        </w:tc>
        <w:tc>
          <w:tcPr>
            <w:tcW w:w="331" w:type="pct"/>
            <w:vAlign w:val="top"/>
          </w:tcPr>
          <w:p w:rsidR="009A5B18" w:rsidRPr="009A5B18" w:rsidRDefault="009A5B18" w:rsidP="009A5B18">
            <w:pPr>
              <w:pStyle w:val="TableTextRight"/>
              <w:cnfStyle w:val="000000000000" w:firstRow="0" w:lastRow="0" w:firstColumn="0" w:lastColumn="0" w:oddVBand="0" w:evenVBand="0" w:oddHBand="0" w:evenHBand="0" w:firstRowFirstColumn="0" w:firstRowLastColumn="0" w:lastRowFirstColumn="0" w:lastRowLastColumn="0"/>
              <w:rPr>
                <w:b/>
                <w:i w:val="0"/>
              </w:rPr>
            </w:pPr>
            <w:r w:rsidRPr="009A5B18">
              <w:rPr>
                <w:b/>
                <w:i w:val="0"/>
              </w:rPr>
              <w:t>-320</w:t>
            </w:r>
            <w:r>
              <w:rPr>
                <w:b/>
                <w:i w:val="0"/>
              </w:rPr>
              <w:t>.0</w:t>
            </w:r>
          </w:p>
        </w:tc>
      </w:tr>
      <w:tr w:rsidR="009A5B18" w:rsidRPr="00AB55AE" w:rsidTr="004C3DEA">
        <w:trPr>
          <w:cantSplit/>
        </w:trPr>
        <w:tc>
          <w:tcPr>
            <w:cnfStyle w:val="001000000000" w:firstRow="0" w:lastRow="0" w:firstColumn="1" w:lastColumn="0" w:oddVBand="0" w:evenVBand="0" w:oddHBand="0" w:evenHBand="0" w:firstRowFirstColumn="0" w:firstRowLastColumn="0" w:lastRowFirstColumn="0" w:lastRowLastColumn="0"/>
            <w:tcW w:w="1057" w:type="pct"/>
            <w:shd w:val="clear" w:color="auto" w:fill="D7DDE9"/>
          </w:tcPr>
          <w:p w:rsidR="009A5B18" w:rsidRPr="008F7DD7" w:rsidRDefault="009A5B18" w:rsidP="00C02773">
            <w:pPr>
              <w:pStyle w:val="TableTextRight"/>
              <w:jc w:val="left"/>
              <w:rPr>
                <w:b/>
                <w:i w:val="0"/>
              </w:rPr>
            </w:pPr>
            <w:r w:rsidRPr="008F7DD7">
              <w:rPr>
                <w:b/>
                <w:i w:val="0"/>
              </w:rPr>
              <w:t xml:space="preserve">Total </w:t>
            </w:r>
            <w:r>
              <w:rPr>
                <w:b/>
                <w:i w:val="0"/>
              </w:rPr>
              <w:t>impact</w:t>
            </w:r>
          </w:p>
        </w:tc>
        <w:tc>
          <w:tcPr>
            <w:tcW w:w="301" w:type="pct"/>
            <w:shd w:val="clear" w:color="auto" w:fill="D7DDE9"/>
          </w:tcPr>
          <w:p w:rsidR="009A5B18" w:rsidRPr="009A5B18" w:rsidRDefault="009A5B18" w:rsidP="009A5B18">
            <w:pPr>
              <w:pStyle w:val="TableTextRight"/>
              <w:cnfStyle w:val="000000000000" w:firstRow="0" w:lastRow="0" w:firstColumn="0" w:lastColumn="0" w:oddVBand="0" w:evenVBand="0" w:oddHBand="0" w:evenHBand="0" w:firstRowFirstColumn="0" w:firstRowLastColumn="0" w:lastRowFirstColumn="0" w:lastRowLastColumn="0"/>
              <w:rPr>
                <w:b/>
                <w:i w:val="0"/>
              </w:rPr>
            </w:pPr>
            <w:r w:rsidRPr="009A5B18">
              <w:rPr>
                <w:b/>
                <w:i w:val="0"/>
              </w:rPr>
              <w:t>-</w:t>
            </w:r>
          </w:p>
        </w:tc>
        <w:tc>
          <w:tcPr>
            <w:tcW w:w="301" w:type="pct"/>
            <w:shd w:val="clear" w:color="auto" w:fill="D7DDE9"/>
          </w:tcPr>
          <w:p w:rsidR="009A5B18" w:rsidRPr="009A5B18" w:rsidRDefault="009A5B18" w:rsidP="009A5B18">
            <w:pPr>
              <w:pStyle w:val="TableTextRight"/>
              <w:cnfStyle w:val="000000000000" w:firstRow="0" w:lastRow="0" w:firstColumn="0" w:lastColumn="0" w:oddVBand="0" w:evenVBand="0" w:oddHBand="0" w:evenHBand="0" w:firstRowFirstColumn="0" w:firstRowLastColumn="0" w:lastRowFirstColumn="0" w:lastRowLastColumn="0"/>
              <w:rPr>
                <w:b/>
                <w:i w:val="0"/>
              </w:rPr>
            </w:pPr>
            <w:r w:rsidRPr="009A5B18">
              <w:rPr>
                <w:b/>
                <w:i w:val="0"/>
              </w:rPr>
              <w:t>-</w:t>
            </w:r>
          </w:p>
        </w:tc>
        <w:tc>
          <w:tcPr>
            <w:tcW w:w="301" w:type="pct"/>
            <w:shd w:val="clear" w:color="auto" w:fill="D7DDE9"/>
          </w:tcPr>
          <w:p w:rsidR="009A5B18" w:rsidRPr="009A5B18" w:rsidRDefault="009A5B18" w:rsidP="009A5B18">
            <w:pPr>
              <w:pStyle w:val="TableTextRight"/>
              <w:cnfStyle w:val="000000000000" w:firstRow="0" w:lastRow="0" w:firstColumn="0" w:lastColumn="0" w:oddVBand="0" w:evenVBand="0" w:oddHBand="0" w:evenHBand="0" w:firstRowFirstColumn="0" w:firstRowLastColumn="0" w:lastRowFirstColumn="0" w:lastRowLastColumn="0"/>
              <w:rPr>
                <w:b/>
                <w:i w:val="0"/>
              </w:rPr>
            </w:pPr>
            <w:r w:rsidRPr="009A5B18">
              <w:rPr>
                <w:b/>
                <w:i w:val="0"/>
              </w:rPr>
              <w:t>-10</w:t>
            </w:r>
            <w:r>
              <w:rPr>
                <w:b/>
                <w:i w:val="0"/>
              </w:rPr>
              <w:t>.0</w:t>
            </w:r>
          </w:p>
        </w:tc>
        <w:tc>
          <w:tcPr>
            <w:tcW w:w="301" w:type="pct"/>
            <w:shd w:val="clear" w:color="auto" w:fill="D7DDE9"/>
          </w:tcPr>
          <w:p w:rsidR="009A5B18" w:rsidRPr="009A5B18" w:rsidRDefault="009A5B18" w:rsidP="009A5B18">
            <w:pPr>
              <w:pStyle w:val="TableTextRight"/>
              <w:cnfStyle w:val="000000000000" w:firstRow="0" w:lastRow="0" w:firstColumn="0" w:lastColumn="0" w:oddVBand="0" w:evenVBand="0" w:oddHBand="0" w:evenHBand="0" w:firstRowFirstColumn="0" w:firstRowLastColumn="0" w:lastRowFirstColumn="0" w:lastRowLastColumn="0"/>
              <w:rPr>
                <w:b/>
                <w:i w:val="0"/>
              </w:rPr>
            </w:pPr>
            <w:r w:rsidRPr="009A5B18">
              <w:rPr>
                <w:b/>
                <w:i w:val="0"/>
              </w:rPr>
              <w:t>-50</w:t>
            </w:r>
            <w:r>
              <w:rPr>
                <w:b/>
                <w:i w:val="0"/>
              </w:rPr>
              <w:t>.0</w:t>
            </w:r>
          </w:p>
        </w:tc>
        <w:tc>
          <w:tcPr>
            <w:tcW w:w="301" w:type="pct"/>
            <w:shd w:val="clear" w:color="auto" w:fill="D7DDE9"/>
          </w:tcPr>
          <w:p w:rsidR="009A5B18" w:rsidRPr="009A5B18" w:rsidRDefault="009A5B18" w:rsidP="009A5B18">
            <w:pPr>
              <w:pStyle w:val="TableTextRight"/>
              <w:cnfStyle w:val="000000000000" w:firstRow="0" w:lastRow="0" w:firstColumn="0" w:lastColumn="0" w:oddVBand="0" w:evenVBand="0" w:oddHBand="0" w:evenHBand="0" w:firstRowFirstColumn="0" w:firstRowLastColumn="0" w:lastRowFirstColumn="0" w:lastRowLastColumn="0"/>
              <w:rPr>
                <w:b/>
                <w:i w:val="0"/>
              </w:rPr>
            </w:pPr>
            <w:r w:rsidRPr="009A5B18">
              <w:rPr>
                <w:b/>
                <w:i w:val="0"/>
              </w:rPr>
              <w:t>-60</w:t>
            </w:r>
            <w:r>
              <w:rPr>
                <w:b/>
                <w:i w:val="0"/>
              </w:rPr>
              <w:t>.0</w:t>
            </w:r>
          </w:p>
        </w:tc>
        <w:tc>
          <w:tcPr>
            <w:tcW w:w="301" w:type="pct"/>
            <w:shd w:val="clear" w:color="auto" w:fill="D7DDE9"/>
          </w:tcPr>
          <w:p w:rsidR="009A5B18" w:rsidRPr="009A5B18" w:rsidRDefault="009A5B18" w:rsidP="009A5B18">
            <w:pPr>
              <w:pStyle w:val="TableTextRight"/>
              <w:cnfStyle w:val="000000000000" w:firstRow="0" w:lastRow="0" w:firstColumn="0" w:lastColumn="0" w:oddVBand="0" w:evenVBand="0" w:oddHBand="0" w:evenHBand="0" w:firstRowFirstColumn="0" w:firstRowLastColumn="0" w:lastRowFirstColumn="0" w:lastRowLastColumn="0"/>
              <w:rPr>
                <w:b/>
                <w:i w:val="0"/>
              </w:rPr>
            </w:pPr>
            <w:r w:rsidRPr="009A5B18">
              <w:rPr>
                <w:b/>
                <w:i w:val="0"/>
              </w:rPr>
              <w:t>-110</w:t>
            </w:r>
            <w:r>
              <w:rPr>
                <w:b/>
                <w:i w:val="0"/>
              </w:rPr>
              <w:t>.0</w:t>
            </w:r>
          </w:p>
        </w:tc>
        <w:tc>
          <w:tcPr>
            <w:tcW w:w="301" w:type="pct"/>
            <w:shd w:val="clear" w:color="auto" w:fill="D7DDE9"/>
          </w:tcPr>
          <w:p w:rsidR="009A5B18" w:rsidRPr="009A5B18" w:rsidRDefault="009A5B18" w:rsidP="009A5B18">
            <w:pPr>
              <w:pStyle w:val="TableTextRight"/>
              <w:cnfStyle w:val="000000000000" w:firstRow="0" w:lastRow="0" w:firstColumn="0" w:lastColumn="0" w:oddVBand="0" w:evenVBand="0" w:oddHBand="0" w:evenHBand="0" w:firstRowFirstColumn="0" w:firstRowLastColumn="0" w:lastRowFirstColumn="0" w:lastRowLastColumn="0"/>
              <w:rPr>
                <w:b/>
                <w:i w:val="0"/>
              </w:rPr>
            </w:pPr>
            <w:r w:rsidRPr="009A5B18">
              <w:rPr>
                <w:b/>
                <w:i w:val="0"/>
              </w:rPr>
              <w:t>-190</w:t>
            </w:r>
            <w:r>
              <w:rPr>
                <w:b/>
                <w:i w:val="0"/>
              </w:rPr>
              <w:t>.0</w:t>
            </w:r>
          </w:p>
        </w:tc>
        <w:tc>
          <w:tcPr>
            <w:tcW w:w="301" w:type="pct"/>
            <w:shd w:val="clear" w:color="auto" w:fill="D7DDE9"/>
          </w:tcPr>
          <w:p w:rsidR="009A5B18" w:rsidRPr="009A5B18" w:rsidRDefault="009A5B18" w:rsidP="009A5B18">
            <w:pPr>
              <w:pStyle w:val="TableTextRight"/>
              <w:cnfStyle w:val="000000000000" w:firstRow="0" w:lastRow="0" w:firstColumn="0" w:lastColumn="0" w:oddVBand="0" w:evenVBand="0" w:oddHBand="0" w:evenHBand="0" w:firstRowFirstColumn="0" w:firstRowLastColumn="0" w:lastRowFirstColumn="0" w:lastRowLastColumn="0"/>
              <w:rPr>
                <w:b/>
                <w:i w:val="0"/>
              </w:rPr>
            </w:pPr>
            <w:r w:rsidRPr="009A5B18">
              <w:rPr>
                <w:b/>
                <w:i w:val="0"/>
              </w:rPr>
              <w:t>-260</w:t>
            </w:r>
            <w:r>
              <w:rPr>
                <w:b/>
                <w:i w:val="0"/>
              </w:rPr>
              <w:t>.0</w:t>
            </w:r>
          </w:p>
        </w:tc>
        <w:tc>
          <w:tcPr>
            <w:tcW w:w="301" w:type="pct"/>
            <w:shd w:val="clear" w:color="auto" w:fill="D7DDE9"/>
          </w:tcPr>
          <w:p w:rsidR="009A5B18" w:rsidRPr="009A5B18" w:rsidRDefault="009A5B18" w:rsidP="009A5B18">
            <w:pPr>
              <w:pStyle w:val="TableTextRight"/>
              <w:cnfStyle w:val="000000000000" w:firstRow="0" w:lastRow="0" w:firstColumn="0" w:lastColumn="0" w:oddVBand="0" w:evenVBand="0" w:oddHBand="0" w:evenHBand="0" w:firstRowFirstColumn="0" w:firstRowLastColumn="0" w:lastRowFirstColumn="0" w:lastRowLastColumn="0"/>
              <w:rPr>
                <w:b/>
                <w:i w:val="0"/>
              </w:rPr>
            </w:pPr>
            <w:r w:rsidRPr="009A5B18">
              <w:rPr>
                <w:b/>
                <w:i w:val="0"/>
              </w:rPr>
              <w:t>-330</w:t>
            </w:r>
            <w:r>
              <w:rPr>
                <w:b/>
                <w:i w:val="0"/>
              </w:rPr>
              <w:t>.0</w:t>
            </w:r>
          </w:p>
        </w:tc>
        <w:tc>
          <w:tcPr>
            <w:tcW w:w="301" w:type="pct"/>
            <w:shd w:val="clear" w:color="auto" w:fill="D7DDE9"/>
          </w:tcPr>
          <w:p w:rsidR="009A5B18" w:rsidRPr="009A5B18" w:rsidRDefault="009A5B18" w:rsidP="009A5B18">
            <w:pPr>
              <w:pStyle w:val="TableTextRight"/>
              <w:cnfStyle w:val="000000000000" w:firstRow="0" w:lastRow="0" w:firstColumn="0" w:lastColumn="0" w:oddVBand="0" w:evenVBand="0" w:oddHBand="0" w:evenHBand="0" w:firstRowFirstColumn="0" w:firstRowLastColumn="0" w:lastRowFirstColumn="0" w:lastRowLastColumn="0"/>
              <w:rPr>
                <w:b/>
                <w:i w:val="0"/>
              </w:rPr>
            </w:pPr>
            <w:r w:rsidRPr="009A5B18">
              <w:rPr>
                <w:b/>
                <w:i w:val="0"/>
              </w:rPr>
              <w:t>-410</w:t>
            </w:r>
            <w:r>
              <w:rPr>
                <w:b/>
                <w:i w:val="0"/>
              </w:rPr>
              <w:t>.0</w:t>
            </w:r>
          </w:p>
        </w:tc>
        <w:tc>
          <w:tcPr>
            <w:tcW w:w="301" w:type="pct"/>
            <w:shd w:val="clear" w:color="auto" w:fill="D7DDE9"/>
          </w:tcPr>
          <w:p w:rsidR="009A5B18" w:rsidRPr="009A5B18" w:rsidRDefault="009A5B18" w:rsidP="009A5B18">
            <w:pPr>
              <w:pStyle w:val="TableTextRight"/>
              <w:cnfStyle w:val="000000000000" w:firstRow="0" w:lastRow="0" w:firstColumn="0" w:lastColumn="0" w:oddVBand="0" w:evenVBand="0" w:oddHBand="0" w:evenHBand="0" w:firstRowFirstColumn="0" w:firstRowLastColumn="0" w:lastRowFirstColumn="0" w:lastRowLastColumn="0"/>
              <w:rPr>
                <w:b/>
                <w:i w:val="0"/>
              </w:rPr>
            </w:pPr>
            <w:r w:rsidRPr="009A5B18">
              <w:rPr>
                <w:b/>
                <w:i w:val="0"/>
              </w:rPr>
              <w:t>-480</w:t>
            </w:r>
            <w:r>
              <w:rPr>
                <w:b/>
                <w:i w:val="0"/>
              </w:rPr>
              <w:t>.0</w:t>
            </w:r>
          </w:p>
        </w:tc>
        <w:tc>
          <w:tcPr>
            <w:tcW w:w="301" w:type="pct"/>
            <w:shd w:val="clear" w:color="auto" w:fill="D7DDE9"/>
          </w:tcPr>
          <w:p w:rsidR="009A5B18" w:rsidRPr="009A5B18" w:rsidRDefault="009A5B18" w:rsidP="009A5B18">
            <w:pPr>
              <w:pStyle w:val="TableTextRight"/>
              <w:cnfStyle w:val="000000000000" w:firstRow="0" w:lastRow="0" w:firstColumn="0" w:lastColumn="0" w:oddVBand="0" w:evenVBand="0" w:oddHBand="0" w:evenHBand="0" w:firstRowFirstColumn="0" w:firstRowLastColumn="0" w:lastRowFirstColumn="0" w:lastRowLastColumn="0"/>
              <w:rPr>
                <w:b/>
                <w:i w:val="0"/>
              </w:rPr>
            </w:pPr>
            <w:r w:rsidRPr="009A5B18">
              <w:rPr>
                <w:b/>
                <w:i w:val="0"/>
              </w:rPr>
              <w:t>-560</w:t>
            </w:r>
            <w:r>
              <w:rPr>
                <w:b/>
                <w:i w:val="0"/>
              </w:rPr>
              <w:t>.0</w:t>
            </w:r>
          </w:p>
        </w:tc>
        <w:tc>
          <w:tcPr>
            <w:tcW w:w="331" w:type="pct"/>
            <w:shd w:val="clear" w:color="auto" w:fill="D7DDE9"/>
          </w:tcPr>
          <w:p w:rsidR="009A5B18" w:rsidRPr="009A5B18" w:rsidRDefault="009A5B18" w:rsidP="009A5B18">
            <w:pPr>
              <w:pStyle w:val="TableTextRight"/>
              <w:cnfStyle w:val="000000000000" w:firstRow="0" w:lastRow="0" w:firstColumn="0" w:lastColumn="0" w:oddVBand="0" w:evenVBand="0" w:oddHBand="0" w:evenHBand="0" w:firstRowFirstColumn="0" w:firstRowLastColumn="0" w:lastRowFirstColumn="0" w:lastRowLastColumn="0"/>
              <w:rPr>
                <w:b/>
                <w:i w:val="0"/>
              </w:rPr>
            </w:pPr>
            <w:r w:rsidRPr="009A5B18">
              <w:rPr>
                <w:b/>
                <w:i w:val="0"/>
              </w:rPr>
              <w:t>-2,400</w:t>
            </w:r>
            <w:r>
              <w:rPr>
                <w:b/>
                <w:i w:val="0"/>
              </w:rPr>
              <w:t>.0</w:t>
            </w:r>
          </w:p>
        </w:tc>
      </w:tr>
    </w:tbl>
    <w:p w:rsidR="009A5B18" w:rsidRPr="00761E83" w:rsidRDefault="00B04066" w:rsidP="00761E83">
      <w:pPr>
        <w:pStyle w:val="Footnotes"/>
        <w:numPr>
          <w:ilvl w:val="0"/>
          <w:numId w:val="22"/>
        </w:numPr>
      </w:pPr>
      <w:r w:rsidRPr="00761E83">
        <w:t xml:space="preserve">A positive number for the headline cash balance indicates an increase in cash flow. A negative number for the headline cash balance indicates a decrease in cash flow.  </w:t>
      </w:r>
    </w:p>
    <w:p w:rsidR="009A5B18" w:rsidRPr="008F7DD7" w:rsidRDefault="009A5B18" w:rsidP="009A5B18">
      <w:pPr>
        <w:pStyle w:val="Footnotes"/>
        <w:numPr>
          <w:ilvl w:val="0"/>
          <w:numId w:val="17"/>
        </w:numPr>
      </w:pPr>
      <w:r w:rsidRPr="008F7DD7">
        <w:t>Figures may not sum to totals due to rounding.</w:t>
      </w:r>
    </w:p>
    <w:p w:rsidR="009A5B18" w:rsidRDefault="009A5B18" w:rsidP="009A5B18">
      <w:pPr>
        <w:pStyle w:val="Footnotes"/>
        <w:numPr>
          <w:ilvl w:val="0"/>
          <w:numId w:val="0"/>
        </w:numPr>
        <w:ind w:left="284" w:hanging="284"/>
      </w:pPr>
      <w:r>
        <w:t>..</w:t>
      </w:r>
      <w:r>
        <w:tab/>
        <w:t>Not zero but rounded to zero.</w:t>
      </w:r>
    </w:p>
    <w:p w:rsidR="009A5B18" w:rsidRPr="00CA5D42" w:rsidRDefault="009A5B18" w:rsidP="009A5B18">
      <w:pPr>
        <w:pStyle w:val="Footnotes"/>
        <w:numPr>
          <w:ilvl w:val="0"/>
          <w:numId w:val="0"/>
        </w:numPr>
        <w:ind w:left="284" w:hanging="284"/>
      </w:pPr>
      <w:r>
        <w:t>-</w:t>
      </w:r>
      <w:r>
        <w:tab/>
        <w:t>Indicates nil.</w:t>
      </w:r>
    </w:p>
    <w:p w:rsidR="009A5B18" w:rsidRDefault="009A5B18" w:rsidP="00F5529D">
      <w:pPr>
        <w:sectPr w:rsidR="009A5B18" w:rsidSect="002C1AA3">
          <w:headerReference w:type="first" r:id="rId17"/>
          <w:footerReference w:type="first" r:id="rId18"/>
          <w:pgSz w:w="16839" w:h="11907" w:orient="landscape" w:code="9"/>
          <w:pgMar w:top="1797" w:right="1361" w:bottom="1797" w:left="1474" w:header="709" w:footer="709" w:gutter="0"/>
          <w:cols w:space="708"/>
          <w:titlePg/>
          <w:docGrid w:linePitch="360"/>
        </w:sectPr>
      </w:pPr>
    </w:p>
    <w:p w:rsidR="00AF3559" w:rsidRPr="00FC6579" w:rsidRDefault="00AF3559" w:rsidP="008C5CE5">
      <w:pPr>
        <w:pStyle w:val="Heading1"/>
        <w:spacing w:before="0"/>
      </w:pPr>
      <w:r w:rsidRPr="00FC6579">
        <w:lastRenderedPageBreak/>
        <w:t>A</w:t>
      </w:r>
      <w:r w:rsidR="008F7DD7">
        <w:t>ttachment B</w:t>
      </w:r>
      <w:r w:rsidRPr="00FC6579">
        <w:t>:</w:t>
      </w:r>
      <w:r>
        <w:t xml:space="preserve"> </w:t>
      </w:r>
      <w:r w:rsidR="008F7DD7">
        <w:t>Accounting treatment of HELP loans</w:t>
      </w:r>
    </w:p>
    <w:p w:rsidR="008F7DD7" w:rsidRDefault="008F7DD7" w:rsidP="008C5CE5">
      <w:r>
        <w:t>The issuing of HELP loans and repayments of principal are not included in either the underlying cash balance or the fiscal balance as they are treated as investments.</w:t>
      </w:r>
    </w:p>
    <w:p w:rsidR="008F7DD7" w:rsidRDefault="008F7DD7" w:rsidP="008C5CE5">
      <w:r>
        <w:t xml:space="preserve">However, the component of repayments that is considered interest is included as revenue in underlying cash balance terms.  As repayment amounts are linked to income levels, it is difficult to separate interest repayments from principal repayments.  In the forward estimates, a fixed proportion of all repayments is taken to be interest repayments. </w:t>
      </w:r>
      <w:r w:rsidR="00815724">
        <w:t xml:space="preserve"> </w:t>
      </w:r>
      <w:r>
        <w:t>This is based on the average amount of interest paid over the life of HELP loans.</w:t>
      </w:r>
    </w:p>
    <w:p w:rsidR="008F7DD7" w:rsidRDefault="008F7DD7" w:rsidP="008C5CE5">
      <w:r>
        <w:t>Interest is also accounted for in fiscal balance terms.  This is the increase in the value of the debt due to indexation by the Consumer Price Index (CPI) each financial year (moving to the 10</w:t>
      </w:r>
      <w:r w:rsidR="00815724">
        <w:t> </w:t>
      </w:r>
      <w:r>
        <w:t>year bond rate, capped at six per cent, under this measure).  Fiscal balance interest income is assessed on the “fair value” of the HELP debt, consistent with relevant accounting standards, as it is unreasonable to claim interest income on a debt that is not expecte</w:t>
      </w:r>
      <w:r w:rsidR="00815724">
        <w:t>d to be repaid.</w:t>
      </w:r>
    </w:p>
    <w:p w:rsidR="008F7DD7" w:rsidRDefault="008F7DD7" w:rsidP="008C5CE5">
      <w:r>
        <w:t xml:space="preserve">HELP loans are concessional as they are indexed to CPI rather than the market interest rate. </w:t>
      </w:r>
      <w:r w:rsidR="00815724">
        <w:t xml:space="preserve"> </w:t>
      </w:r>
      <w:r>
        <w:t>The Budget accounts for this as an expense in fiscal balance terms.</w:t>
      </w:r>
      <w:r w:rsidR="00815724">
        <w:t xml:space="preserve"> </w:t>
      </w:r>
      <w:r>
        <w:t xml:space="preserve"> As loans are repaid, the amount of forgone interest income reduces, so this expense is “unwound”, having a positive impact on the fiscal </w:t>
      </w:r>
      <w:r w:rsidR="00815724">
        <w:t>balance.</w:t>
      </w:r>
    </w:p>
    <w:p w:rsidR="008F7DD7" w:rsidRDefault="008F7DD7" w:rsidP="008C5CE5">
      <w:r>
        <w:t>When the Commonwealth agrees to forgo the repayment of some or all of a debtor’s debt this also has a negative impact on Budget aggregates.  Mutually agreed write-downs or write-offs (for example in the case of death) have no impact on the underlying cash balance, but are an expense in fiscal balance terms.</w:t>
      </w:r>
    </w:p>
    <w:p w:rsidR="008F7DD7" w:rsidRDefault="008F7DD7" w:rsidP="008C5CE5">
      <w:r>
        <w:t>The headline cash balance adjusts the underlying cash balance to include earnings from the Future Fund and the net cash flow from investments for policy purposes.</w:t>
      </w:r>
      <w:r w:rsidR="00870213">
        <w:t xml:space="preserve"> </w:t>
      </w:r>
      <w:r>
        <w:t xml:space="preserve"> An example of such an investment is the issuing of loans to achieve policy g</w:t>
      </w:r>
      <w:r w:rsidR="00870213">
        <w:t>oals, as is the case with HELP.</w:t>
      </w:r>
    </w:p>
    <w:p w:rsidR="008F7DD7" w:rsidRDefault="008F7DD7" w:rsidP="008C5CE5">
      <w:r>
        <w:t>The headline cash balance impact on HELP resulting from a policy change would be:</w:t>
      </w:r>
    </w:p>
    <w:p w:rsidR="008F7DD7" w:rsidRDefault="008F7DD7" w:rsidP="008C5CE5">
      <w:pPr>
        <w:pStyle w:val="Bullet1"/>
      </w:pPr>
      <w:r>
        <w:t>the underlying cash balance impact</w:t>
      </w:r>
    </w:p>
    <w:p w:rsidR="008F7DD7" w:rsidRDefault="008F7DD7" w:rsidP="008C5CE5">
      <w:pPr>
        <w:pStyle w:val="Bullet1"/>
      </w:pPr>
      <w:r w:rsidRPr="00D22140">
        <w:rPr>
          <w:b/>
        </w:rPr>
        <w:t>less</w:t>
      </w:r>
      <w:r>
        <w:t xml:space="preserve"> the positive impact on the underlying cash balance from interest</w:t>
      </w:r>
    </w:p>
    <w:p w:rsidR="008F7DD7" w:rsidRDefault="008F7DD7" w:rsidP="008C5CE5">
      <w:pPr>
        <w:pStyle w:val="Bullet1"/>
      </w:pPr>
      <w:r w:rsidRPr="00D22140">
        <w:rPr>
          <w:b/>
        </w:rPr>
        <w:t>plus</w:t>
      </w:r>
      <w:r>
        <w:t xml:space="preserve"> the value of HELP repayments, and</w:t>
      </w:r>
    </w:p>
    <w:p w:rsidR="008F7DD7" w:rsidRDefault="008F7DD7" w:rsidP="008C5CE5">
      <w:pPr>
        <w:pStyle w:val="Bullet1"/>
      </w:pPr>
      <w:r w:rsidRPr="00D22140">
        <w:rPr>
          <w:b/>
        </w:rPr>
        <w:t>less</w:t>
      </w:r>
      <w:r>
        <w:t xml:space="preserve"> the value of new HELP loans issued.</w:t>
      </w:r>
    </w:p>
    <w:p w:rsidR="008F7DD7" w:rsidRDefault="008F7DD7" w:rsidP="008C5CE5">
      <w:r>
        <w:t>The headline cash balance is tracked in Budget papers, and is normally reported in policy costings when it differs from the underlying cash balance.</w:t>
      </w:r>
    </w:p>
    <w:p w:rsidR="008F7DD7" w:rsidRPr="007F5B38" w:rsidRDefault="008F7DD7" w:rsidP="008C5CE5">
      <w:r>
        <w:t>The fair value of the debt is a positive contributor to the Government’s net financial worth.</w:t>
      </w:r>
    </w:p>
    <w:p w:rsidR="001F7D6A" w:rsidRPr="00FC6579" w:rsidRDefault="008F7DD7" w:rsidP="00AF3559">
      <w:r>
        <w:t xml:space="preserve">In accordance with PBO Guidance 02/2015 and the </w:t>
      </w:r>
      <w:r w:rsidRPr="007368A6">
        <w:rPr>
          <w:i/>
        </w:rPr>
        <w:t>Charter of Budget Honesty Policy Costing Guidelines</w:t>
      </w:r>
      <w:r>
        <w:t>, proposals that impact on HELP “</w:t>
      </w:r>
      <w:r w:rsidRPr="00870213">
        <w:t>involves transactions of financial assets</w:t>
      </w:r>
      <w:r>
        <w:t>” and thus the flow on impact to Public Debt Interest (PDI) payments would need to be taken into account.  When estimating the proposal’s impact on PDI payments, the net headline cash balance impact is used.  The net headline cash balance impact includes not only the HELP component of the proposal, but all associated components that are considered integral to the overall proposal.</w:t>
      </w:r>
    </w:p>
    <w:sectPr w:rsidR="001F7D6A" w:rsidRPr="00FC6579" w:rsidSect="00AF3559">
      <w:headerReference w:type="first" r:id="rId19"/>
      <w:footerReference w:type="first" r:id="rId20"/>
      <w:pgSz w:w="11907" w:h="16839" w:code="9"/>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AA3" w:rsidRDefault="002C1AA3" w:rsidP="008F588A">
      <w:pPr>
        <w:spacing w:line="240" w:lineRule="auto"/>
      </w:pPr>
      <w:r>
        <w:separator/>
      </w:r>
    </w:p>
    <w:p w:rsidR="002C1AA3" w:rsidRDefault="002C1AA3"/>
  </w:endnote>
  <w:endnote w:type="continuationSeparator" w:id="0">
    <w:p w:rsidR="002C1AA3" w:rsidRDefault="002C1AA3" w:rsidP="008F588A">
      <w:pPr>
        <w:spacing w:line="240" w:lineRule="auto"/>
      </w:pPr>
      <w:r>
        <w:continuationSeparator/>
      </w:r>
    </w:p>
    <w:p w:rsidR="002C1AA3" w:rsidRDefault="002C1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A3" w:rsidRPr="00C24267" w:rsidRDefault="002C1AA3"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871C9E">
      <w:rPr>
        <w:noProof/>
      </w:rPr>
      <w:t>8</w:t>
    </w:r>
    <w:r w:rsidRPr="00C24267">
      <w:fldChar w:fldCharType="end"/>
    </w:r>
    <w:r w:rsidRPr="00C24267">
      <w:t xml:space="preserve"> of </w:t>
    </w:r>
    <w:fldSimple w:instr=" NUMPAGES  \* Arabic  \* MERGEFORMAT ">
      <w:r w:rsidR="00871C9E">
        <w:rPr>
          <w:noProof/>
        </w:rPr>
        <w:t>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A3" w:rsidRPr="00C24267" w:rsidRDefault="002C1AA3" w:rsidP="00C24267">
    <w:pPr>
      <w:pStyle w:val="Letterfooter"/>
    </w:pPr>
    <w:r w:rsidRPr="00C24267">
      <w:t>Parliamentary Budget Office   PO Box 6010   Parliament House   Canberra ACT 2600</w:t>
    </w:r>
  </w:p>
  <w:p w:rsidR="002C1AA3" w:rsidRPr="00C24267" w:rsidRDefault="002C1AA3"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A3" w:rsidRPr="00C24267" w:rsidRDefault="002C1AA3"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871C9E">
      <w:rPr>
        <w:noProof/>
      </w:rPr>
      <w:t>2</w:t>
    </w:r>
    <w:r w:rsidRPr="00C24267">
      <w:fldChar w:fldCharType="end"/>
    </w:r>
    <w:r w:rsidRPr="00C24267">
      <w:t xml:space="preserve"> of </w:t>
    </w:r>
    <w:fldSimple w:instr=" NUMPAGES  \* Arabic  \* MERGEFORMAT ">
      <w:r w:rsidR="00871C9E">
        <w:rPr>
          <w:noProof/>
        </w:rPr>
        <w:t>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A3" w:rsidRPr="00C24267" w:rsidRDefault="002C1AA3"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871C9E">
      <w:rPr>
        <w:noProof/>
      </w:rPr>
      <w:t>6</w:t>
    </w:r>
    <w:r w:rsidRPr="00C24267">
      <w:fldChar w:fldCharType="end"/>
    </w:r>
    <w:r w:rsidRPr="00C24267">
      <w:t xml:space="preserve"> of </w:t>
    </w:r>
    <w:fldSimple w:instr=" NUMPAGES  \* Arabic  \* MERGEFORMAT ">
      <w:r w:rsidR="00871C9E">
        <w:rPr>
          <w:noProof/>
        </w:rPr>
        <w:t>6</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A3" w:rsidRPr="00C24267" w:rsidRDefault="002C1AA3"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871C9E">
      <w:rPr>
        <w:noProof/>
      </w:rPr>
      <w:t>9</w:t>
    </w:r>
    <w:r w:rsidRPr="00C24267">
      <w:fldChar w:fldCharType="end"/>
    </w:r>
    <w:r w:rsidRPr="00C24267">
      <w:t xml:space="preserve"> of </w:t>
    </w:r>
    <w:fldSimple w:instr=" NUMPAGES  \* Arabic  \* MERGEFORMAT ">
      <w:r w:rsidR="00871C9E">
        <w:rPr>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AA3" w:rsidRDefault="002C1AA3" w:rsidP="00401218">
      <w:pPr>
        <w:spacing w:line="240" w:lineRule="auto"/>
      </w:pPr>
      <w:r>
        <w:separator/>
      </w:r>
    </w:p>
  </w:footnote>
  <w:footnote w:type="continuationSeparator" w:id="0">
    <w:p w:rsidR="002C1AA3" w:rsidRDefault="002C1AA3" w:rsidP="008F588A">
      <w:pPr>
        <w:spacing w:line="240" w:lineRule="auto"/>
      </w:pPr>
      <w:r>
        <w:continuationSeparator/>
      </w:r>
    </w:p>
    <w:p w:rsidR="002C1AA3" w:rsidRDefault="002C1AA3"/>
  </w:footnote>
  <w:footnote w:id="1">
    <w:p w:rsidR="002C1AA3" w:rsidRDefault="002C1AA3">
      <w:pPr>
        <w:pStyle w:val="FootnoteText"/>
      </w:pPr>
      <w:r>
        <w:rPr>
          <w:rStyle w:val="FootnoteReference"/>
        </w:rPr>
        <w:footnoteRef/>
      </w:r>
      <w:r>
        <w:t xml:space="preserve"> </w:t>
      </w:r>
      <w:r w:rsidRPr="00A10F30">
        <w:t>Given this costing is over a defined time period with a lower value of loans being issued each year relative to the 2016-17 Budget, the net impact of the concessional loan discount expense and the revenue from the unwinding of concessional loan discount would not be zero.</w:t>
      </w:r>
      <w:r>
        <w:t xml:space="preserve"> </w:t>
      </w:r>
      <w:r w:rsidRPr="00A10F30">
        <w:t xml:space="preserve"> Were the analysis to be undertaken for a single loan and that loan were to be established and fully repaid during the analysis period then these two lines would net to zero.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A3" w:rsidRPr="001F1EC6" w:rsidRDefault="002C1AA3" w:rsidP="00C17112">
    <w:pPr>
      <w:pStyle w:val="Header"/>
      <w:spacing w:before="0" w:after="0"/>
      <w:jc w:val="right"/>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A3" w:rsidRDefault="002C1AA3" w:rsidP="00CB40E1">
    <w:pPr>
      <w:pStyle w:val="Header"/>
    </w:pPr>
    <w:r>
      <w:rPr>
        <w:noProof/>
        <w:lang w:eastAsia="en-AU"/>
      </w:rPr>
      <w:drawing>
        <wp:inline distT="0" distB="0" distL="0" distR="0" wp14:anchorId="166CC723" wp14:editId="662056F7">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2C1AA3" w:rsidRPr="00DA1C8A" w:rsidRDefault="002C1AA3" w:rsidP="00002D5D">
    <w:pPr>
      <w:pStyle w:val="PBOheader"/>
      <w:spacing w:before="720"/>
      <w:ind w:left="5783"/>
      <w:rPr>
        <w:b w:val="0"/>
      </w:rPr>
    </w:pPr>
    <w:r>
      <w:t>P</w:t>
    </w:r>
    <w:r w:rsidRPr="009030A0">
      <w:t>hil Bowen PSM FCPA</w:t>
    </w:r>
    <w:r>
      <w:br/>
    </w:r>
    <w:r w:rsidRPr="009030A0">
      <w:t>Parliamentary Budget Officer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A3" w:rsidRPr="00A024F0" w:rsidRDefault="002C1AA3" w:rsidP="00A024F0">
    <w:pPr>
      <w:pStyle w:val="Header"/>
    </w:pPr>
    <w:r>
      <w:rPr>
        <w:noProof/>
        <w:lang w:eastAsia="en-AU"/>
      </w:rPr>
      <w:drawing>
        <wp:inline distT="0" distB="0" distL="0" distR="0" wp14:anchorId="3FC24661" wp14:editId="1B12BFC5">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A3" w:rsidRPr="000A4C34" w:rsidRDefault="002C1AA3" w:rsidP="000A4C3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A3" w:rsidRPr="009405B4" w:rsidRDefault="002C1AA3" w:rsidP="00940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3">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5">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6">
    <w:nsid w:val="30E45E35"/>
    <w:multiLevelType w:val="hybridMultilevel"/>
    <w:tmpl w:val="60A06D20"/>
    <w:lvl w:ilvl="0" w:tplc="EE46B378">
      <w:start w:val="1"/>
      <w:numFmt w:val="lowerLetter"/>
      <w:pStyle w:val="Footnotes"/>
      <w:lvlText w:val="(%1)"/>
      <w:lvlJc w:val="left"/>
      <w:pPr>
        <w:ind w:left="360" w:hanging="36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7">
    <w:nsid w:val="387B7ABA"/>
    <w:multiLevelType w:val="hybridMultilevel"/>
    <w:tmpl w:val="0004F682"/>
    <w:lvl w:ilvl="0" w:tplc="F54E42C8">
      <w:start w:val="1"/>
      <w:numFmt w:val="lowerLetter"/>
      <w:lvlText w:val="(%1)"/>
      <w:lvlJc w:val="left"/>
      <w:pPr>
        <w:ind w:left="360" w:hanging="360"/>
      </w:p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abstractNum w:abstractNumId="8">
    <w:nsid w:val="51E20ABC"/>
    <w:multiLevelType w:val="hybridMultilevel"/>
    <w:tmpl w:val="E1B8E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nsid w:val="745C3AB2"/>
    <w:multiLevelType w:val="hybridMultilevel"/>
    <w:tmpl w:val="5EB0E89C"/>
    <w:lvl w:ilvl="0" w:tplc="661CA7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9EA63D9"/>
    <w:multiLevelType w:val="hybridMultilevel"/>
    <w:tmpl w:val="92E4AE7E"/>
    <w:lvl w:ilvl="0" w:tplc="CC7AE5C8">
      <w:start w:val="1"/>
      <w:numFmt w:val="lowerLetter"/>
      <w:lvlText w:val="(%1)"/>
      <w:lvlJc w:val="left"/>
      <w:pPr>
        <w:ind w:left="360" w:hanging="360"/>
      </w:pPr>
      <w:rPr>
        <w:rFonts w:asciiTheme="minorHAnsi" w:hAnsiTheme="minorHAnsi" w:hint="default"/>
      </w:r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num w:numId="1">
    <w:abstractNumId w:val="2"/>
  </w:num>
  <w:num w:numId="2">
    <w:abstractNumId w:val="5"/>
  </w:num>
  <w:num w:numId="3">
    <w:abstractNumId w:val="3"/>
  </w:num>
  <w:num w:numId="4">
    <w:abstractNumId w:val="4"/>
  </w:num>
  <w:num w:numId="5">
    <w:abstractNumId w:val="9"/>
  </w:num>
  <w:num w:numId="6">
    <w:abstractNumId w:val="6"/>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1"/>
  </w:num>
  <w:num w:numId="12">
    <w:abstractNumId w:val="0"/>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num>
  <w:num w:numId="19">
    <w:abstractNumId w:val="10"/>
  </w:num>
  <w:num w:numId="20">
    <w:abstractNumId w:val="8"/>
  </w:num>
  <w:num w:numId="21">
    <w:abstractNumId w:val="6"/>
    <w:lvlOverride w:ilvl="0">
      <w:startOverride w:val="1"/>
    </w:lvlOverride>
  </w:num>
  <w:num w:numId="22">
    <w:abstractNumId w:val="6"/>
    <w:lvlOverride w:ilvl="0">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76"/>
    <w:rsid w:val="00002D5D"/>
    <w:rsid w:val="00015FB2"/>
    <w:rsid w:val="00024933"/>
    <w:rsid w:val="00040DCE"/>
    <w:rsid w:val="00060F22"/>
    <w:rsid w:val="00096F3A"/>
    <w:rsid w:val="000A4C34"/>
    <w:rsid w:val="000C1A75"/>
    <w:rsid w:val="00100446"/>
    <w:rsid w:val="001278D0"/>
    <w:rsid w:val="00136873"/>
    <w:rsid w:val="0014239B"/>
    <w:rsid w:val="00182C5F"/>
    <w:rsid w:val="001A02D1"/>
    <w:rsid w:val="001B4239"/>
    <w:rsid w:val="001F1EC6"/>
    <w:rsid w:val="001F7D6A"/>
    <w:rsid w:val="00220BE5"/>
    <w:rsid w:val="002422A3"/>
    <w:rsid w:val="002C1AA3"/>
    <w:rsid w:val="00315E34"/>
    <w:rsid w:val="00326DE2"/>
    <w:rsid w:val="003B474B"/>
    <w:rsid w:val="003D7744"/>
    <w:rsid w:val="003E4F5F"/>
    <w:rsid w:val="003F73CA"/>
    <w:rsid w:val="00401218"/>
    <w:rsid w:val="00410A2C"/>
    <w:rsid w:val="00413BF2"/>
    <w:rsid w:val="00440E32"/>
    <w:rsid w:val="00461597"/>
    <w:rsid w:val="00485374"/>
    <w:rsid w:val="004908C4"/>
    <w:rsid w:val="004C283B"/>
    <w:rsid w:val="004C3DEA"/>
    <w:rsid w:val="004D13ED"/>
    <w:rsid w:val="004D2EF6"/>
    <w:rsid w:val="004D5525"/>
    <w:rsid w:val="005035DA"/>
    <w:rsid w:val="00507897"/>
    <w:rsid w:val="00515A85"/>
    <w:rsid w:val="00545F24"/>
    <w:rsid w:val="0055581F"/>
    <w:rsid w:val="00561C39"/>
    <w:rsid w:val="0056229A"/>
    <w:rsid w:val="00563A38"/>
    <w:rsid w:val="00570154"/>
    <w:rsid w:val="00570B5A"/>
    <w:rsid w:val="00587422"/>
    <w:rsid w:val="005A46B1"/>
    <w:rsid w:val="005B1A4A"/>
    <w:rsid w:val="005B7B75"/>
    <w:rsid w:val="005C6967"/>
    <w:rsid w:val="005E3562"/>
    <w:rsid w:val="005F7DE0"/>
    <w:rsid w:val="00640346"/>
    <w:rsid w:val="00660385"/>
    <w:rsid w:val="00662E65"/>
    <w:rsid w:val="0066665A"/>
    <w:rsid w:val="00692DD8"/>
    <w:rsid w:val="006D2359"/>
    <w:rsid w:val="006F0CE9"/>
    <w:rsid w:val="007202A8"/>
    <w:rsid w:val="007229A9"/>
    <w:rsid w:val="00726D3D"/>
    <w:rsid w:val="00761E83"/>
    <w:rsid w:val="00765E9B"/>
    <w:rsid w:val="007A3453"/>
    <w:rsid w:val="007B029A"/>
    <w:rsid w:val="007D33AA"/>
    <w:rsid w:val="007D3577"/>
    <w:rsid w:val="007D64CD"/>
    <w:rsid w:val="007F7BCF"/>
    <w:rsid w:val="008030EC"/>
    <w:rsid w:val="00811D6D"/>
    <w:rsid w:val="00815724"/>
    <w:rsid w:val="00817E8E"/>
    <w:rsid w:val="00820470"/>
    <w:rsid w:val="00841C3A"/>
    <w:rsid w:val="00844776"/>
    <w:rsid w:val="00866E2A"/>
    <w:rsid w:val="00870213"/>
    <w:rsid w:val="00871C9E"/>
    <w:rsid w:val="008850D9"/>
    <w:rsid w:val="008868B3"/>
    <w:rsid w:val="008908AF"/>
    <w:rsid w:val="008A4578"/>
    <w:rsid w:val="008C03C3"/>
    <w:rsid w:val="008C2276"/>
    <w:rsid w:val="008C5CE5"/>
    <w:rsid w:val="008D3909"/>
    <w:rsid w:val="008D6ECA"/>
    <w:rsid w:val="008F588A"/>
    <w:rsid w:val="008F7DD7"/>
    <w:rsid w:val="00902D2D"/>
    <w:rsid w:val="009074EA"/>
    <w:rsid w:val="00915804"/>
    <w:rsid w:val="009405B4"/>
    <w:rsid w:val="00957285"/>
    <w:rsid w:val="009573AF"/>
    <w:rsid w:val="009748FA"/>
    <w:rsid w:val="00977D7B"/>
    <w:rsid w:val="009963ED"/>
    <w:rsid w:val="009A5B18"/>
    <w:rsid w:val="009D4063"/>
    <w:rsid w:val="00A024F0"/>
    <w:rsid w:val="00A10F30"/>
    <w:rsid w:val="00A41BD3"/>
    <w:rsid w:val="00A449C2"/>
    <w:rsid w:val="00A65EA3"/>
    <w:rsid w:val="00A7322F"/>
    <w:rsid w:val="00AA3D6F"/>
    <w:rsid w:val="00AB55AE"/>
    <w:rsid w:val="00AB6F7D"/>
    <w:rsid w:val="00AC7878"/>
    <w:rsid w:val="00AD493E"/>
    <w:rsid w:val="00AD5692"/>
    <w:rsid w:val="00AE30B5"/>
    <w:rsid w:val="00AE5755"/>
    <w:rsid w:val="00AF3559"/>
    <w:rsid w:val="00B03A34"/>
    <w:rsid w:val="00B04066"/>
    <w:rsid w:val="00B06055"/>
    <w:rsid w:val="00B44D8A"/>
    <w:rsid w:val="00B73AC8"/>
    <w:rsid w:val="00B747A7"/>
    <w:rsid w:val="00BA04D6"/>
    <w:rsid w:val="00BA2BBF"/>
    <w:rsid w:val="00BC559C"/>
    <w:rsid w:val="00C02773"/>
    <w:rsid w:val="00C17112"/>
    <w:rsid w:val="00C24267"/>
    <w:rsid w:val="00CA12A0"/>
    <w:rsid w:val="00CA5D42"/>
    <w:rsid w:val="00CB40E1"/>
    <w:rsid w:val="00CF6DB6"/>
    <w:rsid w:val="00CF7D9A"/>
    <w:rsid w:val="00D134CA"/>
    <w:rsid w:val="00D3785C"/>
    <w:rsid w:val="00D52D5F"/>
    <w:rsid w:val="00D747D2"/>
    <w:rsid w:val="00D805AE"/>
    <w:rsid w:val="00D949A3"/>
    <w:rsid w:val="00DA1506"/>
    <w:rsid w:val="00DA1C8A"/>
    <w:rsid w:val="00DA3B55"/>
    <w:rsid w:val="00DB44F0"/>
    <w:rsid w:val="00DB66A5"/>
    <w:rsid w:val="00DD109E"/>
    <w:rsid w:val="00DD3E18"/>
    <w:rsid w:val="00DF343C"/>
    <w:rsid w:val="00DF6B74"/>
    <w:rsid w:val="00E12103"/>
    <w:rsid w:val="00E15AAE"/>
    <w:rsid w:val="00E21184"/>
    <w:rsid w:val="00E223B5"/>
    <w:rsid w:val="00E40B8B"/>
    <w:rsid w:val="00E5742E"/>
    <w:rsid w:val="00E968F9"/>
    <w:rsid w:val="00EA265F"/>
    <w:rsid w:val="00EA2DFF"/>
    <w:rsid w:val="00EA5685"/>
    <w:rsid w:val="00ED43FF"/>
    <w:rsid w:val="00EE6600"/>
    <w:rsid w:val="00EF1D6A"/>
    <w:rsid w:val="00EF2E51"/>
    <w:rsid w:val="00F21865"/>
    <w:rsid w:val="00F31E24"/>
    <w:rsid w:val="00F4535C"/>
    <w:rsid w:val="00F52474"/>
    <w:rsid w:val="00F5529D"/>
    <w:rsid w:val="00F5669E"/>
    <w:rsid w:val="00F71866"/>
    <w:rsid w:val="00F75D33"/>
    <w:rsid w:val="00F83B16"/>
    <w:rsid w:val="00F954CF"/>
    <w:rsid w:val="00F97DFF"/>
    <w:rsid w:val="00FC6579"/>
    <w:rsid w:val="00FD1628"/>
    <w:rsid w:val="00FD3FB3"/>
    <w:rsid w:val="00FE105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3B474B"/>
    <w:pPr>
      <w:keepNext/>
      <w:keepLines/>
      <w:spacing w:before="70" w:after="70" w:line="240" w:lineRule="auto"/>
      <w:ind w:left="57" w:right="57"/>
    </w:pPr>
    <w:rPr>
      <w:rFonts w:cs="Times New Roman"/>
      <w:b/>
      <w:sz w:val="20"/>
    </w:rPr>
  </w:style>
  <w:style w:type="paragraph" w:customStyle="1" w:styleId="TableHeadingCentred">
    <w:name w:val="Table Heading Centred"/>
    <w:basedOn w:val="TableTextRight"/>
    <w:qFormat/>
    <w:rsid w:val="003B474B"/>
    <w:pPr>
      <w:keepNext/>
      <w:keepLines/>
    </w:pPr>
    <w:rPr>
      <w:rFonts w:eastAsia="Times New Roman"/>
      <w:i w:val="0"/>
      <w:lang w:eastAsia="en-AU"/>
    </w:rPr>
  </w:style>
  <w:style w:type="paragraph" w:customStyle="1" w:styleId="TableText">
    <w:name w:val="Table Text"/>
    <w:basedOn w:val="Normal"/>
    <w:link w:val="TableTextChar"/>
    <w:qFormat/>
    <w:rsid w:val="003B474B"/>
    <w:pPr>
      <w:spacing w:before="70" w:after="70" w:line="240" w:lineRule="auto"/>
      <w:ind w:left="57" w:right="57"/>
    </w:pPr>
    <w:rPr>
      <w:rFonts w:cs="Times New Roman"/>
      <w:sz w:val="20"/>
    </w:rPr>
  </w:style>
  <w:style w:type="paragraph" w:customStyle="1" w:styleId="TableTextCentred">
    <w:name w:val="Table Text Centred"/>
    <w:basedOn w:val="TableText"/>
    <w:qFormat/>
    <w:rsid w:val="003B474B"/>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qFormat/>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01218"/>
    <w:rPr>
      <w:rFonts w:eastAsia="Times New Roman" w:cs="Times New Roman"/>
      <w:spacing w:val="0"/>
      <w:lang w:eastAsia="en-AU"/>
    </w:rPr>
  </w:style>
  <w:style w:type="paragraph" w:customStyle="1" w:styleId="Bullet2">
    <w:name w:val="Bullet 2"/>
    <w:basedOn w:val="ListBullet2"/>
    <w:link w:val="Bullet2Char"/>
    <w:qFormat/>
    <w:rsid w:val="00401218"/>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01218"/>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3B474B"/>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01218"/>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3B474B"/>
    <w:pPr>
      <w:jc w:val="right"/>
    </w:pPr>
    <w:rPr>
      <w:i/>
    </w:rPr>
  </w:style>
  <w:style w:type="paragraph" w:styleId="FootnoteText">
    <w:name w:val="footnote text"/>
    <w:basedOn w:val="Normal"/>
    <w:link w:val="FootnoteTextChar"/>
    <w:uiPriority w:val="99"/>
    <w:semiHidden/>
    <w:unhideWhenUsed/>
    <w:rsid w:val="00A10F3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10F30"/>
    <w:rPr>
      <w:sz w:val="20"/>
      <w:szCs w:val="20"/>
    </w:rPr>
  </w:style>
  <w:style w:type="character" w:styleId="FootnoteReference">
    <w:name w:val="footnote reference"/>
    <w:basedOn w:val="DefaultParagraphFont"/>
    <w:uiPriority w:val="99"/>
    <w:semiHidden/>
    <w:unhideWhenUsed/>
    <w:rsid w:val="00A10F30"/>
    <w:rPr>
      <w:vertAlign w:val="superscript"/>
    </w:rPr>
  </w:style>
  <w:style w:type="character" w:styleId="CommentReference">
    <w:name w:val="annotation reference"/>
    <w:basedOn w:val="DefaultParagraphFont"/>
    <w:uiPriority w:val="99"/>
    <w:semiHidden/>
    <w:unhideWhenUsed/>
    <w:rsid w:val="00182C5F"/>
    <w:rPr>
      <w:sz w:val="16"/>
      <w:szCs w:val="16"/>
    </w:rPr>
  </w:style>
  <w:style w:type="paragraph" w:styleId="CommentText">
    <w:name w:val="annotation text"/>
    <w:basedOn w:val="Normal"/>
    <w:link w:val="CommentTextChar"/>
    <w:uiPriority w:val="99"/>
    <w:semiHidden/>
    <w:unhideWhenUsed/>
    <w:rsid w:val="00182C5F"/>
    <w:pPr>
      <w:spacing w:line="240" w:lineRule="auto"/>
    </w:pPr>
    <w:rPr>
      <w:sz w:val="20"/>
      <w:szCs w:val="20"/>
    </w:rPr>
  </w:style>
  <w:style w:type="character" w:customStyle="1" w:styleId="CommentTextChar">
    <w:name w:val="Comment Text Char"/>
    <w:basedOn w:val="DefaultParagraphFont"/>
    <w:link w:val="CommentText"/>
    <w:uiPriority w:val="99"/>
    <w:semiHidden/>
    <w:rsid w:val="00182C5F"/>
    <w:rPr>
      <w:sz w:val="20"/>
      <w:szCs w:val="20"/>
    </w:rPr>
  </w:style>
  <w:style w:type="paragraph" w:styleId="CommentSubject">
    <w:name w:val="annotation subject"/>
    <w:basedOn w:val="CommentText"/>
    <w:next w:val="CommentText"/>
    <w:link w:val="CommentSubjectChar"/>
    <w:uiPriority w:val="99"/>
    <w:semiHidden/>
    <w:unhideWhenUsed/>
    <w:rsid w:val="00182C5F"/>
    <w:rPr>
      <w:b/>
      <w:bCs/>
    </w:rPr>
  </w:style>
  <w:style w:type="character" w:customStyle="1" w:styleId="CommentSubjectChar">
    <w:name w:val="Comment Subject Char"/>
    <w:basedOn w:val="CommentTextChar"/>
    <w:link w:val="CommentSubject"/>
    <w:uiPriority w:val="99"/>
    <w:semiHidden/>
    <w:rsid w:val="00182C5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3B474B"/>
    <w:pPr>
      <w:keepNext/>
      <w:keepLines/>
      <w:spacing w:before="70" w:after="70" w:line="240" w:lineRule="auto"/>
      <w:ind w:left="57" w:right="57"/>
    </w:pPr>
    <w:rPr>
      <w:rFonts w:cs="Times New Roman"/>
      <w:b/>
      <w:sz w:val="20"/>
    </w:rPr>
  </w:style>
  <w:style w:type="paragraph" w:customStyle="1" w:styleId="TableHeadingCentred">
    <w:name w:val="Table Heading Centred"/>
    <w:basedOn w:val="TableTextRight"/>
    <w:qFormat/>
    <w:rsid w:val="003B474B"/>
    <w:pPr>
      <w:keepNext/>
      <w:keepLines/>
    </w:pPr>
    <w:rPr>
      <w:rFonts w:eastAsia="Times New Roman"/>
      <w:i w:val="0"/>
      <w:lang w:eastAsia="en-AU"/>
    </w:rPr>
  </w:style>
  <w:style w:type="paragraph" w:customStyle="1" w:styleId="TableText">
    <w:name w:val="Table Text"/>
    <w:basedOn w:val="Normal"/>
    <w:link w:val="TableTextChar"/>
    <w:qFormat/>
    <w:rsid w:val="003B474B"/>
    <w:pPr>
      <w:spacing w:before="70" w:after="70" w:line="240" w:lineRule="auto"/>
      <w:ind w:left="57" w:right="57"/>
    </w:pPr>
    <w:rPr>
      <w:rFonts w:cs="Times New Roman"/>
      <w:sz w:val="20"/>
    </w:rPr>
  </w:style>
  <w:style w:type="paragraph" w:customStyle="1" w:styleId="TableTextCentred">
    <w:name w:val="Table Text Centred"/>
    <w:basedOn w:val="TableText"/>
    <w:qFormat/>
    <w:rsid w:val="003B474B"/>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qFormat/>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01218"/>
    <w:rPr>
      <w:rFonts w:eastAsia="Times New Roman" w:cs="Times New Roman"/>
      <w:spacing w:val="0"/>
      <w:lang w:eastAsia="en-AU"/>
    </w:rPr>
  </w:style>
  <w:style w:type="paragraph" w:customStyle="1" w:styleId="Bullet2">
    <w:name w:val="Bullet 2"/>
    <w:basedOn w:val="ListBullet2"/>
    <w:link w:val="Bullet2Char"/>
    <w:qFormat/>
    <w:rsid w:val="00401218"/>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01218"/>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3B474B"/>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01218"/>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3B474B"/>
    <w:pPr>
      <w:jc w:val="right"/>
    </w:pPr>
    <w:rPr>
      <w:i/>
    </w:rPr>
  </w:style>
  <w:style w:type="paragraph" w:styleId="FootnoteText">
    <w:name w:val="footnote text"/>
    <w:basedOn w:val="Normal"/>
    <w:link w:val="FootnoteTextChar"/>
    <w:uiPriority w:val="99"/>
    <w:semiHidden/>
    <w:unhideWhenUsed/>
    <w:rsid w:val="00A10F3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10F30"/>
    <w:rPr>
      <w:sz w:val="20"/>
      <w:szCs w:val="20"/>
    </w:rPr>
  </w:style>
  <w:style w:type="character" w:styleId="FootnoteReference">
    <w:name w:val="footnote reference"/>
    <w:basedOn w:val="DefaultParagraphFont"/>
    <w:uiPriority w:val="99"/>
    <w:semiHidden/>
    <w:unhideWhenUsed/>
    <w:rsid w:val="00A10F30"/>
    <w:rPr>
      <w:vertAlign w:val="superscript"/>
    </w:rPr>
  </w:style>
  <w:style w:type="character" w:styleId="CommentReference">
    <w:name w:val="annotation reference"/>
    <w:basedOn w:val="DefaultParagraphFont"/>
    <w:uiPriority w:val="99"/>
    <w:semiHidden/>
    <w:unhideWhenUsed/>
    <w:rsid w:val="00182C5F"/>
    <w:rPr>
      <w:sz w:val="16"/>
      <w:szCs w:val="16"/>
    </w:rPr>
  </w:style>
  <w:style w:type="paragraph" w:styleId="CommentText">
    <w:name w:val="annotation text"/>
    <w:basedOn w:val="Normal"/>
    <w:link w:val="CommentTextChar"/>
    <w:uiPriority w:val="99"/>
    <w:semiHidden/>
    <w:unhideWhenUsed/>
    <w:rsid w:val="00182C5F"/>
    <w:pPr>
      <w:spacing w:line="240" w:lineRule="auto"/>
    </w:pPr>
    <w:rPr>
      <w:sz w:val="20"/>
      <w:szCs w:val="20"/>
    </w:rPr>
  </w:style>
  <w:style w:type="character" w:customStyle="1" w:styleId="CommentTextChar">
    <w:name w:val="Comment Text Char"/>
    <w:basedOn w:val="DefaultParagraphFont"/>
    <w:link w:val="CommentText"/>
    <w:uiPriority w:val="99"/>
    <w:semiHidden/>
    <w:rsid w:val="00182C5F"/>
    <w:rPr>
      <w:sz w:val="20"/>
      <w:szCs w:val="20"/>
    </w:rPr>
  </w:style>
  <w:style w:type="paragraph" w:styleId="CommentSubject">
    <w:name w:val="annotation subject"/>
    <w:basedOn w:val="CommentText"/>
    <w:next w:val="CommentText"/>
    <w:link w:val="CommentSubjectChar"/>
    <w:uiPriority w:val="99"/>
    <w:semiHidden/>
    <w:unhideWhenUsed/>
    <w:rsid w:val="00182C5F"/>
    <w:rPr>
      <w:b/>
      <w:bCs/>
    </w:rPr>
  </w:style>
  <w:style w:type="character" w:customStyle="1" w:styleId="CommentSubjectChar">
    <w:name w:val="Comment Subject Char"/>
    <w:basedOn w:val="CommentTextChar"/>
    <w:link w:val="CommentSubject"/>
    <w:uiPriority w:val="99"/>
    <w:semiHidden/>
    <w:rsid w:val="00182C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yperlink" Target="http://greens.org.au/news/sa/greens-proposal-reduces-student-debt-burde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F26197D-DBED-4255-91C6-E14E03E5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2</TotalTime>
  <Pages>9</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PBO - GRN034 - Reducing Student Debt - 28 June 2016</vt:lpstr>
    </vt:vector>
  </TitlesOfParts>
  <Company>Parliament of Australia</Company>
  <LinksUpToDate>false</LinksUpToDate>
  <CharactersWithSpaces>13390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GRN034 - Reducing Student Debt - 28 June 2016</dc:title>
  <dc:creator>Parliamentary Budget Office</dc:creator>
  <cp:lastModifiedBy>Milligan, Louise (PBO)</cp:lastModifiedBy>
  <cp:revision>6</cp:revision>
  <cp:lastPrinted>2016-06-28T10:52:00Z</cp:lastPrinted>
  <dcterms:created xsi:type="dcterms:W3CDTF">2016-06-28T11:00:00Z</dcterms:created>
  <dcterms:modified xsi:type="dcterms:W3CDTF">2016-06-28T12:13:00Z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