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1E0BEB" w:rsidP="002473AF">
      <w:pPr>
        <w:spacing w:before="1560" w:after="0" w:line="240" w:lineRule="auto"/>
        <w:rPr>
          <w:rFonts w:ascii="Times New Roman" w:hAnsi="Times New Roman" w:cs="Times New Roman"/>
          <w:sz w:val="24"/>
          <w:szCs w:val="24"/>
        </w:rPr>
      </w:pPr>
      <w:r>
        <w:rPr>
          <w:rFonts w:ascii="Times New Roman" w:hAnsi="Times New Roman" w:cs="Times New Roman"/>
          <w:sz w:val="24"/>
          <w:szCs w:val="24"/>
        </w:rPr>
        <w:t>Senator Richard Di Natale</w:t>
      </w:r>
    </w:p>
    <w:p w:rsidR="002473AF" w:rsidRPr="00002D5D" w:rsidRDefault="002473AF" w:rsidP="002473AF">
      <w:pPr>
        <w:spacing w:before="0" w:after="0" w:line="240" w:lineRule="auto"/>
        <w:rPr>
          <w:rFonts w:ascii="Times New Roman" w:hAnsi="Times New Roman" w:cs="Times New Roman"/>
          <w:sz w:val="24"/>
          <w:szCs w:val="24"/>
        </w:rPr>
      </w:pPr>
      <w:r w:rsidRPr="002473AF">
        <w:rPr>
          <w:rFonts w:ascii="Times New Roman" w:hAnsi="Times New Roman" w:cs="Times New Roman"/>
          <w:sz w:val="24"/>
          <w:szCs w:val="24"/>
        </w:rPr>
        <w:t>Leader of the 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proofErr w:type="gramStart"/>
      <w:r>
        <w:rPr>
          <w:rFonts w:ascii="Times New Roman" w:hAnsi="Times New Roman" w:cs="Times New Roman"/>
          <w:sz w:val="24"/>
          <w:szCs w:val="24"/>
        </w:rPr>
        <w:t>CANBERRA  ACT</w:t>
      </w:r>
      <w:proofErr w:type="gramEnd"/>
      <w:r>
        <w:rPr>
          <w:rFonts w:ascii="Times New Roman" w:hAnsi="Times New Roman" w:cs="Times New Roman"/>
          <w:sz w:val="24"/>
          <w:szCs w:val="24"/>
        </w:rPr>
        <w:t xml:space="preserve">  2600</w:t>
      </w:r>
    </w:p>
    <w:p w:rsidR="00040DCE" w:rsidRPr="00002D5D" w:rsidRDefault="00040DCE" w:rsidP="00040DCE">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2473AF" w:rsidRPr="006C473F">
        <w:rPr>
          <w:rFonts w:ascii="Times New Roman" w:hAnsi="Times New Roman" w:cs="Times New Roman"/>
          <w:sz w:val="24"/>
          <w:szCs w:val="24"/>
        </w:rPr>
        <w:t>Senator Di Natale</w:t>
      </w:r>
    </w:p>
    <w:p w:rsidR="00040DCE" w:rsidRPr="00002D5D" w:rsidRDefault="00040DCE" w:rsidP="00C17112">
      <w:pPr>
        <w:pStyle w:val="Lettertext"/>
      </w:pPr>
      <w:r w:rsidRPr="00002D5D">
        <w:t>Please find attached a re</w:t>
      </w:r>
      <w:r w:rsidR="005B7236">
        <w:t>sponse to your costing request</w:t>
      </w:r>
      <w:r w:rsidRPr="00002D5D">
        <w:t xml:space="preserve">, </w:t>
      </w:r>
      <w:r w:rsidR="00982FB5">
        <w:rPr>
          <w:i/>
        </w:rPr>
        <w:t>Universities</w:t>
      </w:r>
      <w:r w:rsidR="002338AC">
        <w:rPr>
          <w:i/>
        </w:rPr>
        <w:t>:</w:t>
      </w:r>
      <w:r w:rsidR="002338AC" w:rsidRPr="002338AC">
        <w:rPr>
          <w:i/>
        </w:rPr>
        <w:t xml:space="preserve"> Base Funding Lift</w:t>
      </w:r>
      <w:r w:rsidRPr="00002D5D">
        <w:t xml:space="preserve"> (letter of </w:t>
      </w:r>
      <w:r w:rsidR="00FE63FD">
        <w:t>28</w:t>
      </w:r>
      <w:r w:rsidR="002473AF">
        <w:t xml:space="preserve"> June </w:t>
      </w:r>
      <w:r w:rsidRPr="00002D5D">
        <w:t>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If you have any queries about this costing, please</w:t>
      </w:r>
      <w:r w:rsidR="00F75D33">
        <w:t xml:space="preserve"> contact Colin </w:t>
      </w:r>
      <w:r w:rsidR="005B7236">
        <w:t>Brown on (02) 6277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EC458E" w:rsidP="00EC458E">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28 </w:t>
      </w:r>
      <w:bookmarkStart w:id="0" w:name="_GoBack"/>
      <w:bookmarkEnd w:id="0"/>
      <w:r w:rsidR="002473AF">
        <w:rPr>
          <w:rFonts w:ascii="Times New Roman" w:hAnsi="Times New Roman" w:cs="Times New Roman"/>
          <w:sz w:val="24"/>
          <w:szCs w:val="24"/>
        </w:rPr>
        <w:t>June</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headerReference w:type="default" r:id="rId10"/>
          <w:footerReference w:type="default" r:id="rId11"/>
          <w:headerReference w:type="first" r:id="rId12"/>
          <w:footerReference w:type="first" r:id="rId13"/>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TableGrid"/>
        <w:tblW w:w="8340" w:type="dxa"/>
        <w:tblLook w:val="04A0" w:firstRow="1" w:lastRow="0" w:firstColumn="1" w:lastColumn="0" w:noHBand="0" w:noVBand="1"/>
      </w:tblPr>
      <w:tblGrid>
        <w:gridCol w:w="3005"/>
        <w:gridCol w:w="5335"/>
      </w:tblGrid>
      <w:tr w:rsidR="004D5525" w:rsidTr="004D55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rsidR="004D5525" w:rsidRDefault="004D5525" w:rsidP="004D5525">
            <w:pPr>
              <w:pStyle w:val="BodyText"/>
            </w:pPr>
            <w:r>
              <w:t>Name of proposal:</w:t>
            </w:r>
          </w:p>
        </w:tc>
        <w:tc>
          <w:tcPr>
            <w:tcW w:w="5335" w:type="dxa"/>
          </w:tcPr>
          <w:p w:rsidR="004D5525" w:rsidRDefault="00982FB5" w:rsidP="004D5525">
            <w:pPr>
              <w:pStyle w:val="BodyText"/>
              <w:cnfStyle w:val="100000000000" w:firstRow="1" w:lastRow="0" w:firstColumn="0" w:lastColumn="0" w:oddVBand="0" w:evenVBand="0" w:oddHBand="0" w:evenHBand="0" w:firstRowFirstColumn="0" w:firstRowLastColumn="0" w:lastRowFirstColumn="0" w:lastRowLastColumn="0"/>
            </w:pPr>
            <w:r>
              <w:t>Universities</w:t>
            </w:r>
            <w:r w:rsidR="002338AC">
              <w:t>:</w:t>
            </w:r>
            <w:r w:rsidR="002338AC" w:rsidRPr="002338AC">
              <w:t xml:space="preserve"> Base Funding Lift</w:t>
            </w:r>
          </w:p>
        </w:tc>
      </w:tr>
      <w:tr w:rsidR="004D5525" w:rsidTr="004D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D5525">
            <w:pPr>
              <w:pStyle w:val="BodyText"/>
            </w:pPr>
            <w:r>
              <w:t>Summary of proposal:</w:t>
            </w:r>
          </w:p>
        </w:tc>
        <w:tc>
          <w:tcPr>
            <w:tcW w:w="5335" w:type="dxa"/>
          </w:tcPr>
          <w:p w:rsidR="002338AC" w:rsidRPr="00B50B26" w:rsidRDefault="002338AC" w:rsidP="002338AC">
            <w:pPr>
              <w:spacing w:before="120" w:after="120"/>
              <w:cnfStyle w:val="000000100000" w:firstRow="0" w:lastRow="0" w:firstColumn="0" w:lastColumn="0" w:oddVBand="0" w:evenVBand="0" w:oddHBand="1" w:evenHBand="0" w:firstRowFirstColumn="0" w:firstRowLastColumn="0" w:lastRowFirstColumn="0" w:lastRowLastColumn="0"/>
            </w:pPr>
            <w:r w:rsidRPr="00B50B26">
              <w:t xml:space="preserve">The proposal would </w:t>
            </w:r>
            <w:r>
              <w:t>increase</w:t>
            </w:r>
            <w:r w:rsidRPr="00B50B26">
              <w:t xml:space="preserve"> base funding for teaching and learning in tertiary education</w:t>
            </w:r>
            <w:r>
              <w:t xml:space="preserve"> by 10 per cent</w:t>
            </w:r>
            <w:r w:rsidRPr="00B50B26">
              <w:t>.</w:t>
            </w:r>
          </w:p>
          <w:p w:rsidR="002338AC" w:rsidRPr="00B50B26" w:rsidRDefault="002338AC" w:rsidP="002338AC">
            <w:pPr>
              <w:spacing w:before="120" w:after="120"/>
              <w:cnfStyle w:val="000000100000" w:firstRow="0" w:lastRow="0" w:firstColumn="0" w:lastColumn="0" w:oddVBand="0" w:evenVBand="0" w:oddHBand="1" w:evenHBand="0" w:firstRowFirstColumn="0" w:firstRowLastColumn="0" w:lastRowFirstColumn="0" w:lastRowLastColumn="0"/>
            </w:pPr>
            <w:r>
              <w:t>The increase in funding would be p</w:t>
            </w:r>
            <w:r w:rsidRPr="00B50B26">
              <w:t>hase</w:t>
            </w:r>
            <w:r>
              <w:t>d</w:t>
            </w:r>
            <w:r w:rsidRPr="00B50B26">
              <w:t xml:space="preserve"> in from 1 January 2017 to 2020 so that from 1 January 2020 universities have a 10</w:t>
            </w:r>
            <w:r>
              <w:t xml:space="preserve"> per cent</w:t>
            </w:r>
            <w:r w:rsidRPr="00B50B26">
              <w:t xml:space="preserve"> increase in their base funding from current levels </w:t>
            </w:r>
            <w:r>
              <w:t>(</w:t>
            </w:r>
            <w:r w:rsidRPr="00B50B26">
              <w:t>appropriately indexed</w:t>
            </w:r>
            <w:r>
              <w:t>)</w:t>
            </w:r>
            <w:r w:rsidRPr="00B50B26">
              <w:t>.</w:t>
            </w:r>
          </w:p>
          <w:p w:rsidR="002338AC" w:rsidRPr="00B50B26" w:rsidRDefault="002338AC" w:rsidP="002338AC">
            <w:pPr>
              <w:spacing w:before="120" w:after="120"/>
              <w:cnfStyle w:val="000000100000" w:firstRow="0" w:lastRow="0" w:firstColumn="0" w:lastColumn="0" w:oddVBand="0" w:evenVBand="0" w:oddHBand="1" w:evenHBand="0" w:firstRowFirstColumn="0" w:firstRowLastColumn="0" w:lastRowFirstColumn="0" w:lastRowLastColumn="0"/>
            </w:pPr>
            <w:r>
              <w:t xml:space="preserve">The proposal </w:t>
            </w:r>
            <w:r w:rsidR="00982FB5">
              <w:t xml:space="preserve">would </w:t>
            </w:r>
            <w:r>
              <w:t xml:space="preserve">also </w:t>
            </w:r>
            <w:r w:rsidR="00982FB5">
              <w:t xml:space="preserve">reverse </w:t>
            </w:r>
            <w:r w:rsidRPr="00B50B26">
              <w:t>cuts to higher education funding in the 2013</w:t>
            </w:r>
            <w:r w:rsidRPr="00B50B26">
              <w:noBreakHyphen/>
              <w:t>14 and 2014</w:t>
            </w:r>
            <w:r w:rsidRPr="00B50B26">
              <w:noBreakHyphen/>
              <w:t xml:space="preserve">15 </w:t>
            </w:r>
            <w:r>
              <w:t>B</w:t>
            </w:r>
            <w:r w:rsidRPr="00B50B26">
              <w:t>udget</w:t>
            </w:r>
            <w:r>
              <w:t>s</w:t>
            </w:r>
            <w:r w:rsidRPr="00B50B26">
              <w:t>.</w:t>
            </w:r>
          </w:p>
          <w:p w:rsidR="004D5525" w:rsidRDefault="002338AC" w:rsidP="00B150F8">
            <w:pPr>
              <w:pStyle w:val="BodyText"/>
              <w:cnfStyle w:val="000000100000" w:firstRow="0" w:lastRow="0" w:firstColumn="0" w:lastColumn="0" w:oddVBand="0" w:evenVBand="0" w:oddHBand="1" w:evenHBand="0" w:firstRowFirstColumn="0" w:firstRowLastColumn="0" w:lastRowFirstColumn="0" w:lastRowLastColumn="0"/>
            </w:pPr>
            <w:r w:rsidRPr="00B50B26">
              <w:t xml:space="preserve">The proposal would have effect from </w:t>
            </w:r>
            <w:r w:rsidRPr="00B150F8">
              <w:t xml:space="preserve">1 </w:t>
            </w:r>
            <w:r w:rsidR="00B150F8" w:rsidRPr="00B150F8">
              <w:t>January</w:t>
            </w:r>
            <w:r w:rsidRPr="00B150F8">
              <w:t xml:space="preserve"> 201</w:t>
            </w:r>
            <w:r w:rsidR="00B150F8" w:rsidRPr="00B150F8">
              <w:t>7</w:t>
            </w:r>
            <w:r w:rsidRPr="00B150F8">
              <w:t>.</w:t>
            </w:r>
          </w:p>
        </w:tc>
      </w:tr>
      <w:tr w:rsidR="004D5525" w:rsidTr="004D5525">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D5525">
            <w:pPr>
              <w:pStyle w:val="BodyText"/>
            </w:pPr>
            <w:r>
              <w:t>Person/party requesting costing:</w:t>
            </w:r>
          </w:p>
        </w:tc>
        <w:tc>
          <w:tcPr>
            <w:tcW w:w="5335" w:type="dxa"/>
          </w:tcPr>
          <w:p w:rsidR="004D5525" w:rsidRDefault="00376E63" w:rsidP="004D5525">
            <w:pPr>
              <w:pStyle w:val="BodyText"/>
              <w:cnfStyle w:val="000000000000" w:firstRow="0" w:lastRow="0" w:firstColumn="0" w:lastColumn="0" w:oddVBand="0" w:evenVBand="0" w:oddHBand="0" w:evenHBand="0" w:firstRowFirstColumn="0" w:firstRowLastColumn="0" w:lastRowFirstColumn="0" w:lastRowLastColumn="0"/>
            </w:pPr>
            <w:r w:rsidRPr="00376E63">
              <w:t>Senator Richard Di Natale, Australian Greens</w:t>
            </w:r>
          </w:p>
        </w:tc>
      </w:tr>
      <w:tr w:rsidR="005B7236" w:rsidTr="009A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5B7236" w:rsidRDefault="005B7236" w:rsidP="009A6B7B">
            <w:pPr>
              <w:pStyle w:val="BodyText"/>
            </w:pPr>
            <w:r>
              <w:t>Date of public release of policy:</w:t>
            </w:r>
          </w:p>
        </w:tc>
        <w:tc>
          <w:tcPr>
            <w:tcW w:w="5335" w:type="dxa"/>
          </w:tcPr>
          <w:p w:rsidR="005B7236" w:rsidRPr="00C17112" w:rsidRDefault="00FE63FD" w:rsidP="009A6B7B">
            <w:pPr>
              <w:pStyle w:val="BodyText"/>
              <w:cnfStyle w:val="000000100000" w:firstRow="0" w:lastRow="0" w:firstColumn="0" w:lastColumn="0" w:oddVBand="0" w:evenVBand="0" w:oddHBand="1" w:evenHBand="0" w:firstRowFirstColumn="0" w:firstRowLastColumn="0" w:lastRowFirstColumn="0" w:lastRowLastColumn="0"/>
            </w:pPr>
            <w:r>
              <w:t>4 February 2016</w:t>
            </w:r>
          </w:p>
        </w:tc>
      </w:tr>
      <w:tr w:rsidR="004D5525" w:rsidTr="004D5525">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D5525">
            <w:pPr>
              <w:pStyle w:val="BodyText"/>
            </w:pPr>
            <w:r>
              <w:t>Date costing request received:</w:t>
            </w:r>
          </w:p>
        </w:tc>
        <w:tc>
          <w:tcPr>
            <w:tcW w:w="5335" w:type="dxa"/>
          </w:tcPr>
          <w:p w:rsidR="004D5525" w:rsidRDefault="00FE63FD" w:rsidP="004D5525">
            <w:pPr>
              <w:pStyle w:val="BodyText"/>
              <w:cnfStyle w:val="000000000000" w:firstRow="0" w:lastRow="0" w:firstColumn="0" w:lastColumn="0" w:oddVBand="0" w:evenVBand="0" w:oddHBand="0" w:evenHBand="0" w:firstRowFirstColumn="0" w:firstRowLastColumn="0" w:lastRowFirstColumn="0" w:lastRowLastColumn="0"/>
            </w:pPr>
            <w:r>
              <w:t>28</w:t>
            </w:r>
            <w:r w:rsidR="00376E63">
              <w:t xml:space="preserve"> June 2016</w:t>
            </w:r>
          </w:p>
        </w:tc>
      </w:tr>
      <w:tr w:rsidR="004D5525" w:rsidTr="004D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D5525">
            <w:pPr>
              <w:pStyle w:val="BodyText"/>
            </w:pPr>
            <w:r>
              <w:t>Date costing completed</w:t>
            </w:r>
          </w:p>
        </w:tc>
        <w:tc>
          <w:tcPr>
            <w:tcW w:w="5335" w:type="dxa"/>
          </w:tcPr>
          <w:p w:rsidR="004D5525" w:rsidRPr="00C17112" w:rsidRDefault="00FE63FD" w:rsidP="004D5525">
            <w:pPr>
              <w:pStyle w:val="BodyText"/>
              <w:cnfStyle w:val="000000100000" w:firstRow="0" w:lastRow="0" w:firstColumn="0" w:lastColumn="0" w:oddVBand="0" w:evenVBand="0" w:oddHBand="1" w:evenHBand="0" w:firstRowFirstColumn="0" w:firstRowLastColumn="0" w:lastRowFirstColumn="0" w:lastRowLastColumn="0"/>
            </w:pPr>
            <w:r>
              <w:t>28</w:t>
            </w:r>
            <w:r w:rsidR="00376E63">
              <w:t xml:space="preserve"> June 2016</w:t>
            </w:r>
          </w:p>
        </w:tc>
      </w:tr>
      <w:tr w:rsidR="004D5525" w:rsidTr="004D5525">
        <w:tc>
          <w:tcPr>
            <w:cnfStyle w:val="001000000000" w:firstRow="0" w:lastRow="0" w:firstColumn="1" w:lastColumn="0" w:oddVBand="0" w:evenVBand="0" w:oddHBand="0" w:evenHBand="0" w:firstRowFirstColumn="0" w:firstRowLastColumn="0" w:lastRowFirstColumn="0" w:lastRowLastColumn="0"/>
            <w:tcW w:w="3005" w:type="dxa"/>
          </w:tcPr>
          <w:p w:rsidR="004D5525" w:rsidRPr="00220BE5" w:rsidRDefault="004D5525" w:rsidP="004D5525">
            <w:pPr>
              <w:pStyle w:val="BodyText"/>
            </w:pPr>
            <w:r w:rsidRPr="00220BE5">
              <w:t>Expiry date for the costing:</w:t>
            </w:r>
          </w:p>
        </w:tc>
        <w:tc>
          <w:tcPr>
            <w:tcW w:w="5335" w:type="dxa"/>
          </w:tcPr>
          <w:p w:rsidR="004D5525" w:rsidRPr="00220BE5" w:rsidRDefault="00244CA4" w:rsidP="00220BE5">
            <w:pPr>
              <w:pStyle w:val="BodyText"/>
              <w:cnfStyle w:val="000000000000" w:firstRow="0" w:lastRow="0" w:firstColumn="0" w:lastColumn="0" w:oddVBand="0" w:evenVBand="0" w:oddHBand="0" w:evenHBand="0" w:firstRowFirstColumn="0" w:firstRowLastColumn="0" w:lastRowFirstColumn="0" w:lastRowLastColumn="0"/>
            </w:pPr>
            <w:r w:rsidRPr="002434ED">
              <w:t>Release of the next economic and fiscal outlook report</w:t>
            </w:r>
          </w:p>
        </w:tc>
      </w:tr>
    </w:tbl>
    <w:p w:rsidR="0055581F" w:rsidRPr="00002D5D" w:rsidRDefault="008030EC" w:rsidP="00FC6579">
      <w:pPr>
        <w:pStyle w:val="Heading2"/>
      </w:pPr>
      <w:r w:rsidRPr="00002D5D">
        <w:t>Costing overview</w:t>
      </w:r>
    </w:p>
    <w:p w:rsidR="002338AC" w:rsidRPr="009547D9" w:rsidRDefault="002338AC" w:rsidP="002338AC">
      <w:pPr>
        <w:rPr>
          <w:u w:val="single"/>
        </w:rPr>
      </w:pPr>
      <w:r w:rsidRPr="00440390">
        <w:t xml:space="preserve">This proposal </w:t>
      </w:r>
      <w:r>
        <w:t>would reverse measures announced in the 2013-14 and 2014-15 Budgets that affected base university funding and, after allowing for the effect of the reversal of these measures, increase base university funding by an additional 2.5 per cent per year for four</w:t>
      </w:r>
      <w:r w:rsidR="001E0BEB">
        <w:t> </w:t>
      </w:r>
      <w:r>
        <w:t>years such that after four </w:t>
      </w:r>
      <w:r w:rsidRPr="009547D9">
        <w:t>years there would be an ongoing</w:t>
      </w:r>
      <w:r w:rsidR="008522FE">
        <w:t xml:space="preserve"> increase in base funding of 10 </w:t>
      </w:r>
      <w:r w:rsidRPr="009547D9">
        <w:t>per</w:t>
      </w:r>
      <w:r w:rsidR="001E0BEB">
        <w:t> </w:t>
      </w:r>
      <w:r w:rsidRPr="009547D9">
        <w:t xml:space="preserve">cent. </w:t>
      </w:r>
      <w:r>
        <w:t xml:space="preserve"> </w:t>
      </w:r>
      <w:r w:rsidRPr="009547D9">
        <w:t xml:space="preserve">Details of the budget measures that would be reversed under this proposal are provided at </w:t>
      </w:r>
      <w:r w:rsidRPr="009547D9">
        <w:rPr>
          <w:u w:val="single"/>
        </w:rPr>
        <w:t>Attachment A</w:t>
      </w:r>
      <w:r w:rsidRPr="009547D9">
        <w:t>.</w:t>
      </w:r>
    </w:p>
    <w:p w:rsidR="00024885" w:rsidRPr="00024885" w:rsidRDefault="002338AC" w:rsidP="00024885">
      <w:r w:rsidRPr="009547D9">
        <w:t>This proposal is expected to decrease the fiscal balance by $6,99</w:t>
      </w:r>
      <w:r w:rsidR="003B3F9A">
        <w:t>5</w:t>
      </w:r>
      <w:r w:rsidRPr="009547D9">
        <w:t xml:space="preserve"> million, the underlying cash balance by $6,94</w:t>
      </w:r>
      <w:r w:rsidR="003B3F9A">
        <w:t>3</w:t>
      </w:r>
      <w:r w:rsidRPr="009547D9">
        <w:t xml:space="preserve"> million and the headline cash balance by $7,05</w:t>
      </w:r>
      <w:r w:rsidR="003B3F9A">
        <w:t>1</w:t>
      </w:r>
      <w:r w:rsidRPr="009547D9">
        <w:t xml:space="preserve"> million over the 2016</w:t>
      </w:r>
      <w:r w:rsidRPr="009547D9">
        <w:noBreakHyphen/>
        <w:t>17</w:t>
      </w:r>
      <w:r w:rsidR="001E0BEB">
        <w:t> </w:t>
      </w:r>
      <w:r w:rsidRPr="009547D9">
        <w:t>Budget forward estimates period.</w:t>
      </w:r>
    </w:p>
    <w:p w:rsidR="002338AC" w:rsidRPr="009547D9" w:rsidRDefault="00024885" w:rsidP="001E0BEB">
      <w:r w:rsidRPr="002338AC">
        <w:t>This proposal is not expected to require significant additional departmental expenses, as the proposal relates to an existing core function of the Department of Education and Training.</w:t>
      </w:r>
    </w:p>
    <w:p w:rsidR="00846EFC" w:rsidRPr="002338AC" w:rsidRDefault="002338AC" w:rsidP="001E0BEB">
      <w:pPr>
        <w:pStyle w:val="Heading2"/>
        <w:spacing w:before="114" w:after="114"/>
        <w:rPr>
          <w:rFonts w:asciiTheme="minorHAnsi" w:hAnsiTheme="minorHAnsi"/>
          <w:bCs w:val="0"/>
          <w:iCs w:val="0"/>
          <w:color w:val="auto"/>
          <w:kern w:val="0"/>
          <w:sz w:val="22"/>
          <w:szCs w:val="22"/>
        </w:rPr>
      </w:pPr>
      <w:r w:rsidRPr="002338AC">
        <w:rPr>
          <w:rFonts w:asciiTheme="minorHAnsi" w:hAnsiTheme="minorHAnsi"/>
          <w:bCs w:val="0"/>
          <w:color w:val="auto"/>
          <w:sz w:val="22"/>
          <w:szCs w:val="22"/>
        </w:rPr>
        <w:lastRenderedPageBreak/>
        <w:t xml:space="preserve">This proposal would have an ongoing impact that extends beyond the forward estimates period.  </w:t>
      </w:r>
      <w:r w:rsidR="00846EFC" w:rsidRPr="002338AC">
        <w:rPr>
          <w:rFonts w:asciiTheme="minorHAnsi" w:hAnsiTheme="minorHAnsi"/>
          <w:bCs w:val="0"/>
          <w:iCs w:val="0"/>
          <w:color w:val="auto"/>
          <w:kern w:val="0"/>
          <w:sz w:val="22"/>
          <w:szCs w:val="22"/>
        </w:rPr>
        <w:t>A breakdown of the cost of the proposal over the period 2016-17 to 202</w:t>
      </w:r>
      <w:r w:rsidR="00846EFC">
        <w:rPr>
          <w:rFonts w:asciiTheme="minorHAnsi" w:hAnsiTheme="minorHAnsi"/>
          <w:bCs w:val="0"/>
          <w:iCs w:val="0"/>
          <w:color w:val="auto"/>
          <w:kern w:val="0"/>
          <w:sz w:val="22"/>
          <w:szCs w:val="22"/>
        </w:rPr>
        <w:t>6</w:t>
      </w:r>
      <w:r w:rsidR="00846EFC" w:rsidRPr="002338AC">
        <w:rPr>
          <w:rFonts w:asciiTheme="minorHAnsi" w:hAnsiTheme="minorHAnsi"/>
          <w:bCs w:val="0"/>
          <w:iCs w:val="0"/>
          <w:color w:val="auto"/>
          <w:kern w:val="0"/>
          <w:sz w:val="22"/>
          <w:szCs w:val="22"/>
        </w:rPr>
        <w:t>-2</w:t>
      </w:r>
      <w:r w:rsidR="00846EFC">
        <w:rPr>
          <w:rFonts w:asciiTheme="minorHAnsi" w:hAnsiTheme="minorHAnsi"/>
          <w:bCs w:val="0"/>
          <w:iCs w:val="0"/>
          <w:color w:val="auto"/>
          <w:kern w:val="0"/>
          <w:sz w:val="22"/>
          <w:szCs w:val="22"/>
        </w:rPr>
        <w:t>7</w:t>
      </w:r>
      <w:r w:rsidR="00846EFC" w:rsidRPr="002338AC">
        <w:rPr>
          <w:rFonts w:asciiTheme="minorHAnsi" w:hAnsiTheme="minorHAnsi"/>
          <w:bCs w:val="0"/>
          <w:iCs w:val="0"/>
          <w:color w:val="auto"/>
          <w:kern w:val="0"/>
          <w:sz w:val="22"/>
          <w:szCs w:val="22"/>
        </w:rPr>
        <w:t xml:space="preserve"> is provided at </w:t>
      </w:r>
      <w:r w:rsidR="00846EFC" w:rsidRPr="002338AC">
        <w:rPr>
          <w:rFonts w:asciiTheme="minorHAnsi" w:hAnsiTheme="minorHAnsi"/>
          <w:bCs w:val="0"/>
          <w:iCs w:val="0"/>
          <w:color w:val="auto"/>
          <w:kern w:val="0"/>
          <w:sz w:val="22"/>
          <w:szCs w:val="22"/>
          <w:u w:val="single"/>
        </w:rPr>
        <w:t>Attachment B</w:t>
      </w:r>
      <w:r w:rsidR="00846EFC" w:rsidRPr="002338AC">
        <w:rPr>
          <w:rFonts w:asciiTheme="minorHAnsi" w:hAnsiTheme="minorHAnsi"/>
          <w:bCs w:val="0"/>
          <w:iCs w:val="0"/>
          <w:color w:val="auto"/>
          <w:kern w:val="0"/>
          <w:sz w:val="22"/>
          <w:szCs w:val="22"/>
        </w:rPr>
        <w:t>.</w:t>
      </w:r>
    </w:p>
    <w:p w:rsidR="002338AC" w:rsidRPr="002338AC" w:rsidRDefault="002338AC" w:rsidP="002338AC">
      <w:pPr>
        <w:pStyle w:val="Heading2"/>
        <w:keepNext w:val="0"/>
        <w:spacing w:before="114" w:after="114"/>
        <w:rPr>
          <w:rFonts w:asciiTheme="minorHAnsi" w:hAnsiTheme="minorHAnsi"/>
          <w:bCs w:val="0"/>
          <w:iCs w:val="0"/>
          <w:color w:val="auto"/>
          <w:kern w:val="0"/>
          <w:sz w:val="22"/>
          <w:szCs w:val="22"/>
        </w:rPr>
      </w:pPr>
      <w:r w:rsidRPr="002338AC">
        <w:rPr>
          <w:rFonts w:asciiTheme="minorHAnsi" w:hAnsiTheme="minorHAnsi"/>
          <w:bCs w:val="0"/>
          <w:iCs w:val="0"/>
          <w:color w:val="auto"/>
          <w:kern w:val="0"/>
          <w:sz w:val="22"/>
          <w:szCs w:val="22"/>
        </w:rPr>
        <w:t>The proposal has a different impact on the fiscal and underlying cash balances primarily due to the effect of the reversal of budget measures on the Higher Education Loan Program.</w:t>
      </w:r>
    </w:p>
    <w:p w:rsidR="002338AC" w:rsidRDefault="002338AC" w:rsidP="002338AC">
      <w:r w:rsidRPr="000B0AC0">
        <w:t xml:space="preserve">This costing is considered to be of </w:t>
      </w:r>
      <w:r w:rsidRPr="006D1C66">
        <w:t>medium</w:t>
      </w:r>
      <w:r w:rsidRPr="000B0AC0">
        <w:t xml:space="preserve"> reliability.  </w:t>
      </w:r>
      <w:r>
        <w:t xml:space="preserve">The </w:t>
      </w:r>
      <w:r w:rsidRPr="000B0AC0">
        <w:t xml:space="preserve">base university funding figures </w:t>
      </w:r>
      <w:r>
        <w:t>and the impact of reversing budget measures are reliant on projections of student numbers and future indexation parameters which may, in fact, differ from current projections.</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r w:rsidR="007E786E">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1E0B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vAlign w:val="center"/>
          </w:tcPr>
          <w:p w:rsidR="00CA5D42" w:rsidRPr="00FA3351" w:rsidRDefault="00CA5D42" w:rsidP="001E0BEB">
            <w:pPr>
              <w:pStyle w:val="TableText"/>
              <w:keepNext/>
              <w:keepLines/>
              <w:spacing w:before="0" w:after="0" w:line="240" w:lineRule="auto"/>
              <w:ind w:left="57" w:right="57"/>
              <w:rPr>
                <w:rFonts w:ascii="Calibri" w:hAnsi="Calibri"/>
                <w:b w:val="0"/>
                <w:szCs w:val="20"/>
              </w:rPr>
            </w:pPr>
            <w:r w:rsidRPr="00FA3351">
              <w:rPr>
                <w:rFonts w:ascii="Calibri" w:hAnsi="Calibri"/>
                <w:b w:val="0"/>
                <w:szCs w:val="20"/>
              </w:rPr>
              <w:t>Impact on</w:t>
            </w:r>
            <w:r w:rsidR="00461597" w:rsidRPr="00FA3351">
              <w:rPr>
                <w:rFonts w:ascii="Calibri" w:hAnsi="Calibri"/>
                <w:b w:val="0"/>
                <w:szCs w:val="20"/>
              </w:rPr>
              <w:t xml:space="preserve"> ($m)</w:t>
            </w:r>
          </w:p>
        </w:tc>
        <w:tc>
          <w:tcPr>
            <w:tcW w:w="682" w:type="pct"/>
            <w:vAlign w:val="center"/>
          </w:tcPr>
          <w:p w:rsidR="00CA5D42" w:rsidRPr="00FA3351" w:rsidRDefault="00CA5D42" w:rsidP="001E0BEB">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FA3351">
              <w:rPr>
                <w:rFonts w:ascii="Calibri" w:hAnsi="Calibri"/>
                <w:b w:val="0"/>
                <w:sz w:val="20"/>
                <w:szCs w:val="20"/>
              </w:rPr>
              <w:t>2016–17</w:t>
            </w:r>
          </w:p>
        </w:tc>
        <w:tc>
          <w:tcPr>
            <w:tcW w:w="682" w:type="pct"/>
            <w:vAlign w:val="center"/>
          </w:tcPr>
          <w:p w:rsidR="00CA5D42" w:rsidRPr="00FA3351" w:rsidRDefault="00CA5D42" w:rsidP="001E0BEB">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FA3351">
              <w:rPr>
                <w:rFonts w:ascii="Calibri" w:hAnsi="Calibri"/>
                <w:b w:val="0"/>
                <w:sz w:val="20"/>
                <w:szCs w:val="20"/>
              </w:rPr>
              <w:t>2017–18</w:t>
            </w:r>
          </w:p>
        </w:tc>
        <w:tc>
          <w:tcPr>
            <w:tcW w:w="682" w:type="pct"/>
            <w:vAlign w:val="center"/>
          </w:tcPr>
          <w:p w:rsidR="00CA5D42" w:rsidRPr="00FA3351" w:rsidRDefault="00CA5D42" w:rsidP="001E0BEB">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FA3351">
              <w:rPr>
                <w:rFonts w:ascii="Calibri" w:hAnsi="Calibri"/>
                <w:b w:val="0"/>
                <w:sz w:val="20"/>
                <w:szCs w:val="20"/>
              </w:rPr>
              <w:t>2018–19</w:t>
            </w:r>
          </w:p>
        </w:tc>
        <w:tc>
          <w:tcPr>
            <w:tcW w:w="682" w:type="pct"/>
            <w:vAlign w:val="center"/>
          </w:tcPr>
          <w:p w:rsidR="00CA5D42" w:rsidRPr="00FA3351" w:rsidRDefault="00CA5D42" w:rsidP="001E0BEB">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FA3351">
              <w:rPr>
                <w:rFonts w:ascii="Calibri" w:hAnsi="Calibri"/>
                <w:b w:val="0"/>
                <w:sz w:val="20"/>
                <w:szCs w:val="20"/>
              </w:rPr>
              <w:t>2019–20</w:t>
            </w:r>
          </w:p>
        </w:tc>
        <w:tc>
          <w:tcPr>
            <w:tcW w:w="681" w:type="pct"/>
            <w:vAlign w:val="center"/>
          </w:tcPr>
          <w:p w:rsidR="00CA5D42" w:rsidRPr="00B73AC8" w:rsidRDefault="00CA5D42" w:rsidP="001E0BEB">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B73AC8">
              <w:rPr>
                <w:rFonts w:ascii="Calibri" w:hAnsi="Calibri"/>
                <w:sz w:val="20"/>
                <w:szCs w:val="20"/>
              </w:rPr>
              <w:t>Total</w:t>
            </w:r>
          </w:p>
        </w:tc>
      </w:tr>
      <w:tr w:rsidR="003B3F9A" w:rsidRPr="00B73AC8" w:rsidTr="001E0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vAlign w:val="center"/>
          </w:tcPr>
          <w:p w:rsidR="003B3F9A" w:rsidRPr="00C57F3F" w:rsidRDefault="003B3F9A" w:rsidP="001E0BEB">
            <w:pPr>
              <w:pStyle w:val="TableTextCentred"/>
              <w:keepNext/>
              <w:keepLines/>
              <w:spacing w:before="0" w:after="0" w:line="240" w:lineRule="auto"/>
              <w:ind w:left="57" w:right="57"/>
              <w:jc w:val="left"/>
              <w:rPr>
                <w:rFonts w:ascii="Calibri" w:hAnsi="Calibri"/>
                <w:szCs w:val="20"/>
              </w:rPr>
            </w:pPr>
            <w:r w:rsidRPr="00C57F3F">
              <w:rPr>
                <w:rFonts w:ascii="Calibri" w:hAnsi="Calibri"/>
                <w:szCs w:val="20"/>
              </w:rPr>
              <w:t>Fiscal balance</w:t>
            </w:r>
          </w:p>
        </w:tc>
        <w:tc>
          <w:tcPr>
            <w:tcW w:w="682" w:type="pct"/>
            <w:vAlign w:val="center"/>
          </w:tcPr>
          <w:p w:rsidR="003B3F9A" w:rsidRPr="00FF577D" w:rsidRDefault="003B3F9A" w:rsidP="001E0BEB">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FF577D">
              <w:t>-419</w:t>
            </w:r>
          </w:p>
        </w:tc>
        <w:tc>
          <w:tcPr>
            <w:tcW w:w="682" w:type="pct"/>
            <w:vAlign w:val="center"/>
          </w:tcPr>
          <w:p w:rsidR="003B3F9A" w:rsidRPr="00FF577D" w:rsidRDefault="003B3F9A" w:rsidP="001E0BEB">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FF577D">
              <w:t>-1,482</w:t>
            </w:r>
          </w:p>
        </w:tc>
        <w:tc>
          <w:tcPr>
            <w:tcW w:w="682" w:type="pct"/>
            <w:vAlign w:val="center"/>
          </w:tcPr>
          <w:p w:rsidR="003B3F9A" w:rsidRPr="00FF577D" w:rsidRDefault="003B3F9A" w:rsidP="001E0BEB">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FF577D">
              <w:t>-2,318</w:t>
            </w:r>
          </w:p>
        </w:tc>
        <w:tc>
          <w:tcPr>
            <w:tcW w:w="682" w:type="pct"/>
            <w:vAlign w:val="center"/>
          </w:tcPr>
          <w:p w:rsidR="003B3F9A" w:rsidRPr="00FF577D" w:rsidRDefault="003B3F9A" w:rsidP="001E0BEB">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FF577D">
              <w:t>-2,776</w:t>
            </w:r>
          </w:p>
        </w:tc>
        <w:tc>
          <w:tcPr>
            <w:tcW w:w="681" w:type="pct"/>
            <w:vAlign w:val="center"/>
          </w:tcPr>
          <w:p w:rsidR="003B3F9A" w:rsidRPr="003B3F9A" w:rsidRDefault="003B3F9A" w:rsidP="001E0BEB">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3B3F9A">
              <w:rPr>
                <w:b/>
              </w:rPr>
              <w:t>-6,995</w:t>
            </w:r>
          </w:p>
        </w:tc>
      </w:tr>
      <w:tr w:rsidR="003B3F9A" w:rsidRPr="00B73AC8" w:rsidTr="001E0BEB">
        <w:tc>
          <w:tcPr>
            <w:cnfStyle w:val="001000000000" w:firstRow="0" w:lastRow="0" w:firstColumn="1" w:lastColumn="0" w:oddVBand="0" w:evenVBand="0" w:oddHBand="0" w:evenHBand="0" w:firstRowFirstColumn="0" w:firstRowLastColumn="0" w:lastRowFirstColumn="0" w:lastRowLastColumn="0"/>
            <w:tcW w:w="1591" w:type="pct"/>
            <w:vAlign w:val="center"/>
          </w:tcPr>
          <w:p w:rsidR="003B3F9A" w:rsidRPr="00C57F3F" w:rsidRDefault="003B3F9A" w:rsidP="001E0BEB">
            <w:pPr>
              <w:pStyle w:val="TableTextCentred"/>
              <w:keepNext/>
              <w:keepLines/>
              <w:spacing w:before="0" w:after="0" w:line="240" w:lineRule="auto"/>
              <w:ind w:left="57" w:right="57"/>
              <w:jc w:val="left"/>
              <w:rPr>
                <w:rFonts w:ascii="Calibri" w:hAnsi="Calibri"/>
                <w:szCs w:val="20"/>
              </w:rPr>
            </w:pPr>
            <w:r w:rsidRPr="00C57F3F">
              <w:rPr>
                <w:rFonts w:ascii="Calibri" w:hAnsi="Calibri"/>
                <w:szCs w:val="20"/>
              </w:rPr>
              <w:t>Underlying cash balance</w:t>
            </w:r>
          </w:p>
        </w:tc>
        <w:tc>
          <w:tcPr>
            <w:tcW w:w="682" w:type="pct"/>
            <w:vAlign w:val="center"/>
          </w:tcPr>
          <w:p w:rsidR="003B3F9A" w:rsidRPr="007071B6" w:rsidRDefault="003B3F9A" w:rsidP="001E0BEB">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7071B6">
              <w:t>-408</w:t>
            </w:r>
          </w:p>
        </w:tc>
        <w:tc>
          <w:tcPr>
            <w:tcW w:w="682" w:type="pct"/>
            <w:vAlign w:val="center"/>
          </w:tcPr>
          <w:p w:rsidR="003B3F9A" w:rsidRPr="007071B6" w:rsidRDefault="003B3F9A" w:rsidP="001E0BEB">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7071B6">
              <w:t>-1,459</w:t>
            </w:r>
          </w:p>
        </w:tc>
        <w:tc>
          <w:tcPr>
            <w:tcW w:w="682" w:type="pct"/>
            <w:vAlign w:val="center"/>
          </w:tcPr>
          <w:p w:rsidR="003B3F9A" w:rsidRPr="007071B6" w:rsidRDefault="003B3F9A" w:rsidP="001E0BEB">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7071B6">
              <w:t>-2,303</w:t>
            </w:r>
          </w:p>
        </w:tc>
        <w:tc>
          <w:tcPr>
            <w:tcW w:w="682" w:type="pct"/>
            <w:vAlign w:val="center"/>
          </w:tcPr>
          <w:p w:rsidR="003B3F9A" w:rsidRPr="007071B6" w:rsidRDefault="003B3F9A" w:rsidP="001E0BEB">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7071B6">
              <w:t>-2,773</w:t>
            </w:r>
          </w:p>
        </w:tc>
        <w:tc>
          <w:tcPr>
            <w:tcW w:w="681" w:type="pct"/>
            <w:vAlign w:val="center"/>
          </w:tcPr>
          <w:p w:rsidR="003B3F9A" w:rsidRPr="003B3F9A" w:rsidRDefault="003B3F9A" w:rsidP="001E0BEB">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-6,943</w:t>
            </w:r>
          </w:p>
        </w:tc>
      </w:tr>
      <w:tr w:rsidR="003B3F9A" w:rsidRPr="00B73AC8" w:rsidTr="001E0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vAlign w:val="center"/>
          </w:tcPr>
          <w:p w:rsidR="003B3F9A" w:rsidRPr="00C57F3F" w:rsidRDefault="003B3F9A" w:rsidP="001E0BEB">
            <w:pPr>
              <w:pStyle w:val="TableTextCentred"/>
              <w:keepNext/>
              <w:keepLines/>
              <w:spacing w:before="0" w:after="0" w:line="240" w:lineRule="auto"/>
              <w:ind w:left="57" w:right="57"/>
              <w:jc w:val="left"/>
              <w:rPr>
                <w:rFonts w:ascii="Calibri" w:hAnsi="Calibri"/>
                <w:szCs w:val="20"/>
              </w:rPr>
            </w:pPr>
            <w:r w:rsidRPr="00C57F3F">
              <w:rPr>
                <w:rFonts w:ascii="Calibri" w:hAnsi="Calibri"/>
                <w:szCs w:val="20"/>
              </w:rPr>
              <w:t>Headline cash balance</w:t>
            </w:r>
          </w:p>
        </w:tc>
        <w:tc>
          <w:tcPr>
            <w:tcW w:w="682" w:type="pct"/>
            <w:vAlign w:val="center"/>
          </w:tcPr>
          <w:p w:rsidR="003B3F9A" w:rsidRPr="00DE702D" w:rsidRDefault="003B3F9A" w:rsidP="001E0BEB">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DE702D">
              <w:t>-408</w:t>
            </w:r>
          </w:p>
        </w:tc>
        <w:tc>
          <w:tcPr>
            <w:tcW w:w="682" w:type="pct"/>
            <w:vAlign w:val="center"/>
          </w:tcPr>
          <w:p w:rsidR="003B3F9A" w:rsidRPr="00DE702D" w:rsidRDefault="003B3F9A" w:rsidP="001E0BEB">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DE702D">
              <w:t>-1,504</w:t>
            </w:r>
          </w:p>
        </w:tc>
        <w:tc>
          <w:tcPr>
            <w:tcW w:w="682" w:type="pct"/>
            <w:vAlign w:val="center"/>
          </w:tcPr>
          <w:p w:rsidR="003B3F9A" w:rsidRPr="00DE702D" w:rsidRDefault="003B3F9A" w:rsidP="001E0BEB">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DE702D">
              <w:t>-2,364</w:t>
            </w:r>
          </w:p>
        </w:tc>
        <w:tc>
          <w:tcPr>
            <w:tcW w:w="682" w:type="pct"/>
            <w:vAlign w:val="center"/>
          </w:tcPr>
          <w:p w:rsidR="003B3F9A" w:rsidRPr="00DE702D" w:rsidRDefault="003B3F9A" w:rsidP="001E0BEB">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DE702D">
              <w:t>-2,776</w:t>
            </w:r>
          </w:p>
        </w:tc>
        <w:tc>
          <w:tcPr>
            <w:tcW w:w="681" w:type="pct"/>
            <w:vAlign w:val="center"/>
          </w:tcPr>
          <w:p w:rsidR="003B3F9A" w:rsidRPr="003B3F9A" w:rsidRDefault="003B3F9A" w:rsidP="001E0BEB">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3B3F9A">
              <w:rPr>
                <w:b/>
              </w:rPr>
              <w:t>-7,051</w:t>
            </w:r>
          </w:p>
        </w:tc>
      </w:tr>
    </w:tbl>
    <w:p w:rsidR="002338AC" w:rsidRDefault="002338AC" w:rsidP="002338AC">
      <w:pPr>
        <w:pStyle w:val="Footnotes"/>
        <w:keepNext/>
        <w:keepLines/>
        <w:numPr>
          <w:ilvl w:val="0"/>
          <w:numId w:val="7"/>
        </w:numPr>
        <w:ind w:left="284" w:hanging="284"/>
      </w:pPr>
      <w:r w:rsidRPr="002338AC">
        <w:t xml:space="preserve">A </w:t>
      </w:r>
      <w:r w:rsidR="00542677">
        <w:t>positive number indicates an increase in the relevant budget balance, a negative a decrease.</w:t>
      </w:r>
    </w:p>
    <w:p w:rsidR="007E786E" w:rsidRDefault="007E786E" w:rsidP="007E786E">
      <w:pPr>
        <w:pStyle w:val="Footnotes"/>
        <w:keepNext/>
        <w:keepLines/>
        <w:numPr>
          <w:ilvl w:val="0"/>
          <w:numId w:val="7"/>
        </w:numPr>
        <w:ind w:left="284" w:hanging="284"/>
      </w:pPr>
      <w:r w:rsidRPr="00AD54CA">
        <w:t>Figures may not sum to totals due to rounding.</w:t>
      </w:r>
    </w:p>
    <w:p w:rsidR="008D3909" w:rsidRPr="00FC6579" w:rsidRDefault="005E3562" w:rsidP="00E40B8B">
      <w:pPr>
        <w:pStyle w:val="Heading2"/>
      </w:pPr>
      <w:r w:rsidRPr="00FC6579">
        <w:t>Key assumptions</w:t>
      </w:r>
    </w:p>
    <w:p w:rsidR="002338AC" w:rsidRDefault="002338AC" w:rsidP="002338AC">
      <w:r>
        <w:t>In costing this proposal it has been</w:t>
      </w:r>
      <w:r w:rsidRPr="00B04C47">
        <w:t xml:space="preserve"> </w:t>
      </w:r>
      <w:r>
        <w:t>assumed that university funding is grown by labour productivity and the consumer price index beyond the forward estimates period</w:t>
      </w:r>
      <w:r w:rsidR="00907EE6">
        <w:t>.</w:t>
      </w:r>
    </w:p>
    <w:p w:rsidR="005E3562" w:rsidRPr="00FC6579" w:rsidRDefault="005E3562" w:rsidP="00E40B8B">
      <w:pPr>
        <w:pStyle w:val="Heading2"/>
      </w:pPr>
      <w:r w:rsidRPr="00FC6579">
        <w:t>Methodology</w:t>
      </w:r>
    </w:p>
    <w:p w:rsidR="002338AC" w:rsidRDefault="002338AC" w:rsidP="002338AC">
      <w:pPr>
        <w:rPr>
          <w:bCs/>
        </w:rPr>
      </w:pPr>
      <w:r>
        <w:t>As per the proposal</w:t>
      </w:r>
      <w:r w:rsidRPr="00D50E08">
        <w:t xml:space="preserve">, the costing applies the 10 per cent increase to the base funding estimates profile </w:t>
      </w:r>
      <w:r>
        <w:t>after reversing the effect of relevant measures in the</w:t>
      </w:r>
      <w:r w:rsidRPr="00D50E08">
        <w:t xml:space="preserve"> 2013</w:t>
      </w:r>
      <w:r w:rsidRPr="00D50E08">
        <w:noBreakHyphen/>
        <w:t xml:space="preserve">14 </w:t>
      </w:r>
      <w:r w:rsidR="00F8342E">
        <w:t>and 2014</w:t>
      </w:r>
      <w:r w:rsidR="00F8342E">
        <w:noBreakHyphen/>
        <w:t>15 </w:t>
      </w:r>
      <w:r>
        <w:t>Budgets</w:t>
      </w:r>
      <w:r w:rsidRPr="00D50E08">
        <w:t xml:space="preserve">. </w:t>
      </w:r>
      <w:r>
        <w:t xml:space="preserve"> Consistent with the costing request </w:t>
      </w:r>
      <w:r>
        <w:rPr>
          <w:bCs/>
        </w:rPr>
        <w:t>t</w:t>
      </w:r>
      <w:r w:rsidRPr="00D50E08">
        <w:rPr>
          <w:bCs/>
        </w:rPr>
        <w:t>he 10 per cent increase was applied to the estimates</w:t>
      </w:r>
      <w:r w:rsidRPr="00D50E08">
        <w:t xml:space="preserve"> in a phased approach at a rate of 2.5 pe</w:t>
      </w:r>
      <w:r>
        <w:t>r cent p</w:t>
      </w:r>
      <w:r w:rsidR="00F8342E">
        <w:t>er calendar year from 1 January </w:t>
      </w:r>
      <w:r>
        <w:t>2017</w:t>
      </w:r>
      <w:r w:rsidRPr="00D50E08">
        <w:t xml:space="preserve"> accumulatively up t</w:t>
      </w:r>
      <w:r>
        <w:rPr>
          <w:bCs/>
        </w:rPr>
        <w:t>o 10 per cent by 1 January 2020.</w:t>
      </w:r>
    </w:p>
    <w:p w:rsidR="003B3F9A" w:rsidRDefault="003B3F9A" w:rsidP="002338AC">
      <w:pPr>
        <w:rPr>
          <w:bCs/>
        </w:rPr>
      </w:pPr>
      <w:r>
        <w:rPr>
          <w:bCs/>
        </w:rPr>
        <w:t>Amounts have been rounded to the nearest $1 million.</w:t>
      </w:r>
    </w:p>
    <w:p w:rsidR="005E3562" w:rsidRPr="00FC6579" w:rsidRDefault="005E3562" w:rsidP="00E40B8B">
      <w:pPr>
        <w:pStyle w:val="Heading2"/>
      </w:pPr>
      <w:r w:rsidRPr="00FC6579">
        <w:t>Data sources</w:t>
      </w:r>
    </w:p>
    <w:p w:rsidR="002338AC" w:rsidRDefault="002338AC" w:rsidP="002338AC">
      <w:pPr>
        <w:pStyle w:val="ListParagraph"/>
        <w:numPr>
          <w:ilvl w:val="0"/>
          <w:numId w:val="14"/>
        </w:numPr>
        <w:spacing w:before="240" w:after="0" w:line="240" w:lineRule="auto"/>
        <w:ind w:left="284" w:hanging="284"/>
        <w:contextualSpacing w:val="0"/>
      </w:pPr>
      <w:r>
        <w:t>The 2013-14, 2014-15 and 2015-16 Budget papers and the 2015-16 Mid-Year Economic and Fiscal Outlook (MYEFO).</w:t>
      </w:r>
    </w:p>
    <w:p w:rsidR="002338AC" w:rsidRDefault="002338AC" w:rsidP="002338AC">
      <w:pPr>
        <w:pStyle w:val="ListParagraph"/>
        <w:numPr>
          <w:ilvl w:val="0"/>
          <w:numId w:val="14"/>
        </w:numPr>
        <w:spacing w:before="240" w:after="0" w:line="240" w:lineRule="auto"/>
        <w:ind w:left="284" w:hanging="284"/>
        <w:contextualSpacing w:val="0"/>
      </w:pPr>
      <w:r>
        <w:t>The Treasury provided economic parameters as at the 2016-17 Budget.</w:t>
      </w:r>
    </w:p>
    <w:p w:rsidR="001A02D1" w:rsidRPr="00FC6579" w:rsidRDefault="001A02D1" w:rsidP="002338AC">
      <w:pPr>
        <w:pStyle w:val="Heading1"/>
      </w:pPr>
      <w:r w:rsidRPr="00FC6579">
        <w:lastRenderedPageBreak/>
        <w:t>Attachment A:</w:t>
      </w:r>
      <w:r w:rsidR="002338AC">
        <w:t xml:space="preserve"> Higher Education measures from the 2013</w:t>
      </w:r>
      <w:r w:rsidR="00F8342E">
        <w:noBreakHyphen/>
      </w:r>
      <w:r w:rsidR="002338AC">
        <w:t>14</w:t>
      </w:r>
      <w:r w:rsidR="00F8342E">
        <w:t> </w:t>
      </w:r>
      <w:r w:rsidR="002338AC">
        <w:t xml:space="preserve">Budget and 2014-15 Budget </w:t>
      </w:r>
      <w:r w:rsidR="006B40D7">
        <w:t>that would be reversed under this proposal</w:t>
      </w:r>
    </w:p>
    <w:p w:rsidR="002338AC" w:rsidRDefault="002338AC" w:rsidP="002338AC">
      <w:pPr>
        <w:pStyle w:val="Heading2"/>
      </w:pPr>
      <w:r>
        <w:t xml:space="preserve">2013-14 Budget </w:t>
      </w:r>
    </w:p>
    <w:p w:rsidR="002338AC" w:rsidRDefault="002338AC" w:rsidP="002338AC">
      <w:pPr>
        <w:pStyle w:val="ListParagraph"/>
        <w:keepNext/>
        <w:numPr>
          <w:ilvl w:val="0"/>
          <w:numId w:val="15"/>
        </w:numPr>
        <w:spacing w:before="240" w:after="0" w:line="240" w:lineRule="auto"/>
        <w:ind w:left="284" w:hanging="284"/>
        <w:contextualSpacing w:val="0"/>
      </w:pPr>
      <w:r w:rsidRPr="007C1E15">
        <w:t>Student Start-up Scholarships - conversion to Income Contingent Loans</w:t>
      </w:r>
    </w:p>
    <w:p w:rsidR="002338AC" w:rsidRDefault="002338AC" w:rsidP="002338AC">
      <w:pPr>
        <w:pStyle w:val="Heading2"/>
      </w:pPr>
      <w:r>
        <w:t>2014-15 Budget</w:t>
      </w:r>
    </w:p>
    <w:p w:rsidR="002338AC" w:rsidRPr="007C1E15" w:rsidRDefault="002338AC" w:rsidP="002338AC">
      <w:pPr>
        <w:pStyle w:val="ListParagraph"/>
        <w:keepNext/>
        <w:numPr>
          <w:ilvl w:val="0"/>
          <w:numId w:val="15"/>
        </w:numPr>
        <w:spacing w:before="240" w:after="0" w:line="240" w:lineRule="auto"/>
        <w:ind w:left="284" w:hanging="284"/>
        <w:contextualSpacing w:val="0"/>
      </w:pPr>
      <w:r w:rsidRPr="007C1E15">
        <w:t xml:space="preserve">Expanding </w:t>
      </w:r>
      <w:r>
        <w:t>O</w:t>
      </w:r>
      <w:r w:rsidRPr="007C1E15">
        <w:t>pportunity - Higher Education Indexation - revised arrangements</w:t>
      </w:r>
    </w:p>
    <w:p w:rsidR="002338AC" w:rsidRPr="007C1E15" w:rsidRDefault="002338AC" w:rsidP="002338AC">
      <w:pPr>
        <w:pStyle w:val="ListParagraph"/>
        <w:keepNext/>
        <w:numPr>
          <w:ilvl w:val="0"/>
          <w:numId w:val="15"/>
        </w:numPr>
        <w:spacing w:before="240" w:after="0" w:line="240" w:lineRule="auto"/>
        <w:ind w:left="284" w:hanging="284"/>
        <w:contextualSpacing w:val="0"/>
      </w:pPr>
      <w:r w:rsidRPr="007C1E15">
        <w:t xml:space="preserve">Expanding </w:t>
      </w:r>
      <w:r>
        <w:t>O</w:t>
      </w:r>
      <w:r w:rsidRPr="007C1E15">
        <w:t>pportunity - a more effective Higher Education Participation Programme</w:t>
      </w:r>
    </w:p>
    <w:p w:rsidR="002338AC" w:rsidRPr="007C1E15" w:rsidRDefault="002338AC" w:rsidP="002338AC">
      <w:pPr>
        <w:pStyle w:val="ListParagraph"/>
        <w:keepNext/>
        <w:numPr>
          <w:ilvl w:val="0"/>
          <w:numId w:val="15"/>
        </w:numPr>
        <w:spacing w:before="240" w:after="0" w:line="240" w:lineRule="auto"/>
        <w:ind w:left="284" w:hanging="284"/>
        <w:contextualSpacing w:val="0"/>
      </w:pPr>
      <w:r w:rsidRPr="007C1E15">
        <w:t xml:space="preserve">Expanding </w:t>
      </w:r>
      <w:r>
        <w:t>O</w:t>
      </w:r>
      <w:r w:rsidRPr="007C1E15">
        <w:t>pportunity - expansion of the demand driven system and sharing the cost fairly</w:t>
      </w:r>
    </w:p>
    <w:p w:rsidR="002338AC" w:rsidRPr="007C1E15" w:rsidRDefault="002338AC" w:rsidP="002338AC">
      <w:pPr>
        <w:pStyle w:val="ListParagraph"/>
        <w:keepNext/>
        <w:numPr>
          <w:ilvl w:val="0"/>
          <w:numId w:val="15"/>
        </w:numPr>
        <w:spacing w:before="240" w:after="0" w:line="240" w:lineRule="auto"/>
        <w:ind w:left="284" w:hanging="284"/>
        <w:contextualSpacing w:val="0"/>
      </w:pPr>
      <w:r w:rsidRPr="007C1E15">
        <w:t xml:space="preserve">A </w:t>
      </w:r>
      <w:r>
        <w:t>S</w:t>
      </w:r>
      <w:r w:rsidRPr="007C1E15">
        <w:t xml:space="preserve">ustainable Higher Education </w:t>
      </w:r>
      <w:r>
        <w:t>S</w:t>
      </w:r>
      <w:r w:rsidRPr="007C1E15">
        <w:t>ystem - Higher Education Reward Funding – cessation</w:t>
      </w:r>
    </w:p>
    <w:p w:rsidR="002338AC" w:rsidRPr="007C1E15" w:rsidRDefault="002338AC" w:rsidP="002338AC">
      <w:pPr>
        <w:pStyle w:val="ListParagraph"/>
        <w:keepNext/>
        <w:numPr>
          <w:ilvl w:val="0"/>
          <w:numId w:val="15"/>
        </w:numPr>
        <w:spacing w:before="240" w:after="0" w:line="240" w:lineRule="auto"/>
        <w:ind w:left="284" w:hanging="284"/>
        <w:contextualSpacing w:val="0"/>
      </w:pPr>
      <w:r w:rsidRPr="007C1E15">
        <w:t xml:space="preserve">A </w:t>
      </w:r>
      <w:r>
        <w:t>S</w:t>
      </w:r>
      <w:r w:rsidRPr="007C1E15">
        <w:t xml:space="preserve">ustainable Higher Education </w:t>
      </w:r>
      <w:r>
        <w:t>S</w:t>
      </w:r>
      <w:r w:rsidRPr="007C1E15">
        <w:t>ystem - Research Training Scheme - student contributions</w:t>
      </w:r>
    </w:p>
    <w:p w:rsidR="00846EFC" w:rsidRDefault="00846EFC" w:rsidP="00FC6579">
      <w:pPr>
        <w:pStyle w:val="Heading2"/>
        <w:sectPr w:rsidR="00846EFC" w:rsidSect="00244CA4">
          <w:headerReference w:type="first" r:id="rId14"/>
          <w:footerReference w:type="first" r:id="rId15"/>
          <w:pgSz w:w="11906" w:h="16838"/>
          <w:pgMar w:top="1361" w:right="1797" w:bottom="1134" w:left="1797" w:header="709" w:footer="709" w:gutter="0"/>
          <w:cols w:space="708"/>
          <w:titlePg/>
          <w:docGrid w:linePitch="360"/>
        </w:sectPr>
      </w:pPr>
    </w:p>
    <w:p w:rsidR="002338AC" w:rsidRPr="00FC6579" w:rsidRDefault="002338AC" w:rsidP="00053B34">
      <w:pPr>
        <w:pStyle w:val="Heading1"/>
        <w:spacing w:before="0" w:after="0"/>
      </w:pPr>
      <w:r w:rsidRPr="00FC6579">
        <w:lastRenderedPageBreak/>
        <w:t xml:space="preserve">Attachment </w:t>
      </w:r>
      <w:r w:rsidR="005E0257">
        <w:t>B</w:t>
      </w:r>
      <w:r w:rsidRPr="00FC6579">
        <w:t>:</w:t>
      </w:r>
      <w:r w:rsidR="005E0257">
        <w:t xml:space="preserve"> </w:t>
      </w:r>
      <w:r w:rsidR="00764506">
        <w:t>Universities</w:t>
      </w:r>
      <w:r>
        <w:t>:</w:t>
      </w:r>
      <w:r w:rsidRPr="002338AC">
        <w:t xml:space="preserve"> Base Funding Lift</w:t>
      </w:r>
      <w:r>
        <w:t xml:space="preserve"> — financial implications</w:t>
      </w:r>
    </w:p>
    <w:p w:rsidR="00EA265F" w:rsidRPr="00E30FB5" w:rsidRDefault="00EA265F" w:rsidP="00EA265F">
      <w:pPr>
        <w:pStyle w:val="Captionheading"/>
        <w:rPr>
          <w:vertAlign w:val="superscript"/>
        </w:rPr>
      </w:pPr>
      <w:r w:rsidRPr="00FC5643">
        <w:t xml:space="preserve">Table </w:t>
      </w:r>
      <w:r w:rsidR="005E0257">
        <w:t>B</w:t>
      </w:r>
      <w:r>
        <w:t>1</w:t>
      </w:r>
      <w:r w:rsidRPr="00FC5643">
        <w:t xml:space="preserve">: </w:t>
      </w:r>
      <w:r>
        <w:t xml:space="preserve">Fiscal </w:t>
      </w:r>
      <w:proofErr w:type="gramStart"/>
      <w:r>
        <w:t>balance</w:t>
      </w:r>
      <w:r>
        <w:rPr>
          <w:vertAlign w:val="superscript"/>
        </w:rPr>
        <w:t>(</w:t>
      </w:r>
      <w:proofErr w:type="gramEnd"/>
      <w:r>
        <w:rPr>
          <w:vertAlign w:val="superscript"/>
        </w:rPr>
        <w:t>a)</w:t>
      </w:r>
      <w:r w:rsidR="006B40D7">
        <w:rPr>
          <w:vertAlign w:val="superscript"/>
        </w:rPr>
        <w:t>(b)</w:t>
      </w:r>
    </w:p>
    <w:tbl>
      <w:tblPr>
        <w:tblStyle w:val="TableGrid"/>
        <w:tblW w:w="4948" w:type="pct"/>
        <w:tblLook w:val="0680" w:firstRow="0" w:lastRow="0" w:firstColumn="1" w:lastColumn="0" w:noHBand="1" w:noVBand="1"/>
      </w:tblPr>
      <w:tblGrid>
        <w:gridCol w:w="2191"/>
        <w:gridCol w:w="927"/>
        <w:gridCol w:w="924"/>
        <w:gridCol w:w="923"/>
        <w:gridCol w:w="923"/>
        <w:gridCol w:w="929"/>
        <w:gridCol w:w="923"/>
        <w:gridCol w:w="923"/>
        <w:gridCol w:w="923"/>
        <w:gridCol w:w="923"/>
        <w:gridCol w:w="923"/>
        <w:gridCol w:w="923"/>
        <w:gridCol w:w="923"/>
        <w:gridCol w:w="926"/>
      </w:tblGrid>
      <w:tr w:rsidR="00846EFC" w:rsidRPr="00B31810" w:rsidTr="0076450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vAlign w:val="center"/>
          </w:tcPr>
          <w:p w:rsidR="00846EFC" w:rsidRPr="00B31810" w:rsidRDefault="00846EFC" w:rsidP="00764506">
            <w:pPr>
              <w:keepNext/>
              <w:keepLines/>
              <w:spacing w:before="70" w:after="70" w:line="240" w:lineRule="auto"/>
              <w:ind w:left="57" w:right="57"/>
            </w:pPr>
            <w:r w:rsidRPr="00B31810">
              <w:t>($m)</w:t>
            </w:r>
          </w:p>
        </w:tc>
        <w:tc>
          <w:tcPr>
            <w:tcW w:w="326"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vAlign w:val="center"/>
          </w:tcPr>
          <w:p w:rsidR="00846EFC" w:rsidRPr="00AE30B5"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vAlign w:val="center"/>
          </w:tcPr>
          <w:p w:rsidR="00846EFC" w:rsidRPr="00AE30B5"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3B3F9A" w:rsidTr="00764506">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3B3F9A" w:rsidRPr="0007264D" w:rsidRDefault="003B3F9A" w:rsidP="00764506">
            <w:pPr>
              <w:keepNext/>
              <w:keepLines/>
              <w:spacing w:before="70" w:after="70" w:line="240" w:lineRule="auto"/>
              <w:ind w:left="57" w:right="57"/>
            </w:pPr>
            <w:r w:rsidRPr="00C57F3F">
              <w:rPr>
                <w:sz w:val="20"/>
                <w:szCs w:val="20"/>
              </w:rPr>
              <w:t>Additional cost from proposed increase in university funding</w:t>
            </w:r>
            <w:r w:rsidRPr="00C57F3F">
              <w:rPr>
                <w:sz w:val="20"/>
                <w:szCs w:val="20"/>
                <w:vertAlign w:val="superscript"/>
              </w:rPr>
              <w:t>(</w:t>
            </w:r>
            <w:r w:rsidR="006B40D7">
              <w:rPr>
                <w:sz w:val="20"/>
                <w:szCs w:val="20"/>
                <w:vertAlign w:val="superscript"/>
              </w:rPr>
              <w:t>c</w:t>
            </w:r>
            <w:r w:rsidRPr="00C57F3F">
              <w:rPr>
                <w:sz w:val="20"/>
                <w:szCs w:val="20"/>
                <w:vertAlign w:val="superscript"/>
              </w:rPr>
              <w:t>)</w:t>
            </w:r>
          </w:p>
        </w:tc>
        <w:tc>
          <w:tcPr>
            <w:tcW w:w="326"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-128</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-397</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-685</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-989</w:t>
            </w:r>
          </w:p>
        </w:tc>
        <w:tc>
          <w:tcPr>
            <w:tcW w:w="327" w:type="pct"/>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-2,198</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-1,161</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-1,193</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-1,227</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-1,263</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-1,300</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-1,338</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-1,377</w:t>
            </w:r>
          </w:p>
        </w:tc>
        <w:tc>
          <w:tcPr>
            <w:tcW w:w="326" w:type="pct"/>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-11,056</w:t>
            </w:r>
          </w:p>
        </w:tc>
      </w:tr>
      <w:tr w:rsidR="003B3F9A" w:rsidTr="00764506">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3B3F9A" w:rsidRPr="0007264D" w:rsidRDefault="003B3F9A" w:rsidP="00764506">
            <w:pPr>
              <w:keepNext/>
              <w:keepLines/>
              <w:spacing w:before="70" w:after="70" w:line="240" w:lineRule="auto"/>
              <w:ind w:left="57" w:right="57"/>
            </w:pPr>
            <w:r w:rsidRPr="00C57F3F">
              <w:rPr>
                <w:sz w:val="20"/>
                <w:szCs w:val="20"/>
              </w:rPr>
              <w:t>Impact of reversing budget measures</w:t>
            </w:r>
          </w:p>
        </w:tc>
        <w:tc>
          <w:tcPr>
            <w:tcW w:w="326"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-291</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-1,091</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-1,657</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-1,838</w:t>
            </w:r>
          </w:p>
        </w:tc>
        <w:tc>
          <w:tcPr>
            <w:tcW w:w="327" w:type="pct"/>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-4,877</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-2,047</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-2,273</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-2,512</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-2,767</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-3,035</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-3,305</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-3,591</w:t>
            </w:r>
          </w:p>
        </w:tc>
        <w:tc>
          <w:tcPr>
            <w:tcW w:w="326" w:type="pct"/>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-24,407</w:t>
            </w:r>
          </w:p>
        </w:tc>
      </w:tr>
      <w:tr w:rsidR="003B3F9A" w:rsidTr="00764506">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3B3F9A" w:rsidRPr="0007264D" w:rsidRDefault="003B3F9A" w:rsidP="00764506">
            <w:pPr>
              <w:keepNext/>
              <w:keepLines/>
              <w:spacing w:before="70" w:after="70" w:line="240" w:lineRule="auto"/>
              <w:ind w:left="57" w:right="57"/>
            </w:pPr>
            <w:r w:rsidRPr="00C57F3F">
              <w:rPr>
                <w:sz w:val="20"/>
                <w:szCs w:val="20"/>
              </w:rPr>
              <w:t>PDI</w:t>
            </w:r>
            <w:r w:rsidRPr="00C57F3F">
              <w:rPr>
                <w:sz w:val="20"/>
                <w:szCs w:val="20"/>
                <w:vertAlign w:val="superscript"/>
              </w:rPr>
              <w:t>(</w:t>
            </w:r>
            <w:r w:rsidR="006B40D7">
              <w:rPr>
                <w:sz w:val="20"/>
                <w:szCs w:val="20"/>
                <w:vertAlign w:val="superscript"/>
              </w:rPr>
              <w:t>d</w:t>
            </w:r>
            <w:r w:rsidRPr="00C57F3F">
              <w:rPr>
                <w:sz w:val="20"/>
                <w:szCs w:val="20"/>
                <w:vertAlign w:val="superscript"/>
              </w:rPr>
              <w:t>)</w:t>
            </w:r>
          </w:p>
        </w:tc>
        <w:tc>
          <w:tcPr>
            <w:tcW w:w="326"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6</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24</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50</w:t>
            </w:r>
          </w:p>
        </w:tc>
        <w:tc>
          <w:tcPr>
            <w:tcW w:w="327" w:type="pct"/>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80</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104</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170</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247</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333</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430</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535</w:t>
            </w:r>
          </w:p>
        </w:tc>
        <w:tc>
          <w:tcPr>
            <w:tcW w:w="325" w:type="pct"/>
            <w:vAlign w:val="center"/>
          </w:tcPr>
          <w:p w:rsidR="003B3F9A" w:rsidRPr="00531998"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31998">
              <w:t>652</w:t>
            </w:r>
          </w:p>
        </w:tc>
        <w:tc>
          <w:tcPr>
            <w:tcW w:w="326" w:type="pct"/>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2,552</w:t>
            </w:r>
          </w:p>
        </w:tc>
      </w:tr>
      <w:tr w:rsidR="003B3F9A" w:rsidRPr="008D6ECA" w:rsidTr="0076450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E9ECF3"/>
            <w:vAlign w:val="center"/>
          </w:tcPr>
          <w:p w:rsidR="003B3F9A" w:rsidRPr="008D6ECA" w:rsidRDefault="003B3F9A" w:rsidP="00764506">
            <w:pPr>
              <w:keepNext/>
              <w:keepLines/>
              <w:spacing w:before="70" w:after="70" w:line="240" w:lineRule="auto"/>
              <w:ind w:left="57" w:right="57"/>
              <w:rPr>
                <w:b/>
              </w:rPr>
            </w:pPr>
            <w:r>
              <w:rPr>
                <w:b/>
              </w:rPr>
              <w:t>Total</w:t>
            </w:r>
          </w:p>
        </w:tc>
        <w:tc>
          <w:tcPr>
            <w:tcW w:w="326"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-419</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-1,482</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-2,318</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-2,776</w:t>
            </w:r>
          </w:p>
        </w:tc>
        <w:tc>
          <w:tcPr>
            <w:tcW w:w="327"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-6,995</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-3,104</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-3,296</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-3,493</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-3,696</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-3,904</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-4,107</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-4,316</w:t>
            </w:r>
          </w:p>
        </w:tc>
        <w:tc>
          <w:tcPr>
            <w:tcW w:w="326"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-32,911</w:t>
            </w:r>
          </w:p>
        </w:tc>
      </w:tr>
    </w:tbl>
    <w:p w:rsidR="007E786E" w:rsidRPr="007E786E" w:rsidRDefault="007E786E" w:rsidP="007E786E">
      <w:pPr>
        <w:pStyle w:val="Footnotes"/>
        <w:numPr>
          <w:ilvl w:val="0"/>
          <w:numId w:val="16"/>
        </w:numPr>
        <w:ind w:left="284" w:hanging="284"/>
      </w:pPr>
      <w:r w:rsidRPr="007E786E">
        <w:t>A positive number for the fiscal balance indicates an increase in revenue or a decrease in expenses or net capital investment in accrual terms.</w:t>
      </w:r>
      <w:r w:rsidR="00764506">
        <w:t xml:space="preserve"> </w:t>
      </w:r>
      <w:r w:rsidRPr="007E786E">
        <w:t xml:space="preserve"> A negative number for the fiscal balance indicates a decrease in revenue or an increase in expenses or net capital investment in accrual terms.</w:t>
      </w:r>
    </w:p>
    <w:p w:rsidR="00846EFC" w:rsidRDefault="00846EFC" w:rsidP="00846EFC">
      <w:pPr>
        <w:pStyle w:val="Footnotes"/>
        <w:numPr>
          <w:ilvl w:val="0"/>
          <w:numId w:val="16"/>
        </w:numPr>
        <w:ind w:left="284" w:hanging="284"/>
      </w:pPr>
      <w:r>
        <w:t>Figures may not sum to totals due to rounding.</w:t>
      </w:r>
    </w:p>
    <w:p w:rsidR="00846EFC" w:rsidRDefault="00846EFC" w:rsidP="00846EFC">
      <w:pPr>
        <w:pStyle w:val="Footnotes"/>
      </w:pPr>
      <w:r>
        <w:t>The increase in university spending has been phased at a rate of 2.5 per cent per calendar year from 1 January 2017 accumulatively up to 10 per cent by 1 January 2020.</w:t>
      </w:r>
    </w:p>
    <w:p w:rsidR="00846EFC" w:rsidRDefault="00846EFC" w:rsidP="00846EFC">
      <w:pPr>
        <w:pStyle w:val="Footnotes"/>
      </w:pPr>
      <w:r>
        <w:t xml:space="preserve">PDI is calculated only on the reversal of the measure: </w:t>
      </w:r>
      <w:r w:rsidRPr="005E0257">
        <w:rPr>
          <w:i/>
        </w:rPr>
        <w:t>Expanding Opportunity – expansion of the demand driven system and sharing the cost fairly</w:t>
      </w:r>
      <w:r>
        <w:t>.</w:t>
      </w:r>
    </w:p>
    <w:p w:rsidR="00024885" w:rsidRDefault="00024885" w:rsidP="00764506">
      <w:pPr>
        <w:pStyle w:val="Footnotes"/>
        <w:numPr>
          <w:ilvl w:val="0"/>
          <w:numId w:val="23"/>
        </w:numPr>
        <w:ind w:left="284" w:hanging="284"/>
      </w:pPr>
      <w:r>
        <w:t>Indicates nil.</w:t>
      </w:r>
    </w:p>
    <w:p w:rsidR="005E0257" w:rsidRDefault="005E0257" w:rsidP="005E0257">
      <w:pPr>
        <w:pStyle w:val="Captionheading"/>
        <w:rPr>
          <w:vertAlign w:val="superscript"/>
        </w:rPr>
      </w:pPr>
      <w:r w:rsidRPr="00FC5643">
        <w:lastRenderedPageBreak/>
        <w:t xml:space="preserve">Table </w:t>
      </w:r>
      <w:r>
        <w:t>B2</w:t>
      </w:r>
      <w:r w:rsidRPr="00FC5643">
        <w:t xml:space="preserve">: </w:t>
      </w:r>
      <w:r>
        <w:t xml:space="preserve">Underlying cash </w:t>
      </w:r>
      <w:proofErr w:type="gramStart"/>
      <w:r>
        <w:t>balance</w:t>
      </w:r>
      <w:r w:rsidR="00244CA4">
        <w:rPr>
          <w:vertAlign w:val="superscript"/>
        </w:rPr>
        <w:t>(</w:t>
      </w:r>
      <w:proofErr w:type="gramEnd"/>
      <w:r w:rsidR="00244CA4">
        <w:rPr>
          <w:vertAlign w:val="superscript"/>
        </w:rPr>
        <w:t>a)</w:t>
      </w:r>
      <w:r w:rsidR="006B40D7">
        <w:rPr>
          <w:vertAlign w:val="superscript"/>
        </w:rPr>
        <w:t>(b)</w:t>
      </w:r>
    </w:p>
    <w:tbl>
      <w:tblPr>
        <w:tblStyle w:val="TableGrid"/>
        <w:tblW w:w="4948" w:type="pct"/>
        <w:tblLook w:val="0680" w:firstRow="0" w:lastRow="0" w:firstColumn="1" w:lastColumn="0" w:noHBand="1" w:noVBand="1"/>
      </w:tblPr>
      <w:tblGrid>
        <w:gridCol w:w="2191"/>
        <w:gridCol w:w="927"/>
        <w:gridCol w:w="924"/>
        <w:gridCol w:w="923"/>
        <w:gridCol w:w="923"/>
        <w:gridCol w:w="929"/>
        <w:gridCol w:w="923"/>
        <w:gridCol w:w="923"/>
        <w:gridCol w:w="923"/>
        <w:gridCol w:w="923"/>
        <w:gridCol w:w="923"/>
        <w:gridCol w:w="923"/>
        <w:gridCol w:w="923"/>
        <w:gridCol w:w="926"/>
      </w:tblGrid>
      <w:tr w:rsidR="00846EFC" w:rsidRPr="00B31810" w:rsidTr="0076450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vAlign w:val="center"/>
          </w:tcPr>
          <w:p w:rsidR="00846EFC" w:rsidRPr="00B31810" w:rsidRDefault="00846EFC" w:rsidP="00764506">
            <w:pPr>
              <w:keepNext/>
              <w:keepLines/>
              <w:spacing w:before="70" w:after="70" w:line="240" w:lineRule="auto"/>
              <w:ind w:left="57" w:right="57"/>
            </w:pPr>
            <w:r w:rsidRPr="00B31810">
              <w:t>($m)</w:t>
            </w:r>
          </w:p>
        </w:tc>
        <w:tc>
          <w:tcPr>
            <w:tcW w:w="326"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vAlign w:val="center"/>
          </w:tcPr>
          <w:p w:rsidR="00846EFC" w:rsidRPr="00AE30B5"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vAlign w:val="center"/>
          </w:tcPr>
          <w:p w:rsidR="00846EFC" w:rsidRPr="00C24267"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vAlign w:val="center"/>
          </w:tcPr>
          <w:p w:rsidR="00846EFC" w:rsidRPr="00AE30B5" w:rsidRDefault="00846EFC" w:rsidP="0076450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3B3F9A" w:rsidTr="00764506">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3B3F9A" w:rsidRPr="0007264D" w:rsidRDefault="003B3F9A" w:rsidP="00764506">
            <w:pPr>
              <w:keepNext/>
              <w:keepLines/>
              <w:spacing w:before="70" w:after="70" w:line="240" w:lineRule="auto"/>
              <w:ind w:left="57" w:right="57"/>
            </w:pPr>
            <w:r w:rsidRPr="00C57F3F">
              <w:rPr>
                <w:sz w:val="20"/>
                <w:szCs w:val="20"/>
              </w:rPr>
              <w:t>Additional cost from proposed increase in university funding</w:t>
            </w:r>
            <w:r w:rsidRPr="00C57F3F">
              <w:rPr>
                <w:sz w:val="20"/>
                <w:szCs w:val="20"/>
                <w:vertAlign w:val="superscript"/>
              </w:rPr>
              <w:t>(</w:t>
            </w:r>
            <w:r w:rsidR="006B40D7">
              <w:rPr>
                <w:sz w:val="20"/>
                <w:szCs w:val="20"/>
                <w:vertAlign w:val="superscript"/>
              </w:rPr>
              <w:t>c)</w:t>
            </w:r>
          </w:p>
        </w:tc>
        <w:tc>
          <w:tcPr>
            <w:tcW w:w="326"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-129</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-402</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-697</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-1,008</w:t>
            </w:r>
          </w:p>
        </w:tc>
        <w:tc>
          <w:tcPr>
            <w:tcW w:w="327" w:type="pct"/>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-2,237</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-1,183</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-1,215</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-1,249</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-1,284</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-1,321</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-1,358</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-1,397</w:t>
            </w:r>
          </w:p>
        </w:tc>
        <w:tc>
          <w:tcPr>
            <w:tcW w:w="326" w:type="pct"/>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-11,245</w:t>
            </w:r>
          </w:p>
        </w:tc>
      </w:tr>
      <w:tr w:rsidR="003B3F9A" w:rsidTr="00764506">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3B3F9A" w:rsidRPr="0007264D" w:rsidRDefault="003B3F9A" w:rsidP="00764506">
            <w:pPr>
              <w:keepNext/>
              <w:keepLines/>
              <w:spacing w:before="70" w:after="70" w:line="240" w:lineRule="auto"/>
              <w:ind w:left="57" w:right="57"/>
            </w:pPr>
            <w:r w:rsidRPr="00C57F3F">
              <w:rPr>
                <w:sz w:val="20"/>
                <w:szCs w:val="20"/>
              </w:rPr>
              <w:t>Impact of reversing budget measures</w:t>
            </w:r>
          </w:p>
        </w:tc>
        <w:tc>
          <w:tcPr>
            <w:tcW w:w="326"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-279</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-1,062</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-1,629</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-1,813</w:t>
            </w:r>
          </w:p>
        </w:tc>
        <w:tc>
          <w:tcPr>
            <w:tcW w:w="327" w:type="pct"/>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-4,783</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-2,021</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-2,244</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-2,475</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-2,718</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-2,983</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-3,248</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-3,530</w:t>
            </w:r>
          </w:p>
        </w:tc>
        <w:tc>
          <w:tcPr>
            <w:tcW w:w="326" w:type="pct"/>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-24,003</w:t>
            </w:r>
          </w:p>
        </w:tc>
      </w:tr>
      <w:tr w:rsidR="003B3F9A" w:rsidTr="00764506">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3B3F9A" w:rsidRPr="0007264D" w:rsidRDefault="003B3F9A" w:rsidP="00764506">
            <w:pPr>
              <w:keepNext/>
              <w:keepLines/>
              <w:spacing w:before="70" w:after="70" w:line="240" w:lineRule="auto"/>
              <w:ind w:left="57" w:right="57"/>
            </w:pPr>
            <w:r w:rsidRPr="00C57F3F">
              <w:rPr>
                <w:sz w:val="20"/>
                <w:szCs w:val="20"/>
              </w:rPr>
              <w:t>PDI</w:t>
            </w:r>
            <w:r w:rsidRPr="00C57F3F">
              <w:rPr>
                <w:sz w:val="20"/>
                <w:szCs w:val="20"/>
                <w:vertAlign w:val="superscript"/>
              </w:rPr>
              <w:t>(</w:t>
            </w:r>
            <w:r w:rsidR="006B40D7">
              <w:rPr>
                <w:sz w:val="20"/>
                <w:szCs w:val="20"/>
                <w:vertAlign w:val="superscript"/>
              </w:rPr>
              <w:t>d)</w:t>
            </w:r>
          </w:p>
        </w:tc>
        <w:tc>
          <w:tcPr>
            <w:tcW w:w="326"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5</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23</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48</w:t>
            </w:r>
          </w:p>
        </w:tc>
        <w:tc>
          <w:tcPr>
            <w:tcW w:w="327" w:type="pct"/>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77</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100</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166</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241</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327</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423</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528</w:t>
            </w:r>
          </w:p>
        </w:tc>
        <w:tc>
          <w:tcPr>
            <w:tcW w:w="325" w:type="pct"/>
            <w:vAlign w:val="center"/>
          </w:tcPr>
          <w:p w:rsidR="003B3F9A" w:rsidRPr="005D4940"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5D4940">
              <w:t>644</w:t>
            </w:r>
          </w:p>
        </w:tc>
        <w:tc>
          <w:tcPr>
            <w:tcW w:w="326" w:type="pct"/>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2,506</w:t>
            </w:r>
          </w:p>
        </w:tc>
      </w:tr>
      <w:tr w:rsidR="003B3F9A" w:rsidRPr="008D6ECA" w:rsidTr="0076450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E9ECF3"/>
            <w:vAlign w:val="center"/>
          </w:tcPr>
          <w:p w:rsidR="003B3F9A" w:rsidRPr="008D6ECA" w:rsidRDefault="003B3F9A" w:rsidP="00764506">
            <w:pPr>
              <w:keepNext/>
              <w:keepLines/>
              <w:spacing w:before="70" w:after="70" w:line="240" w:lineRule="auto"/>
              <w:ind w:left="57" w:right="57"/>
              <w:rPr>
                <w:b/>
              </w:rPr>
            </w:pPr>
            <w:r>
              <w:rPr>
                <w:b/>
              </w:rPr>
              <w:t>Total</w:t>
            </w:r>
          </w:p>
        </w:tc>
        <w:tc>
          <w:tcPr>
            <w:tcW w:w="326"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-408</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-1,459</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-2,303</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-2,773</w:t>
            </w:r>
          </w:p>
        </w:tc>
        <w:tc>
          <w:tcPr>
            <w:tcW w:w="327"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-6,943</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-3,104</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-3,293</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-3,483</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-3,675</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-3,880</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-4,079</w:t>
            </w:r>
          </w:p>
        </w:tc>
        <w:tc>
          <w:tcPr>
            <w:tcW w:w="325"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-4,284</w:t>
            </w:r>
          </w:p>
        </w:tc>
        <w:tc>
          <w:tcPr>
            <w:tcW w:w="326" w:type="pct"/>
            <w:shd w:val="clear" w:color="auto" w:fill="E9ECF3"/>
            <w:vAlign w:val="center"/>
          </w:tcPr>
          <w:p w:rsidR="003B3F9A" w:rsidRPr="003B3F9A" w:rsidRDefault="003B3F9A" w:rsidP="007645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-32,741</w:t>
            </w:r>
          </w:p>
        </w:tc>
      </w:tr>
    </w:tbl>
    <w:p w:rsidR="007E786E" w:rsidRPr="007E786E" w:rsidRDefault="007E786E" w:rsidP="007E786E">
      <w:pPr>
        <w:pStyle w:val="Footnotes"/>
        <w:numPr>
          <w:ilvl w:val="0"/>
          <w:numId w:val="17"/>
        </w:numPr>
        <w:ind w:left="284" w:hanging="284"/>
      </w:pPr>
      <w:r w:rsidRPr="007E786E">
        <w:t>A positive number for the underlying cash balance indicates an increase in receipts or a decrease in outlays or net capital investment in cash terms. A negative number for the fiscal balance indicates a decrease in receipts or an increase in outlays or net capital investment in cash terms.</w:t>
      </w:r>
    </w:p>
    <w:p w:rsidR="005E0257" w:rsidRDefault="00244CA4" w:rsidP="005E0257">
      <w:pPr>
        <w:pStyle w:val="Footnotes"/>
        <w:numPr>
          <w:ilvl w:val="0"/>
          <w:numId w:val="17"/>
        </w:numPr>
        <w:ind w:left="284" w:hanging="284"/>
      </w:pPr>
      <w:r>
        <w:t xml:space="preserve"> Figures may not sum to totals due to rounding.</w:t>
      </w:r>
    </w:p>
    <w:p w:rsidR="005E0257" w:rsidRDefault="005E0257" w:rsidP="005E0257">
      <w:pPr>
        <w:pStyle w:val="Footnotes"/>
      </w:pPr>
      <w:r>
        <w:t>The increase in university spending has been phased at a rate of 2.5 per cent per calendar year from 1 January 2017 accumulatively up to 10 per cent by 1 January 2020.</w:t>
      </w:r>
    </w:p>
    <w:p w:rsidR="005E0257" w:rsidRDefault="005E0257" w:rsidP="005E0257">
      <w:pPr>
        <w:pStyle w:val="Footnotes"/>
      </w:pPr>
      <w:r>
        <w:t xml:space="preserve">PDI is calculated only on the reversal of the measure: </w:t>
      </w:r>
      <w:r w:rsidRPr="0081374F">
        <w:rPr>
          <w:i/>
        </w:rPr>
        <w:t>Expanding Opportunity – expansion of the demand driven system and sharing the cost fairly</w:t>
      </w:r>
      <w:r>
        <w:t>.</w:t>
      </w:r>
    </w:p>
    <w:p w:rsidR="00EE628D" w:rsidRDefault="00024885" w:rsidP="005E0257">
      <w:pPr>
        <w:pStyle w:val="Footnotes"/>
        <w:numPr>
          <w:ilvl w:val="0"/>
          <w:numId w:val="0"/>
        </w:numPr>
        <w:ind w:left="284" w:hanging="284"/>
      </w:pPr>
      <w:r w:rsidRPr="00764506">
        <w:t>-</w:t>
      </w:r>
      <w:r w:rsidR="00764506" w:rsidRPr="00764506">
        <w:tab/>
      </w:r>
      <w:r w:rsidRPr="00764506">
        <w:t>Indicates nil.</w:t>
      </w:r>
    </w:p>
    <w:p w:rsidR="00EE628D" w:rsidRDefault="00EE628D">
      <w:pPr>
        <w:spacing w:before="0" w:after="200" w:line="276" w:lineRule="auto"/>
        <w:rPr>
          <w:sz w:val="20"/>
          <w:szCs w:val="20"/>
        </w:rPr>
      </w:pPr>
      <w:r>
        <w:br w:type="page"/>
      </w:r>
    </w:p>
    <w:p w:rsidR="005E0257" w:rsidRDefault="005E0257" w:rsidP="005E0257">
      <w:pPr>
        <w:pStyle w:val="Captionheading"/>
        <w:rPr>
          <w:vertAlign w:val="superscript"/>
        </w:rPr>
      </w:pPr>
      <w:r w:rsidRPr="00FC5643">
        <w:lastRenderedPageBreak/>
        <w:t xml:space="preserve">Table </w:t>
      </w:r>
      <w:r>
        <w:t>B3</w:t>
      </w:r>
      <w:r w:rsidRPr="00FC5643">
        <w:t xml:space="preserve">: </w:t>
      </w:r>
      <w:r>
        <w:t xml:space="preserve">Headline cash </w:t>
      </w:r>
      <w:proofErr w:type="gramStart"/>
      <w:r>
        <w:t>balance</w:t>
      </w:r>
      <w:r w:rsidR="00244CA4">
        <w:rPr>
          <w:vertAlign w:val="superscript"/>
        </w:rPr>
        <w:t>(</w:t>
      </w:r>
      <w:proofErr w:type="gramEnd"/>
      <w:r w:rsidR="00244CA4">
        <w:rPr>
          <w:vertAlign w:val="superscript"/>
        </w:rPr>
        <w:t>a)</w:t>
      </w:r>
      <w:r w:rsidR="006B40D7">
        <w:rPr>
          <w:vertAlign w:val="superscript"/>
        </w:rPr>
        <w:t>(b)</w:t>
      </w:r>
    </w:p>
    <w:tbl>
      <w:tblPr>
        <w:tblStyle w:val="TableGrid"/>
        <w:tblW w:w="4948" w:type="pct"/>
        <w:tblLook w:val="0680" w:firstRow="0" w:lastRow="0" w:firstColumn="1" w:lastColumn="0" w:noHBand="1" w:noVBand="1"/>
      </w:tblPr>
      <w:tblGrid>
        <w:gridCol w:w="2191"/>
        <w:gridCol w:w="927"/>
        <w:gridCol w:w="924"/>
        <w:gridCol w:w="923"/>
        <w:gridCol w:w="923"/>
        <w:gridCol w:w="929"/>
        <w:gridCol w:w="923"/>
        <w:gridCol w:w="923"/>
        <w:gridCol w:w="923"/>
        <w:gridCol w:w="923"/>
        <w:gridCol w:w="923"/>
        <w:gridCol w:w="923"/>
        <w:gridCol w:w="923"/>
        <w:gridCol w:w="926"/>
      </w:tblGrid>
      <w:tr w:rsidR="00846EFC" w:rsidRPr="00B31810" w:rsidTr="00EE628D">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vAlign w:val="center"/>
          </w:tcPr>
          <w:p w:rsidR="00846EFC" w:rsidRPr="00B31810" w:rsidRDefault="00846EFC" w:rsidP="00EE628D">
            <w:pPr>
              <w:keepNext/>
              <w:keepLines/>
              <w:spacing w:before="70" w:after="70" w:line="240" w:lineRule="auto"/>
              <w:ind w:left="57" w:right="57"/>
            </w:pPr>
            <w:r w:rsidRPr="00B31810">
              <w:t>($m)</w:t>
            </w:r>
          </w:p>
        </w:tc>
        <w:tc>
          <w:tcPr>
            <w:tcW w:w="326" w:type="pct"/>
            <w:shd w:val="clear" w:color="auto" w:fill="D7DDE9"/>
            <w:vAlign w:val="center"/>
          </w:tcPr>
          <w:p w:rsidR="00846EFC" w:rsidRPr="00C24267" w:rsidRDefault="00846EFC" w:rsidP="00EE628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vAlign w:val="center"/>
          </w:tcPr>
          <w:p w:rsidR="00846EFC" w:rsidRPr="00C24267" w:rsidRDefault="00846EFC" w:rsidP="00EE628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vAlign w:val="center"/>
          </w:tcPr>
          <w:p w:rsidR="00846EFC" w:rsidRPr="00C24267" w:rsidRDefault="00846EFC" w:rsidP="00EE628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vAlign w:val="center"/>
          </w:tcPr>
          <w:p w:rsidR="00846EFC" w:rsidRPr="00C24267" w:rsidRDefault="00846EFC" w:rsidP="00EE628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vAlign w:val="center"/>
          </w:tcPr>
          <w:p w:rsidR="00846EFC" w:rsidRPr="00AE30B5" w:rsidRDefault="00846EFC" w:rsidP="00EE628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vAlign w:val="center"/>
          </w:tcPr>
          <w:p w:rsidR="00846EFC" w:rsidRPr="00C24267" w:rsidRDefault="00846EFC" w:rsidP="00EE628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vAlign w:val="center"/>
          </w:tcPr>
          <w:p w:rsidR="00846EFC" w:rsidRPr="00C24267" w:rsidRDefault="00846EFC" w:rsidP="00EE628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vAlign w:val="center"/>
          </w:tcPr>
          <w:p w:rsidR="00846EFC" w:rsidRPr="00C24267" w:rsidRDefault="00846EFC" w:rsidP="00EE628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vAlign w:val="center"/>
          </w:tcPr>
          <w:p w:rsidR="00846EFC" w:rsidRPr="00C24267" w:rsidRDefault="00846EFC" w:rsidP="00EE628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vAlign w:val="center"/>
          </w:tcPr>
          <w:p w:rsidR="00846EFC" w:rsidRPr="00C24267" w:rsidRDefault="00846EFC" w:rsidP="00EE628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vAlign w:val="center"/>
          </w:tcPr>
          <w:p w:rsidR="00846EFC" w:rsidRPr="00C24267" w:rsidRDefault="00846EFC" w:rsidP="00EE628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vAlign w:val="center"/>
          </w:tcPr>
          <w:p w:rsidR="00846EFC" w:rsidRPr="00C24267" w:rsidRDefault="00846EFC" w:rsidP="00EE628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vAlign w:val="center"/>
          </w:tcPr>
          <w:p w:rsidR="00846EFC" w:rsidRPr="00AE30B5" w:rsidRDefault="00846EFC" w:rsidP="00EE628D">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3B3F9A" w:rsidTr="00EE628D">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3B3F9A" w:rsidRPr="0007264D" w:rsidRDefault="003B3F9A" w:rsidP="00EE628D">
            <w:pPr>
              <w:keepNext/>
              <w:keepLines/>
              <w:spacing w:before="70" w:after="70" w:line="240" w:lineRule="auto"/>
              <w:ind w:left="57" w:right="57"/>
            </w:pPr>
            <w:r w:rsidRPr="00C57F3F">
              <w:rPr>
                <w:sz w:val="20"/>
                <w:szCs w:val="20"/>
              </w:rPr>
              <w:t>Additional cost from proposed increase in university funding</w:t>
            </w:r>
            <w:r w:rsidRPr="00C57F3F">
              <w:rPr>
                <w:sz w:val="20"/>
                <w:szCs w:val="20"/>
                <w:vertAlign w:val="superscript"/>
              </w:rPr>
              <w:t>(</w:t>
            </w:r>
            <w:r w:rsidR="006B40D7">
              <w:rPr>
                <w:sz w:val="20"/>
                <w:szCs w:val="20"/>
                <w:vertAlign w:val="superscript"/>
              </w:rPr>
              <w:t>c</w:t>
            </w:r>
            <w:r w:rsidRPr="00C57F3F">
              <w:rPr>
                <w:sz w:val="20"/>
                <w:szCs w:val="20"/>
                <w:vertAlign w:val="superscript"/>
              </w:rPr>
              <w:t>)</w:t>
            </w:r>
          </w:p>
        </w:tc>
        <w:tc>
          <w:tcPr>
            <w:tcW w:w="326"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-129</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-402</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-697</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-1,008</w:t>
            </w:r>
          </w:p>
        </w:tc>
        <w:tc>
          <w:tcPr>
            <w:tcW w:w="327" w:type="pct"/>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-2,237</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-1,183</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-1,215</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-1,249</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-1,284</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-1,321</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-1,358</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-1,397</w:t>
            </w:r>
          </w:p>
        </w:tc>
        <w:tc>
          <w:tcPr>
            <w:tcW w:w="326" w:type="pct"/>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-11,245</w:t>
            </w:r>
          </w:p>
        </w:tc>
      </w:tr>
      <w:tr w:rsidR="003B3F9A" w:rsidTr="00EE628D">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3B3F9A" w:rsidRPr="0007264D" w:rsidRDefault="003B3F9A" w:rsidP="00EE628D">
            <w:pPr>
              <w:keepNext/>
              <w:keepLines/>
              <w:spacing w:before="70" w:after="70" w:line="240" w:lineRule="auto"/>
              <w:ind w:left="57" w:right="57"/>
            </w:pPr>
            <w:r w:rsidRPr="00C57F3F">
              <w:rPr>
                <w:sz w:val="20"/>
                <w:szCs w:val="20"/>
              </w:rPr>
              <w:t>Impact of reversing budget measures</w:t>
            </w:r>
          </w:p>
        </w:tc>
        <w:tc>
          <w:tcPr>
            <w:tcW w:w="326"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-279</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-1,062</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-1,629</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-1,813</w:t>
            </w:r>
          </w:p>
        </w:tc>
        <w:tc>
          <w:tcPr>
            <w:tcW w:w="327" w:type="pct"/>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-4,783</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-2,021</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-2,244</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-2,475</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-2,718</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-2,983</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-3,248</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-3,530</w:t>
            </w:r>
          </w:p>
        </w:tc>
        <w:tc>
          <w:tcPr>
            <w:tcW w:w="326" w:type="pct"/>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-24,003</w:t>
            </w:r>
          </w:p>
        </w:tc>
      </w:tr>
      <w:tr w:rsidR="003B3F9A" w:rsidTr="00EE628D">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3B3F9A" w:rsidRPr="0007264D" w:rsidRDefault="003B3F9A" w:rsidP="00EE628D">
            <w:pPr>
              <w:keepNext/>
              <w:keepLines/>
              <w:spacing w:before="70" w:after="70" w:line="240" w:lineRule="auto"/>
              <w:ind w:left="57" w:right="57"/>
            </w:pPr>
            <w:r w:rsidRPr="00C57F3F">
              <w:rPr>
                <w:sz w:val="20"/>
                <w:szCs w:val="20"/>
              </w:rPr>
              <w:t>Change in Higher Education Loan Program (HELP) loans issued</w:t>
            </w:r>
            <w:r w:rsidRPr="00C57F3F">
              <w:rPr>
                <w:sz w:val="20"/>
                <w:szCs w:val="20"/>
                <w:vertAlign w:val="superscript"/>
              </w:rPr>
              <w:t>(</w:t>
            </w:r>
            <w:r w:rsidR="006B40D7">
              <w:rPr>
                <w:sz w:val="20"/>
                <w:szCs w:val="20"/>
                <w:vertAlign w:val="superscript"/>
              </w:rPr>
              <w:t>d</w:t>
            </w:r>
            <w:r w:rsidRPr="00C57F3F">
              <w:rPr>
                <w:sz w:val="20"/>
                <w:szCs w:val="20"/>
                <w:vertAlign w:val="superscript"/>
              </w:rPr>
              <w:t>)</w:t>
            </w:r>
          </w:p>
        </w:tc>
        <w:tc>
          <w:tcPr>
            <w:tcW w:w="326"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0</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-44</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-61</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-2</w:t>
            </w:r>
          </w:p>
        </w:tc>
        <w:tc>
          <w:tcPr>
            <w:tcW w:w="327" w:type="pct"/>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-108</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62</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-100</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-109</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-119</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-128</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-138</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-147</w:t>
            </w:r>
          </w:p>
        </w:tc>
        <w:tc>
          <w:tcPr>
            <w:tcW w:w="326" w:type="pct"/>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-788</w:t>
            </w:r>
          </w:p>
        </w:tc>
      </w:tr>
      <w:tr w:rsidR="003B3F9A" w:rsidTr="00EE628D">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3B3F9A" w:rsidRPr="0007264D" w:rsidRDefault="003B3F9A" w:rsidP="00EE628D">
            <w:pPr>
              <w:keepNext/>
              <w:keepLines/>
              <w:spacing w:before="70" w:after="70" w:line="240" w:lineRule="auto"/>
              <w:ind w:left="57" w:right="57"/>
            </w:pPr>
            <w:r w:rsidRPr="00C57F3F">
              <w:rPr>
                <w:sz w:val="20"/>
                <w:szCs w:val="20"/>
              </w:rPr>
              <w:t>Change in repayments received</w:t>
            </w:r>
          </w:p>
        </w:tc>
        <w:tc>
          <w:tcPr>
            <w:tcW w:w="326"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327" w:type="pct"/>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-3</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-6</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-10</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-16</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-25</w:t>
            </w:r>
          </w:p>
        </w:tc>
        <w:tc>
          <w:tcPr>
            <w:tcW w:w="326" w:type="pct"/>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-62</w:t>
            </w:r>
          </w:p>
        </w:tc>
      </w:tr>
      <w:tr w:rsidR="003B3F9A" w:rsidTr="00EE628D">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3B3F9A" w:rsidRPr="0007264D" w:rsidRDefault="003B3F9A" w:rsidP="00EE628D">
            <w:pPr>
              <w:keepNext/>
              <w:keepLines/>
              <w:spacing w:before="70" w:after="70" w:line="240" w:lineRule="auto"/>
              <w:ind w:left="57" w:right="57"/>
            </w:pPr>
            <w:r w:rsidRPr="00C57F3F">
              <w:rPr>
                <w:sz w:val="20"/>
                <w:szCs w:val="20"/>
              </w:rPr>
              <w:t>PDI</w:t>
            </w:r>
            <w:r w:rsidRPr="00C57F3F">
              <w:rPr>
                <w:sz w:val="20"/>
                <w:szCs w:val="20"/>
                <w:vertAlign w:val="superscript"/>
              </w:rPr>
              <w:t>(</w:t>
            </w:r>
            <w:r w:rsidR="006B40D7">
              <w:rPr>
                <w:sz w:val="20"/>
                <w:szCs w:val="20"/>
                <w:vertAlign w:val="superscript"/>
              </w:rPr>
              <w:t>e</w:t>
            </w:r>
            <w:r w:rsidRPr="00C57F3F">
              <w:rPr>
                <w:sz w:val="20"/>
                <w:szCs w:val="20"/>
                <w:vertAlign w:val="superscript"/>
              </w:rPr>
              <w:t>)</w:t>
            </w:r>
          </w:p>
        </w:tc>
        <w:tc>
          <w:tcPr>
            <w:tcW w:w="326"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5</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23</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48</w:t>
            </w:r>
          </w:p>
        </w:tc>
        <w:tc>
          <w:tcPr>
            <w:tcW w:w="327" w:type="pct"/>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77</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100</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166</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241</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327</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423</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528</w:t>
            </w:r>
          </w:p>
        </w:tc>
        <w:tc>
          <w:tcPr>
            <w:tcW w:w="325" w:type="pct"/>
            <w:vAlign w:val="center"/>
          </w:tcPr>
          <w:p w:rsidR="003B3F9A" w:rsidRPr="00C40293"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40293">
              <w:t>644</w:t>
            </w:r>
          </w:p>
        </w:tc>
        <w:tc>
          <w:tcPr>
            <w:tcW w:w="326" w:type="pct"/>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2,506</w:t>
            </w:r>
          </w:p>
        </w:tc>
      </w:tr>
      <w:tr w:rsidR="003B3F9A" w:rsidRPr="008D6ECA" w:rsidTr="00EE628D">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E9ECF3"/>
            <w:vAlign w:val="center"/>
          </w:tcPr>
          <w:p w:rsidR="003B3F9A" w:rsidRPr="008D6ECA" w:rsidRDefault="003B3F9A" w:rsidP="00EE628D">
            <w:pPr>
              <w:keepNext/>
              <w:keepLines/>
              <w:spacing w:before="70" w:after="70" w:line="240" w:lineRule="auto"/>
              <w:ind w:left="57" w:right="57"/>
              <w:rPr>
                <w:b/>
              </w:rPr>
            </w:pPr>
            <w:r>
              <w:rPr>
                <w:b/>
              </w:rPr>
              <w:t>Total</w:t>
            </w:r>
          </w:p>
        </w:tc>
        <w:tc>
          <w:tcPr>
            <w:tcW w:w="326" w:type="pct"/>
            <w:shd w:val="clear" w:color="auto" w:fill="E9ECF3"/>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-408</w:t>
            </w:r>
          </w:p>
        </w:tc>
        <w:tc>
          <w:tcPr>
            <w:tcW w:w="325" w:type="pct"/>
            <w:shd w:val="clear" w:color="auto" w:fill="E9ECF3"/>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-1,504</w:t>
            </w:r>
          </w:p>
        </w:tc>
        <w:tc>
          <w:tcPr>
            <w:tcW w:w="325" w:type="pct"/>
            <w:shd w:val="clear" w:color="auto" w:fill="E9ECF3"/>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-2,364</w:t>
            </w:r>
          </w:p>
        </w:tc>
        <w:tc>
          <w:tcPr>
            <w:tcW w:w="325" w:type="pct"/>
            <w:shd w:val="clear" w:color="auto" w:fill="E9ECF3"/>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-2,776</w:t>
            </w:r>
          </w:p>
        </w:tc>
        <w:tc>
          <w:tcPr>
            <w:tcW w:w="327" w:type="pct"/>
            <w:shd w:val="clear" w:color="auto" w:fill="E9ECF3"/>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-7,051</w:t>
            </w:r>
          </w:p>
        </w:tc>
        <w:tc>
          <w:tcPr>
            <w:tcW w:w="325" w:type="pct"/>
            <w:shd w:val="clear" w:color="auto" w:fill="E9ECF3"/>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-3,043</w:t>
            </w:r>
          </w:p>
        </w:tc>
        <w:tc>
          <w:tcPr>
            <w:tcW w:w="325" w:type="pct"/>
            <w:shd w:val="clear" w:color="auto" w:fill="E9ECF3"/>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-3,395</w:t>
            </w:r>
          </w:p>
        </w:tc>
        <w:tc>
          <w:tcPr>
            <w:tcW w:w="325" w:type="pct"/>
            <w:shd w:val="clear" w:color="auto" w:fill="E9ECF3"/>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-3,595</w:t>
            </w:r>
          </w:p>
        </w:tc>
        <w:tc>
          <w:tcPr>
            <w:tcW w:w="325" w:type="pct"/>
            <w:shd w:val="clear" w:color="auto" w:fill="E9ECF3"/>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-3,800</w:t>
            </w:r>
          </w:p>
        </w:tc>
        <w:tc>
          <w:tcPr>
            <w:tcW w:w="325" w:type="pct"/>
            <w:shd w:val="clear" w:color="auto" w:fill="E9ECF3"/>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-4,018</w:t>
            </w:r>
          </w:p>
        </w:tc>
        <w:tc>
          <w:tcPr>
            <w:tcW w:w="325" w:type="pct"/>
            <w:shd w:val="clear" w:color="auto" w:fill="E9ECF3"/>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-4,233</w:t>
            </w:r>
          </w:p>
        </w:tc>
        <w:tc>
          <w:tcPr>
            <w:tcW w:w="325" w:type="pct"/>
            <w:shd w:val="clear" w:color="auto" w:fill="E9ECF3"/>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-4,456</w:t>
            </w:r>
          </w:p>
        </w:tc>
        <w:tc>
          <w:tcPr>
            <w:tcW w:w="326" w:type="pct"/>
            <w:shd w:val="clear" w:color="auto" w:fill="E9ECF3"/>
            <w:vAlign w:val="center"/>
          </w:tcPr>
          <w:p w:rsidR="003B3F9A" w:rsidRPr="003B3F9A" w:rsidRDefault="003B3F9A" w:rsidP="00EE628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B3F9A">
              <w:rPr>
                <w:b/>
              </w:rPr>
              <w:t>-33,591</w:t>
            </w:r>
          </w:p>
        </w:tc>
      </w:tr>
    </w:tbl>
    <w:p w:rsidR="007E786E" w:rsidRPr="007E786E" w:rsidRDefault="007E786E" w:rsidP="007E786E">
      <w:pPr>
        <w:pStyle w:val="Footnotes"/>
        <w:numPr>
          <w:ilvl w:val="0"/>
          <w:numId w:val="18"/>
        </w:numPr>
        <w:ind w:left="284" w:hanging="284"/>
      </w:pPr>
      <w:r>
        <w:t>A positive number for the headline cash balance indicates an increase in cash flows.  A negative number for the headline cash balance indicates a decrease in cash flows.</w:t>
      </w:r>
    </w:p>
    <w:p w:rsidR="005E0257" w:rsidRDefault="00244CA4" w:rsidP="005E0257">
      <w:pPr>
        <w:pStyle w:val="Footnotes"/>
        <w:numPr>
          <w:ilvl w:val="0"/>
          <w:numId w:val="18"/>
        </w:numPr>
        <w:ind w:left="284" w:hanging="284"/>
      </w:pPr>
      <w:r>
        <w:t>Figures may not sum to totals due to rounding.</w:t>
      </w:r>
    </w:p>
    <w:p w:rsidR="005E0257" w:rsidRDefault="005E0257" w:rsidP="005E0257">
      <w:pPr>
        <w:pStyle w:val="Footnotes"/>
      </w:pPr>
      <w:r>
        <w:t>The increase in university spending has been phased at a rate of 2.5 per cent per calendar year from 1 January 2017 accumulatively up to 10 per cent by 1 January 2020.</w:t>
      </w:r>
    </w:p>
    <w:p w:rsidR="005E0257" w:rsidRDefault="005E0257" w:rsidP="005E0257">
      <w:pPr>
        <w:pStyle w:val="Footnotes"/>
      </w:pPr>
      <w:r>
        <w:t xml:space="preserve">The change in HELP loans issued is due to the inclusion of the HELP component of the measure: </w:t>
      </w:r>
      <w:r w:rsidRPr="0081374F">
        <w:rPr>
          <w:i/>
        </w:rPr>
        <w:t>Expanding Opportunity – expansion of the demand driven system and sharing the cost fairly</w:t>
      </w:r>
      <w:r>
        <w:t xml:space="preserve">. </w:t>
      </w:r>
    </w:p>
    <w:p w:rsidR="005E0257" w:rsidRDefault="005E0257" w:rsidP="005E0257">
      <w:pPr>
        <w:pStyle w:val="Footnotes"/>
      </w:pPr>
      <w:r>
        <w:t xml:space="preserve">PDI is calculated only on the reversal of the measure: </w:t>
      </w:r>
      <w:r w:rsidRPr="0081374F">
        <w:rPr>
          <w:i/>
        </w:rPr>
        <w:t>Expanding Opportunity – expansion of the demand driven system and sharing the cost fairly</w:t>
      </w:r>
      <w:r>
        <w:t>.</w:t>
      </w:r>
    </w:p>
    <w:p w:rsidR="005E0257" w:rsidRDefault="005E0257" w:rsidP="005E0257">
      <w:pPr>
        <w:pStyle w:val="Footnotes"/>
        <w:numPr>
          <w:ilvl w:val="0"/>
          <w:numId w:val="0"/>
        </w:numPr>
        <w:ind w:left="284" w:hanging="284"/>
      </w:pPr>
      <w:r>
        <w:t xml:space="preserve">.. </w:t>
      </w:r>
      <w:r>
        <w:tab/>
        <w:t>Not zero but rounded to zero</w:t>
      </w:r>
      <w:r w:rsidR="006B40D7">
        <w:t>.</w:t>
      </w:r>
    </w:p>
    <w:p w:rsidR="00024885" w:rsidRDefault="00024885" w:rsidP="00EE628D">
      <w:pPr>
        <w:pStyle w:val="Footnotes"/>
        <w:numPr>
          <w:ilvl w:val="0"/>
          <w:numId w:val="23"/>
        </w:numPr>
        <w:ind w:left="284" w:hanging="284"/>
      </w:pPr>
      <w:r>
        <w:t>Indicates nil.</w:t>
      </w:r>
    </w:p>
    <w:sectPr w:rsidR="00024885" w:rsidSect="00846EFC">
      <w:pgSz w:w="16838" w:h="11906" w:orient="landscape"/>
      <w:pgMar w:top="1797" w:right="1361" w:bottom="179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AC" w:rsidRDefault="002338AC" w:rsidP="008F588A">
      <w:pPr>
        <w:spacing w:line="240" w:lineRule="auto"/>
      </w:pPr>
      <w:r>
        <w:separator/>
      </w:r>
    </w:p>
    <w:p w:rsidR="002338AC" w:rsidRDefault="002338AC"/>
  </w:endnote>
  <w:endnote w:type="continuationSeparator" w:id="0">
    <w:p w:rsidR="002338AC" w:rsidRDefault="002338AC" w:rsidP="008F588A">
      <w:pPr>
        <w:spacing w:line="240" w:lineRule="auto"/>
      </w:pPr>
      <w:r>
        <w:continuationSeparator/>
      </w:r>
    </w:p>
    <w:p w:rsidR="002338AC" w:rsidRDefault="00233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AC" w:rsidRPr="00C24267" w:rsidRDefault="002338AC"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AC140A">
      <w:rPr>
        <w:noProof/>
      </w:rPr>
      <w:t>7</w:t>
    </w:r>
    <w:r w:rsidRPr="00C24267">
      <w:fldChar w:fldCharType="end"/>
    </w:r>
    <w:r w:rsidRPr="00C24267">
      <w:t xml:space="preserve"> of </w:t>
    </w:r>
    <w:r w:rsidR="00AC140A">
      <w:fldChar w:fldCharType="begin"/>
    </w:r>
    <w:r w:rsidR="00AC140A">
      <w:instrText xml:space="preserve"> NUMPAGES  \* Arabic  \* MERGEFORMAT </w:instrText>
    </w:r>
    <w:r w:rsidR="00AC140A">
      <w:fldChar w:fldCharType="separate"/>
    </w:r>
    <w:r w:rsidR="00AC140A">
      <w:rPr>
        <w:noProof/>
      </w:rPr>
      <w:t>7</w:t>
    </w:r>
    <w:r w:rsidR="00AC140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AC" w:rsidRPr="00C24267" w:rsidRDefault="002338AC" w:rsidP="00C24267">
    <w:pPr>
      <w:pStyle w:val="Letterfooter"/>
    </w:pPr>
    <w:r w:rsidRPr="00C24267">
      <w:t>Parliamentary Budget Office   PO Box 6010   Parliament House   Canberra ACT 2600</w:t>
    </w:r>
  </w:p>
  <w:p w:rsidR="002338AC" w:rsidRPr="00C24267" w:rsidRDefault="002338AC"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AC" w:rsidRPr="00C24267" w:rsidRDefault="002338AC"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AC140A">
      <w:rPr>
        <w:noProof/>
      </w:rPr>
      <w:t>5</w:t>
    </w:r>
    <w:r w:rsidRPr="00C24267">
      <w:fldChar w:fldCharType="end"/>
    </w:r>
    <w:r w:rsidRPr="00C24267">
      <w:t xml:space="preserve"> of </w:t>
    </w:r>
    <w:r w:rsidR="00AC140A">
      <w:fldChar w:fldCharType="begin"/>
    </w:r>
    <w:r w:rsidR="00AC140A">
      <w:instrText xml:space="preserve"> NUMPAGES  \* Arabic  \* MERGEFORMAT </w:instrText>
    </w:r>
    <w:r w:rsidR="00AC140A">
      <w:fldChar w:fldCharType="separate"/>
    </w:r>
    <w:r w:rsidR="00AC140A">
      <w:rPr>
        <w:noProof/>
      </w:rPr>
      <w:t>7</w:t>
    </w:r>
    <w:r w:rsidR="00AC140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AC" w:rsidRDefault="002338AC" w:rsidP="008F588A">
      <w:pPr>
        <w:spacing w:line="240" w:lineRule="auto"/>
      </w:pPr>
      <w:r>
        <w:separator/>
      </w:r>
    </w:p>
    <w:p w:rsidR="002338AC" w:rsidRDefault="002338AC"/>
  </w:footnote>
  <w:footnote w:type="continuationSeparator" w:id="0">
    <w:p w:rsidR="002338AC" w:rsidRDefault="002338AC" w:rsidP="008F588A">
      <w:pPr>
        <w:spacing w:line="240" w:lineRule="auto"/>
      </w:pPr>
      <w:r>
        <w:continuationSeparator/>
      </w:r>
    </w:p>
    <w:p w:rsidR="002338AC" w:rsidRDefault="002338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AC" w:rsidRPr="00C17112" w:rsidRDefault="002338AC" w:rsidP="00C17112">
    <w:pPr>
      <w:pStyle w:val="Header"/>
      <w:spacing w:before="0" w:after="0"/>
      <w:jc w:val="right"/>
      <w:rPr>
        <w:b/>
        <w:color w:val="FF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AC" w:rsidRDefault="002338AC" w:rsidP="00CB40E1">
    <w:pPr>
      <w:pStyle w:val="Header"/>
    </w:pPr>
    <w:r>
      <w:rPr>
        <w:noProof/>
        <w:lang w:eastAsia="en-AU"/>
      </w:rPr>
      <w:drawing>
        <wp:inline distT="0" distB="0" distL="0" distR="0" wp14:anchorId="166CC723" wp14:editId="662056F7">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2338AC" w:rsidRPr="00DA1C8A" w:rsidRDefault="002338AC" w:rsidP="00002D5D">
    <w:pPr>
      <w:pStyle w:val="PBOheader"/>
      <w:spacing w:before="720"/>
      <w:ind w:left="5783"/>
      <w:rPr>
        <w:b w:val="0"/>
      </w:rPr>
    </w:pPr>
    <w:r>
      <w:t>P</w:t>
    </w:r>
    <w:r w:rsidRPr="009030A0">
      <w:t>hil Bowen PSM FCPA</w:t>
    </w:r>
    <w:r>
      <w:br/>
    </w:r>
    <w:r w:rsidRPr="009030A0">
      <w:t>Parliamentary Budget Officer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AC" w:rsidRPr="00C17112" w:rsidRDefault="00AA70DE" w:rsidP="00AA70DE">
    <w:pPr>
      <w:pStyle w:val="Header"/>
      <w:spacing w:before="0" w:after="0"/>
      <w:rPr>
        <w:b/>
        <w:color w:val="FF0000"/>
        <w:sz w:val="28"/>
        <w:szCs w:val="28"/>
      </w:rPr>
    </w:pPr>
    <w:r>
      <w:rPr>
        <w:noProof/>
        <w:lang w:eastAsia="en-AU"/>
      </w:rPr>
      <w:drawing>
        <wp:inline distT="0" distB="0" distL="0" distR="0" wp14:anchorId="466983E2" wp14:editId="58F550AA">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FF4CC9"/>
    <w:multiLevelType w:val="hybridMultilevel"/>
    <w:tmpl w:val="16C4D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7">
    <w:nsid w:val="2C2370B2"/>
    <w:multiLevelType w:val="hybridMultilevel"/>
    <w:tmpl w:val="0004F682"/>
    <w:lvl w:ilvl="0" w:tplc="F54E42C8">
      <w:start w:val="1"/>
      <w:numFmt w:val="lowerLetter"/>
      <w:lvlText w:val="(%1)"/>
      <w:lvlJc w:val="left"/>
      <w:pPr>
        <w:ind w:left="360" w:hanging="360"/>
      </w:p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abstractNum w:abstractNumId="8">
    <w:nsid w:val="2D7E76D2"/>
    <w:multiLevelType w:val="hybridMultilevel"/>
    <w:tmpl w:val="D400ADCA"/>
    <w:lvl w:ilvl="0" w:tplc="6C8811C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E45E35"/>
    <w:multiLevelType w:val="hybridMultilevel"/>
    <w:tmpl w:val="60A06D20"/>
    <w:lvl w:ilvl="0" w:tplc="EE46B378">
      <w:start w:val="1"/>
      <w:numFmt w:val="lowerLetter"/>
      <w:pStyle w:val="Footnotes"/>
      <w:lvlText w:val="(%1)"/>
      <w:lvlJc w:val="left"/>
      <w:pPr>
        <w:ind w:left="83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54E25AB"/>
    <w:multiLevelType w:val="hybridMultilevel"/>
    <w:tmpl w:val="8F566B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87B7ABA"/>
    <w:multiLevelType w:val="hybridMultilevel"/>
    <w:tmpl w:val="0004F682"/>
    <w:lvl w:ilvl="0" w:tplc="F54E42C8">
      <w:start w:val="1"/>
      <w:numFmt w:val="lowerLetter"/>
      <w:lvlText w:val="(%1)"/>
      <w:lvlJc w:val="left"/>
      <w:pPr>
        <w:ind w:left="360" w:hanging="360"/>
      </w:p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abstractNum w:abstractNumId="12">
    <w:nsid w:val="6D0D63D2"/>
    <w:multiLevelType w:val="hybridMultilevel"/>
    <w:tmpl w:val="4FAC0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4">
    <w:nsid w:val="79EA63D9"/>
    <w:multiLevelType w:val="hybridMultilevel"/>
    <w:tmpl w:val="7ADA6986"/>
    <w:lvl w:ilvl="0" w:tplc="7F6A985C">
      <w:start w:val="1"/>
      <w:numFmt w:val="lowerLetter"/>
      <w:lvlText w:val="(%1)"/>
      <w:lvlJc w:val="left"/>
      <w:pPr>
        <w:ind w:left="360" w:hanging="360"/>
      </w:p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num w:numId="1">
    <w:abstractNumId w:val="3"/>
  </w:num>
  <w:num w:numId="2">
    <w:abstractNumId w:val="6"/>
  </w:num>
  <w:num w:numId="3">
    <w:abstractNumId w:val="4"/>
  </w:num>
  <w:num w:numId="4">
    <w:abstractNumId w:val="5"/>
  </w:num>
  <w:num w:numId="5">
    <w:abstractNumId w:val="13"/>
  </w:num>
  <w:num w:numId="6">
    <w:abstractNumId w:val="9"/>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1"/>
  </w:num>
  <w:num w:numId="12">
    <w:abstractNumId w:val="0"/>
  </w:num>
  <w:num w:numId="13">
    <w:abstractNumId w:val="2"/>
  </w:num>
  <w:num w:numId="14">
    <w:abstractNumId w:val="10"/>
  </w:num>
  <w:num w:numId="15">
    <w:abstractNumId w:val="12"/>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attachedTemplate r:id="rId1"/>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20"/>
    <w:rsid w:val="00002D5D"/>
    <w:rsid w:val="00024885"/>
    <w:rsid w:val="00040DCE"/>
    <w:rsid w:val="00053B34"/>
    <w:rsid w:val="00096F3A"/>
    <w:rsid w:val="000C1A75"/>
    <w:rsid w:val="001278D0"/>
    <w:rsid w:val="0014239B"/>
    <w:rsid w:val="001A02D1"/>
    <w:rsid w:val="001E0BEB"/>
    <w:rsid w:val="00220BE5"/>
    <w:rsid w:val="002338AC"/>
    <w:rsid w:val="002422A3"/>
    <w:rsid w:val="00244CA4"/>
    <w:rsid w:val="002473AF"/>
    <w:rsid w:val="00315E34"/>
    <w:rsid w:val="00321247"/>
    <w:rsid w:val="00326DE2"/>
    <w:rsid w:val="00376E63"/>
    <w:rsid w:val="00382D35"/>
    <w:rsid w:val="003A6844"/>
    <w:rsid w:val="003B3F9A"/>
    <w:rsid w:val="003D6EC3"/>
    <w:rsid w:val="003F73CA"/>
    <w:rsid w:val="0043304D"/>
    <w:rsid w:val="00440E32"/>
    <w:rsid w:val="00461597"/>
    <w:rsid w:val="004853B5"/>
    <w:rsid w:val="004C283B"/>
    <w:rsid w:val="004D13ED"/>
    <w:rsid w:val="004D5525"/>
    <w:rsid w:val="005035DA"/>
    <w:rsid w:val="00503F72"/>
    <w:rsid w:val="00507897"/>
    <w:rsid w:val="00515A85"/>
    <w:rsid w:val="00542677"/>
    <w:rsid w:val="00545F24"/>
    <w:rsid w:val="0055581F"/>
    <w:rsid w:val="0056229A"/>
    <w:rsid w:val="00570154"/>
    <w:rsid w:val="00570B5A"/>
    <w:rsid w:val="00571A54"/>
    <w:rsid w:val="005B7236"/>
    <w:rsid w:val="005C6967"/>
    <w:rsid w:val="005E0257"/>
    <w:rsid w:val="005E3562"/>
    <w:rsid w:val="005F7DE0"/>
    <w:rsid w:val="00640346"/>
    <w:rsid w:val="00660385"/>
    <w:rsid w:val="00662E65"/>
    <w:rsid w:val="0066665A"/>
    <w:rsid w:val="00692DD8"/>
    <w:rsid w:val="006B40D7"/>
    <w:rsid w:val="006C49FD"/>
    <w:rsid w:val="006F0CE9"/>
    <w:rsid w:val="007202A8"/>
    <w:rsid w:val="00764506"/>
    <w:rsid w:val="007B029A"/>
    <w:rsid w:val="007B1A91"/>
    <w:rsid w:val="007B659D"/>
    <w:rsid w:val="007D33AA"/>
    <w:rsid w:val="007E786E"/>
    <w:rsid w:val="007F7BCF"/>
    <w:rsid w:val="008030EC"/>
    <w:rsid w:val="00811D6D"/>
    <w:rsid w:val="0081374F"/>
    <w:rsid w:val="00844776"/>
    <w:rsid w:val="00846EFC"/>
    <w:rsid w:val="008522FE"/>
    <w:rsid w:val="008850D9"/>
    <w:rsid w:val="008A4578"/>
    <w:rsid w:val="008C03C3"/>
    <w:rsid w:val="008D3909"/>
    <w:rsid w:val="008F588A"/>
    <w:rsid w:val="00902B20"/>
    <w:rsid w:val="00902D2D"/>
    <w:rsid w:val="00907EE6"/>
    <w:rsid w:val="00915804"/>
    <w:rsid w:val="00954FFB"/>
    <w:rsid w:val="00957285"/>
    <w:rsid w:val="009573AF"/>
    <w:rsid w:val="00982FB5"/>
    <w:rsid w:val="009963ED"/>
    <w:rsid w:val="009D4063"/>
    <w:rsid w:val="00A41BD3"/>
    <w:rsid w:val="00A449C2"/>
    <w:rsid w:val="00AA3D6F"/>
    <w:rsid w:val="00AA70DE"/>
    <w:rsid w:val="00AB6F7D"/>
    <w:rsid w:val="00AC140A"/>
    <w:rsid w:val="00AC7878"/>
    <w:rsid w:val="00AD493E"/>
    <w:rsid w:val="00B06055"/>
    <w:rsid w:val="00B06577"/>
    <w:rsid w:val="00B150F8"/>
    <w:rsid w:val="00B44D8A"/>
    <w:rsid w:val="00B46E82"/>
    <w:rsid w:val="00B60707"/>
    <w:rsid w:val="00B73AC8"/>
    <w:rsid w:val="00B747A7"/>
    <w:rsid w:val="00BC559C"/>
    <w:rsid w:val="00C17112"/>
    <w:rsid w:val="00C24267"/>
    <w:rsid w:val="00C57F3F"/>
    <w:rsid w:val="00CA5D42"/>
    <w:rsid w:val="00CB40E1"/>
    <w:rsid w:val="00CF6DB6"/>
    <w:rsid w:val="00D134CA"/>
    <w:rsid w:val="00DA1C8A"/>
    <w:rsid w:val="00DB44F0"/>
    <w:rsid w:val="00DB77D1"/>
    <w:rsid w:val="00DD109E"/>
    <w:rsid w:val="00DD3E18"/>
    <w:rsid w:val="00E12103"/>
    <w:rsid w:val="00E15AAE"/>
    <w:rsid w:val="00E21184"/>
    <w:rsid w:val="00E40B8B"/>
    <w:rsid w:val="00E5742E"/>
    <w:rsid w:val="00EA265F"/>
    <w:rsid w:val="00EB6584"/>
    <w:rsid w:val="00EC458E"/>
    <w:rsid w:val="00ED43FF"/>
    <w:rsid w:val="00EE628D"/>
    <w:rsid w:val="00EE76EF"/>
    <w:rsid w:val="00EF1D6A"/>
    <w:rsid w:val="00EF2E51"/>
    <w:rsid w:val="00F31E24"/>
    <w:rsid w:val="00F52474"/>
    <w:rsid w:val="00F5669E"/>
    <w:rsid w:val="00F75D33"/>
    <w:rsid w:val="00F8342E"/>
    <w:rsid w:val="00F954CF"/>
    <w:rsid w:val="00FA3351"/>
    <w:rsid w:val="00FC6579"/>
    <w:rsid w:val="00FD3FB3"/>
    <w:rsid w:val="00FE63FD"/>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Proformatext">
    <w:name w:val="Pro forma text"/>
    <w:basedOn w:val="Normal"/>
    <w:rsid w:val="002338AC"/>
    <w:pPr>
      <w:spacing w:before="80" w:after="80" w:line="260" w:lineRule="exact"/>
    </w:pPr>
    <w:rPr>
      <w:rFonts w:ascii="Book Antiqua" w:eastAsia="Times New Roman" w:hAnsi="Book Antiqua" w:cs="Times New Roman"/>
      <w:sz w:val="20"/>
      <w:szCs w:val="20"/>
      <w:lang w:eastAsia="en-AU"/>
    </w:rPr>
  </w:style>
  <w:style w:type="paragraph" w:customStyle="1" w:styleId="Tableheading0">
    <w:name w:val="Table heading"/>
    <w:basedOn w:val="Caption"/>
    <w:link w:val="TableheadingChar"/>
    <w:qFormat/>
    <w:rsid w:val="002338AC"/>
    <w:pPr>
      <w:keepLines/>
      <w:spacing w:before="240" w:after="0" w:line="260" w:lineRule="exact"/>
      <w:jc w:val="both"/>
    </w:pPr>
    <w:rPr>
      <w:rFonts w:ascii="Times New Roman" w:eastAsia="Times New Roman" w:hAnsi="Times New Roman" w:cs="Times New Roman"/>
      <w:sz w:val="24"/>
      <w:szCs w:val="20"/>
      <w:lang w:eastAsia="en-AU"/>
    </w:rPr>
  </w:style>
  <w:style w:type="character" w:customStyle="1" w:styleId="TableheadingChar">
    <w:name w:val="Table heading Char"/>
    <w:basedOn w:val="CaptionChar"/>
    <w:link w:val="Tableheading0"/>
    <w:rsid w:val="002338AC"/>
    <w:rPr>
      <w:rFonts w:ascii="Times New Roman" w:eastAsia="Times New Roman" w:hAnsi="Times New Roman" w:cs="Times New Roman"/>
      <w:b/>
      <w:bCs/>
      <w:color w:val="1F497D" w:themeColor="text2"/>
      <w:spacing w:val="-4"/>
      <w:sz w:val="24"/>
      <w:szCs w:val="20"/>
      <w:lang w:eastAsia="en-AU"/>
    </w:rPr>
  </w:style>
  <w:style w:type="character" w:styleId="CommentReference">
    <w:name w:val="annotation reference"/>
    <w:basedOn w:val="DefaultParagraphFont"/>
    <w:uiPriority w:val="99"/>
    <w:semiHidden/>
    <w:unhideWhenUsed/>
    <w:rsid w:val="00982FB5"/>
    <w:rPr>
      <w:sz w:val="16"/>
      <w:szCs w:val="16"/>
    </w:rPr>
  </w:style>
  <w:style w:type="paragraph" w:styleId="CommentText">
    <w:name w:val="annotation text"/>
    <w:basedOn w:val="Normal"/>
    <w:link w:val="CommentTextChar"/>
    <w:uiPriority w:val="99"/>
    <w:semiHidden/>
    <w:unhideWhenUsed/>
    <w:rsid w:val="00982FB5"/>
    <w:pPr>
      <w:spacing w:line="240" w:lineRule="auto"/>
    </w:pPr>
    <w:rPr>
      <w:sz w:val="20"/>
      <w:szCs w:val="20"/>
    </w:rPr>
  </w:style>
  <w:style w:type="character" w:customStyle="1" w:styleId="CommentTextChar">
    <w:name w:val="Comment Text Char"/>
    <w:basedOn w:val="DefaultParagraphFont"/>
    <w:link w:val="CommentText"/>
    <w:uiPriority w:val="99"/>
    <w:semiHidden/>
    <w:rsid w:val="00982FB5"/>
    <w:rPr>
      <w:sz w:val="20"/>
      <w:szCs w:val="20"/>
    </w:rPr>
  </w:style>
  <w:style w:type="paragraph" w:styleId="CommentSubject">
    <w:name w:val="annotation subject"/>
    <w:basedOn w:val="CommentText"/>
    <w:next w:val="CommentText"/>
    <w:link w:val="CommentSubjectChar"/>
    <w:uiPriority w:val="99"/>
    <w:semiHidden/>
    <w:unhideWhenUsed/>
    <w:rsid w:val="00982FB5"/>
    <w:rPr>
      <w:b/>
      <w:bCs/>
    </w:rPr>
  </w:style>
  <w:style w:type="character" w:customStyle="1" w:styleId="CommentSubjectChar">
    <w:name w:val="Comment Subject Char"/>
    <w:basedOn w:val="CommentTextChar"/>
    <w:link w:val="CommentSubject"/>
    <w:uiPriority w:val="99"/>
    <w:semiHidden/>
    <w:rsid w:val="00982F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Proformatext">
    <w:name w:val="Pro forma text"/>
    <w:basedOn w:val="Normal"/>
    <w:rsid w:val="002338AC"/>
    <w:pPr>
      <w:spacing w:before="80" w:after="80" w:line="260" w:lineRule="exact"/>
    </w:pPr>
    <w:rPr>
      <w:rFonts w:ascii="Book Antiqua" w:eastAsia="Times New Roman" w:hAnsi="Book Antiqua" w:cs="Times New Roman"/>
      <w:sz w:val="20"/>
      <w:szCs w:val="20"/>
      <w:lang w:eastAsia="en-AU"/>
    </w:rPr>
  </w:style>
  <w:style w:type="paragraph" w:customStyle="1" w:styleId="Tableheading0">
    <w:name w:val="Table heading"/>
    <w:basedOn w:val="Caption"/>
    <w:link w:val="TableheadingChar"/>
    <w:qFormat/>
    <w:rsid w:val="002338AC"/>
    <w:pPr>
      <w:keepLines/>
      <w:spacing w:before="240" w:after="0" w:line="260" w:lineRule="exact"/>
      <w:jc w:val="both"/>
    </w:pPr>
    <w:rPr>
      <w:rFonts w:ascii="Times New Roman" w:eastAsia="Times New Roman" w:hAnsi="Times New Roman" w:cs="Times New Roman"/>
      <w:sz w:val="24"/>
      <w:szCs w:val="20"/>
      <w:lang w:eastAsia="en-AU"/>
    </w:rPr>
  </w:style>
  <w:style w:type="character" w:customStyle="1" w:styleId="TableheadingChar">
    <w:name w:val="Table heading Char"/>
    <w:basedOn w:val="CaptionChar"/>
    <w:link w:val="Tableheading0"/>
    <w:rsid w:val="002338AC"/>
    <w:rPr>
      <w:rFonts w:ascii="Times New Roman" w:eastAsia="Times New Roman" w:hAnsi="Times New Roman" w:cs="Times New Roman"/>
      <w:b/>
      <w:bCs/>
      <w:color w:val="1F497D" w:themeColor="text2"/>
      <w:spacing w:val="-4"/>
      <w:sz w:val="24"/>
      <w:szCs w:val="20"/>
      <w:lang w:eastAsia="en-AU"/>
    </w:rPr>
  </w:style>
  <w:style w:type="character" w:styleId="CommentReference">
    <w:name w:val="annotation reference"/>
    <w:basedOn w:val="DefaultParagraphFont"/>
    <w:uiPriority w:val="99"/>
    <w:semiHidden/>
    <w:unhideWhenUsed/>
    <w:rsid w:val="00982FB5"/>
    <w:rPr>
      <w:sz w:val="16"/>
      <w:szCs w:val="16"/>
    </w:rPr>
  </w:style>
  <w:style w:type="paragraph" w:styleId="CommentText">
    <w:name w:val="annotation text"/>
    <w:basedOn w:val="Normal"/>
    <w:link w:val="CommentTextChar"/>
    <w:uiPriority w:val="99"/>
    <w:semiHidden/>
    <w:unhideWhenUsed/>
    <w:rsid w:val="00982FB5"/>
    <w:pPr>
      <w:spacing w:line="240" w:lineRule="auto"/>
    </w:pPr>
    <w:rPr>
      <w:sz w:val="20"/>
      <w:szCs w:val="20"/>
    </w:rPr>
  </w:style>
  <w:style w:type="character" w:customStyle="1" w:styleId="CommentTextChar">
    <w:name w:val="Comment Text Char"/>
    <w:basedOn w:val="DefaultParagraphFont"/>
    <w:link w:val="CommentText"/>
    <w:uiPriority w:val="99"/>
    <w:semiHidden/>
    <w:rsid w:val="00982FB5"/>
    <w:rPr>
      <w:sz w:val="20"/>
      <w:szCs w:val="20"/>
    </w:rPr>
  </w:style>
  <w:style w:type="paragraph" w:styleId="CommentSubject">
    <w:name w:val="annotation subject"/>
    <w:basedOn w:val="CommentText"/>
    <w:next w:val="CommentText"/>
    <w:link w:val="CommentSubjectChar"/>
    <w:uiPriority w:val="99"/>
    <w:semiHidden/>
    <w:unhideWhenUsed/>
    <w:rsid w:val="00982FB5"/>
    <w:rPr>
      <w:b/>
      <w:bCs/>
    </w:rPr>
  </w:style>
  <w:style w:type="character" w:customStyle="1" w:styleId="CommentSubjectChar">
    <w:name w:val="Comment Subject Char"/>
    <w:basedOn w:val="CommentTextChar"/>
    <w:link w:val="CommentSubject"/>
    <w:uiPriority w:val="99"/>
    <w:semiHidden/>
    <w:rsid w:val="00982F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16940">
      <w:bodyDiv w:val="1"/>
      <w:marLeft w:val="0"/>
      <w:marRight w:val="0"/>
      <w:marTop w:val="0"/>
      <w:marBottom w:val="0"/>
      <w:divBdr>
        <w:top w:val="none" w:sz="0" w:space="0" w:color="auto"/>
        <w:left w:val="none" w:sz="0" w:space="0" w:color="auto"/>
        <w:bottom w:val="none" w:sz="0" w:space="0" w:color="auto"/>
        <w:right w:val="none" w:sz="0" w:space="0" w:color="auto"/>
      </w:divBdr>
    </w:div>
    <w:div w:id="1732733856">
      <w:bodyDiv w:val="1"/>
      <w:marLeft w:val="0"/>
      <w:marRight w:val="0"/>
      <w:marTop w:val="0"/>
      <w:marBottom w:val="0"/>
      <w:divBdr>
        <w:top w:val="none" w:sz="0" w:space="0" w:color="auto"/>
        <w:left w:val="none" w:sz="0" w:space="0" w:color="auto"/>
        <w:bottom w:val="none" w:sz="0" w:space="0" w:color="auto"/>
        <w:right w:val="none" w:sz="0" w:space="0" w:color="auto"/>
      </w:divBdr>
    </w:div>
    <w:div w:id="18038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F77B272-2378-4139-A132-C841E83A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214</TotalTime>
  <Pages>7</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PBO - GRN033 - University: Base Funding Lift - 28 June 2016</vt:lpstr>
    </vt:vector>
  </TitlesOfParts>
  <Company>Parliament of Australia</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GRN033 - University: Base Funding Lift - 28 June 2016</dc:title>
  <dc:creator>Parliamentary Budget Office</dc:creator>
  <cp:lastModifiedBy>Milligan, Louise (PBO)</cp:lastModifiedBy>
  <cp:revision>42</cp:revision>
  <cp:lastPrinted>2016-06-28T08:10:00Z</cp:lastPrinted>
  <dcterms:created xsi:type="dcterms:W3CDTF">2016-06-20T23:02:00Z</dcterms:created>
  <dcterms:modified xsi:type="dcterms:W3CDTF">2016-06-28T12:12:00Z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