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7B0D94" w:rsidP="002473AF">
      <w:pPr>
        <w:spacing w:before="1560" w:after="0" w:line="240" w:lineRule="auto"/>
        <w:rPr>
          <w:rFonts w:ascii="Times New Roman" w:hAnsi="Times New Roman" w:cs="Times New Roman"/>
          <w:sz w:val="24"/>
          <w:szCs w:val="24"/>
        </w:rPr>
      </w:pPr>
      <w:r>
        <w:rPr>
          <w:rFonts w:ascii="Times New Roman" w:hAnsi="Times New Roman" w:cs="Times New Roman"/>
          <w:sz w:val="24"/>
          <w:szCs w:val="24"/>
        </w:rPr>
        <w:t>Senator Richard Di Natale</w:t>
      </w:r>
    </w:p>
    <w:p w:rsidR="002473AF" w:rsidRPr="00002D5D" w:rsidRDefault="002473AF" w:rsidP="002473AF">
      <w:pPr>
        <w:spacing w:before="0" w:after="0" w:line="240" w:lineRule="auto"/>
        <w:rPr>
          <w:rFonts w:ascii="Times New Roman" w:hAnsi="Times New Roman" w:cs="Times New Roman"/>
          <w:sz w:val="24"/>
          <w:szCs w:val="24"/>
        </w:rPr>
      </w:pPr>
      <w:r w:rsidRPr="002473AF">
        <w:rPr>
          <w:rFonts w:ascii="Times New Roman" w:hAnsi="Times New Roman" w:cs="Times New Roman"/>
          <w:sz w:val="24"/>
          <w:szCs w:val="24"/>
        </w:rPr>
        <w:t>Leader of the Australian Greens</w:t>
      </w:r>
    </w:p>
    <w:p w:rsidR="00040DCE" w:rsidRPr="00002D5D" w:rsidRDefault="005C6967" w:rsidP="00C17112">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5C6967"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040DCE" w:rsidRPr="00002D5D" w:rsidRDefault="00040DCE" w:rsidP="00040DCE">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002473AF" w:rsidRPr="006C473F">
        <w:rPr>
          <w:rFonts w:ascii="Times New Roman" w:hAnsi="Times New Roman" w:cs="Times New Roman"/>
          <w:sz w:val="24"/>
          <w:szCs w:val="24"/>
        </w:rPr>
        <w:t>Senator Di Natale</w:t>
      </w:r>
    </w:p>
    <w:p w:rsidR="00040DCE" w:rsidRPr="00002D5D" w:rsidRDefault="00040DCE" w:rsidP="00C17112">
      <w:pPr>
        <w:pStyle w:val="Lettertext"/>
      </w:pPr>
      <w:r w:rsidRPr="00002D5D">
        <w:t>Please find attached a r</w:t>
      </w:r>
      <w:r w:rsidR="00C2142E">
        <w:t>esponse to your costing request</w:t>
      </w:r>
      <w:r w:rsidRPr="00002D5D">
        <w:t xml:space="preserve">, </w:t>
      </w:r>
      <w:r w:rsidR="001D1985" w:rsidRPr="001D1985">
        <w:rPr>
          <w:i/>
        </w:rPr>
        <w:t>Better Schools</w:t>
      </w:r>
      <w:r w:rsidR="001D1985">
        <w:rPr>
          <w:i/>
        </w:rPr>
        <w:t>:</w:t>
      </w:r>
      <w:r w:rsidR="001D1985" w:rsidRPr="001D1985">
        <w:rPr>
          <w:i/>
        </w:rPr>
        <w:t xml:space="preserve"> Full Gonski </w:t>
      </w:r>
      <w:r w:rsidR="006C2368">
        <w:rPr>
          <w:i/>
        </w:rPr>
        <w:t xml:space="preserve">and Disability </w:t>
      </w:r>
      <w:r w:rsidR="001D1985" w:rsidRPr="001D1985">
        <w:rPr>
          <w:i/>
        </w:rPr>
        <w:t>Funding</w:t>
      </w:r>
      <w:r w:rsidRPr="00002D5D">
        <w:t xml:space="preserve"> (letter of </w:t>
      </w:r>
      <w:r w:rsidR="006C2368">
        <w:t>28</w:t>
      </w:r>
      <w:r w:rsidR="002473AF">
        <w:t xml:space="preserve"> June </w:t>
      </w:r>
      <w:r w:rsidRPr="00002D5D">
        <w:t>2016).</w:t>
      </w:r>
    </w:p>
    <w:p w:rsidR="00040DCE" w:rsidRPr="00002D5D" w:rsidRDefault="00040DCE" w:rsidP="00C17112">
      <w:pPr>
        <w:pStyle w:val="Lettertext"/>
      </w:pPr>
      <w:r w:rsidRPr="00002D5D">
        <w:t>The response to this request will be released on the PBO website (</w:t>
      </w:r>
      <w:hyperlink r:id="rId9" w:history="1">
        <w:r w:rsidRPr="00002D5D">
          <w:rPr>
            <w:rStyle w:val="Hyperlink"/>
          </w:rPr>
          <w:t>www.</w:t>
        </w:r>
        <w:r w:rsidR="00B44D8A">
          <w:rPr>
            <w:rStyle w:val="Hyperlink"/>
          </w:rPr>
          <w:t>pbo.gov.au</w:t>
        </w:r>
      </w:hyperlink>
      <w:r w:rsidRPr="00002D5D">
        <w:t>).</w:t>
      </w:r>
    </w:p>
    <w:p w:rsidR="00040DCE" w:rsidRPr="00002D5D" w:rsidRDefault="00040DCE" w:rsidP="00C17112">
      <w:pPr>
        <w:pStyle w:val="Lettertext"/>
      </w:pPr>
      <w:r w:rsidRPr="00002D5D">
        <w:t xml:space="preserve">If you have any queries about this costing, please </w:t>
      </w:r>
      <w:r w:rsidR="00F75D33">
        <w:t>contact Colin </w:t>
      </w:r>
      <w:r w:rsidR="00C2142E">
        <w:t>Brown on (02) 6277 </w:t>
      </w:r>
      <w:r w:rsidRPr="00002D5D">
        <w:t>9530.</w:t>
      </w:r>
    </w:p>
    <w:p w:rsidR="00040DCE" w:rsidRPr="00002D5D" w:rsidRDefault="00040DCE" w:rsidP="00C17112">
      <w:pPr>
        <w:pStyle w:val="Lettertext"/>
      </w:pPr>
      <w:r w:rsidRPr="00002D5D">
        <w:t>Yours sincerely</w:t>
      </w:r>
    </w:p>
    <w:p w:rsidR="00040DCE" w:rsidRPr="00002D5D" w:rsidRDefault="00DA1C8A" w:rsidP="00C17112">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096F3A" w:rsidRPr="00002D5D" w:rsidRDefault="007300A8" w:rsidP="007300A8">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29 </w:t>
      </w:r>
      <w:r w:rsidR="002473AF">
        <w:rPr>
          <w:rFonts w:ascii="Times New Roman" w:hAnsi="Times New Roman" w:cs="Times New Roman"/>
          <w:sz w:val="24"/>
          <w:szCs w:val="24"/>
        </w:rPr>
        <w:t>June</w:t>
      </w:r>
      <w:r w:rsidR="00040DCE" w:rsidRPr="00002D5D">
        <w:rPr>
          <w:rFonts w:ascii="Times New Roman" w:hAnsi="Times New Roman" w:cs="Times New Roman"/>
          <w:sz w:val="24"/>
          <w:szCs w:val="24"/>
        </w:rPr>
        <w:t xml:space="preserve"> </w:t>
      </w:r>
      <w:r w:rsidR="00DA1C8A" w:rsidRPr="00002D5D">
        <w:rPr>
          <w:rFonts w:ascii="Times New Roman" w:hAnsi="Times New Roman" w:cs="Times New Roman"/>
          <w:sz w:val="24"/>
          <w:szCs w:val="24"/>
        </w:rPr>
        <w:t>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TableGrid"/>
        <w:tblW w:w="8340" w:type="dxa"/>
        <w:tblLook w:val="04A0" w:firstRow="1" w:lastRow="0" w:firstColumn="1" w:lastColumn="0" w:noHBand="0" w:noVBand="1"/>
      </w:tblPr>
      <w:tblGrid>
        <w:gridCol w:w="3005"/>
        <w:gridCol w:w="5335"/>
      </w:tblGrid>
      <w:tr w:rsidR="004D5525" w:rsidTr="004D55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rsidR="004D5525" w:rsidRDefault="004D5525" w:rsidP="002D5EF5">
            <w:r>
              <w:t>Name of proposal:</w:t>
            </w:r>
          </w:p>
        </w:tc>
        <w:tc>
          <w:tcPr>
            <w:tcW w:w="5335" w:type="dxa"/>
          </w:tcPr>
          <w:p w:rsidR="004D5525" w:rsidRDefault="001D1985" w:rsidP="002D5EF5">
            <w:pPr>
              <w:cnfStyle w:val="100000000000" w:firstRow="1" w:lastRow="0" w:firstColumn="0" w:lastColumn="0" w:oddVBand="0" w:evenVBand="0" w:oddHBand="0" w:evenHBand="0" w:firstRowFirstColumn="0" w:firstRowLastColumn="0" w:lastRowFirstColumn="0" w:lastRowLastColumn="0"/>
            </w:pPr>
            <w:r w:rsidRPr="001D1985">
              <w:t>Better Schools</w:t>
            </w:r>
            <w:r>
              <w:t>:</w:t>
            </w:r>
            <w:r w:rsidRPr="001D1985">
              <w:t xml:space="preserve"> Full Gonski </w:t>
            </w:r>
            <w:r w:rsidR="006C2368">
              <w:t xml:space="preserve">and Disability </w:t>
            </w:r>
            <w:r w:rsidRPr="001D1985">
              <w:t>Funding</w:t>
            </w:r>
          </w:p>
        </w:tc>
      </w:tr>
      <w:tr w:rsidR="004D5525" w:rsidTr="004D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D5525">
            <w:pPr>
              <w:pStyle w:val="BodyText"/>
            </w:pPr>
            <w:r>
              <w:t>Summary of proposal:</w:t>
            </w:r>
          </w:p>
        </w:tc>
        <w:tc>
          <w:tcPr>
            <w:tcW w:w="5335" w:type="dxa"/>
          </w:tcPr>
          <w:p w:rsidR="006C2368" w:rsidRDefault="001D1985" w:rsidP="001D1985">
            <w:pPr>
              <w:spacing w:before="120" w:after="120"/>
              <w:cnfStyle w:val="000000100000" w:firstRow="0" w:lastRow="0" w:firstColumn="0" w:lastColumn="0" w:oddVBand="0" w:evenVBand="0" w:oddHBand="1" w:evenHBand="0" w:firstRowFirstColumn="0" w:firstRowLastColumn="0" w:lastRowFirstColumn="0" w:lastRowLastColumn="0"/>
            </w:pPr>
            <w:r w:rsidRPr="00757C71">
              <w:t xml:space="preserve">The proposal </w:t>
            </w:r>
            <w:r w:rsidR="006C2368">
              <w:t xml:space="preserve">includes the following </w:t>
            </w:r>
            <w:r w:rsidR="00971DDF">
              <w:t xml:space="preserve">two </w:t>
            </w:r>
            <w:r w:rsidR="006C2368">
              <w:t>components:</w:t>
            </w:r>
          </w:p>
          <w:p w:rsidR="006C2368" w:rsidRDefault="006C2368" w:rsidP="006C2368">
            <w:pPr>
              <w:cnfStyle w:val="000000100000" w:firstRow="0" w:lastRow="0" w:firstColumn="0" w:lastColumn="0" w:oddVBand="0" w:evenVBand="0" w:oddHBand="1" w:evenHBand="0" w:firstRowFirstColumn="0" w:firstRowLastColumn="0" w:lastRowFirstColumn="0" w:lastRowLastColumn="0"/>
              <w:rPr>
                <w:u w:val="single"/>
              </w:rPr>
            </w:pPr>
            <w:r>
              <w:rPr>
                <w:u w:val="single"/>
              </w:rPr>
              <w:t xml:space="preserve">Component 1: </w:t>
            </w:r>
            <w:proofErr w:type="spellStart"/>
            <w:r>
              <w:rPr>
                <w:u w:val="single"/>
              </w:rPr>
              <w:t>Gonski</w:t>
            </w:r>
            <w:proofErr w:type="spellEnd"/>
            <w:r>
              <w:rPr>
                <w:u w:val="single"/>
              </w:rPr>
              <w:t xml:space="preserve"> school funding</w:t>
            </w:r>
          </w:p>
          <w:p w:rsidR="001D1985" w:rsidRPr="00757C71" w:rsidRDefault="006C2368" w:rsidP="001D1985">
            <w:pPr>
              <w:spacing w:before="120" w:after="120"/>
              <w:cnfStyle w:val="000000100000" w:firstRow="0" w:lastRow="0" w:firstColumn="0" w:lastColumn="0" w:oddVBand="0" w:evenVBand="0" w:oddHBand="1" w:evenHBand="0" w:firstRowFirstColumn="0" w:firstRowLastColumn="0" w:lastRowFirstColumn="0" w:lastRowLastColumn="0"/>
            </w:pPr>
            <w:r>
              <w:t xml:space="preserve">This component </w:t>
            </w:r>
            <w:r w:rsidR="001D1985" w:rsidRPr="00757C71">
              <w:t>would increase funding to government and non</w:t>
            </w:r>
            <w:r w:rsidR="001D1985" w:rsidRPr="00757C71">
              <w:noBreakHyphen/>
              <w:t>government schools to match the funding allocated in the 2013</w:t>
            </w:r>
            <w:r w:rsidR="001D1985" w:rsidRPr="00757C71">
              <w:noBreakHyphen/>
              <w:t xml:space="preserve">14 budget for the </w:t>
            </w:r>
            <w:r w:rsidR="001D1985" w:rsidRPr="00757C71">
              <w:rPr>
                <w:i/>
              </w:rPr>
              <w:t>Better Schools – National Plan for School Improvement</w:t>
            </w:r>
            <w:r w:rsidR="001D1985" w:rsidRPr="00757C71">
              <w:t xml:space="preserve"> (NPSI) for the financial years 2017</w:t>
            </w:r>
            <w:r w:rsidR="001D1985" w:rsidRPr="00757C71">
              <w:noBreakHyphen/>
              <w:t>18, 2018</w:t>
            </w:r>
            <w:r w:rsidR="001D1985" w:rsidRPr="00757C71">
              <w:noBreakHyphen/>
              <w:t>19 and 2019</w:t>
            </w:r>
            <w:r w:rsidR="001D1985" w:rsidRPr="00757C71">
              <w:noBreakHyphen/>
              <w:t>20, and school (calendar) years 2018 and 2019.</w:t>
            </w:r>
          </w:p>
          <w:p w:rsidR="001D1985" w:rsidRPr="00757C71" w:rsidRDefault="007C15FA" w:rsidP="001D1985">
            <w:pPr>
              <w:spacing w:before="120" w:after="120"/>
              <w:cnfStyle w:val="000000100000" w:firstRow="0" w:lastRow="0" w:firstColumn="0" w:lastColumn="0" w:oddVBand="0" w:evenVBand="0" w:oddHBand="1" w:evenHBand="0" w:firstRowFirstColumn="0" w:firstRowLastColumn="0" w:lastRowFirstColumn="0" w:lastRowLastColumn="0"/>
            </w:pPr>
            <w:r>
              <w:t>This component</w:t>
            </w:r>
            <w:r w:rsidR="001D1985" w:rsidRPr="00757C71">
              <w:t xml:space="preserve"> would include the proportional Schooling Resource Standard (SRS) funding for those years, 4.7 per cent indexation, plus all loadings that would have been identified and funded under NPSI (disability, Aboriginality, </w:t>
            </w:r>
            <w:r w:rsidR="00F541E9">
              <w:t>socio economic status (</w:t>
            </w:r>
            <w:r w:rsidR="001D1985" w:rsidRPr="00757C71">
              <w:t>SES</w:t>
            </w:r>
            <w:r w:rsidR="00F541E9">
              <w:t>)</w:t>
            </w:r>
            <w:r w:rsidR="001D1985" w:rsidRPr="00757C71">
              <w:t>, English proficiency, school size and school remoteness), and using latest enrolment data.</w:t>
            </w:r>
          </w:p>
          <w:p w:rsidR="001D1985" w:rsidRPr="00757C71" w:rsidRDefault="001D1985" w:rsidP="001D1985">
            <w:pPr>
              <w:spacing w:before="120" w:after="120"/>
              <w:cnfStyle w:val="000000100000" w:firstRow="0" w:lastRow="0" w:firstColumn="0" w:lastColumn="0" w:oddVBand="0" w:evenVBand="0" w:oddHBand="1" w:evenHBand="0" w:firstRowFirstColumn="0" w:firstRowLastColumn="0" w:lastRowFirstColumn="0" w:lastRowLastColumn="0"/>
            </w:pPr>
            <w:r w:rsidRPr="004C2EA2">
              <w:t xml:space="preserve">Under </w:t>
            </w:r>
            <w:r w:rsidR="007C15FA">
              <w:t>this component</w:t>
            </w:r>
            <w:r w:rsidRPr="004C2EA2">
              <w:t xml:space="preserve"> no school would be worse off when compared to current government estimates and Commonwealth schools funding in the 2020 calendar year would be at a level to maintain schools on their 2019 percentages of SRS.</w:t>
            </w:r>
          </w:p>
          <w:p w:rsidR="004D5525" w:rsidRDefault="001D1985" w:rsidP="001D1985">
            <w:pPr>
              <w:pStyle w:val="BodyText"/>
              <w:cnfStyle w:val="000000100000" w:firstRow="0" w:lastRow="0" w:firstColumn="0" w:lastColumn="0" w:oddVBand="0" w:evenVBand="0" w:oddHBand="1" w:evenHBand="0" w:firstRowFirstColumn="0" w:firstRowLastColumn="0" w:lastRowFirstColumn="0" w:lastRowLastColumn="0"/>
            </w:pPr>
            <w:r w:rsidRPr="00757C71">
              <w:t>Th</w:t>
            </w:r>
            <w:r w:rsidR="004261C0">
              <w:t xml:space="preserve">is component </w:t>
            </w:r>
            <w:r w:rsidRPr="00757C71">
              <w:t>would have effect from 1 January 201</w:t>
            </w:r>
            <w:r w:rsidR="001B0B64">
              <w:t>8</w:t>
            </w:r>
            <w:r w:rsidR="004261C0">
              <w:t>.</w:t>
            </w:r>
          </w:p>
          <w:p w:rsidR="006C2368" w:rsidRDefault="006C2368" w:rsidP="006C2368">
            <w:pPr>
              <w:cnfStyle w:val="000000100000" w:firstRow="0" w:lastRow="0" w:firstColumn="0" w:lastColumn="0" w:oddVBand="0" w:evenVBand="0" w:oddHBand="1" w:evenHBand="0" w:firstRowFirstColumn="0" w:firstRowLastColumn="0" w:lastRowFirstColumn="0" w:lastRowLastColumn="0"/>
              <w:rPr>
                <w:u w:val="single"/>
              </w:rPr>
            </w:pPr>
            <w:r>
              <w:rPr>
                <w:u w:val="single"/>
              </w:rPr>
              <w:t>Component 2: School funding for students with disabilities</w:t>
            </w:r>
          </w:p>
          <w:p w:rsidR="004261C0" w:rsidRDefault="006C2368" w:rsidP="004261C0">
            <w:pPr>
              <w:pStyle w:val="BodyText"/>
              <w:cnfStyle w:val="000000100000" w:firstRow="0" w:lastRow="0" w:firstColumn="0" w:lastColumn="0" w:oddVBand="0" w:evenVBand="0" w:oddHBand="1" w:evenHBand="0" w:firstRowFirstColumn="0" w:firstRowLastColumn="0" w:lastRowFirstColumn="0" w:lastRowLastColumn="0"/>
            </w:pPr>
            <w:r>
              <w:t xml:space="preserve">This component would provide </w:t>
            </w:r>
            <w:r w:rsidR="004261C0">
              <w:t>the following capped amounts:</w:t>
            </w:r>
          </w:p>
          <w:tbl>
            <w:tblPr>
              <w:tblStyle w:val="TableGrid"/>
              <w:tblW w:w="503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56"/>
              <w:gridCol w:w="754"/>
              <w:gridCol w:w="713"/>
              <w:gridCol w:w="667"/>
              <w:gridCol w:w="670"/>
              <w:gridCol w:w="670"/>
            </w:tblGrid>
            <w:tr w:rsidR="001B0B64" w:rsidRPr="0034657E" w:rsidTr="0014140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556" w:type="dxa"/>
                  <w:vAlign w:val="center"/>
                </w:tcPr>
                <w:p w:rsidR="001B0B64" w:rsidRPr="00141403" w:rsidRDefault="001B0B64" w:rsidP="00141403">
                  <w:pPr>
                    <w:spacing w:before="40" w:after="40" w:line="240" w:lineRule="auto"/>
                    <w:ind w:left="28" w:right="0"/>
                    <w:rPr>
                      <w:b w:val="0"/>
                      <w:sz w:val="18"/>
                      <w:szCs w:val="18"/>
                    </w:rPr>
                  </w:pPr>
                  <w:r w:rsidRPr="00141403">
                    <w:rPr>
                      <w:b w:val="0"/>
                      <w:sz w:val="18"/>
                      <w:szCs w:val="18"/>
                    </w:rPr>
                    <w:t>($m)</w:t>
                  </w:r>
                </w:p>
              </w:tc>
              <w:tc>
                <w:tcPr>
                  <w:tcW w:w="754" w:type="dxa"/>
                  <w:vAlign w:val="center"/>
                </w:tcPr>
                <w:p w:rsidR="001B0B64" w:rsidRPr="00141403" w:rsidRDefault="001B0B64" w:rsidP="00141403">
                  <w:pPr>
                    <w:spacing w:before="40" w:after="40" w:line="240" w:lineRule="auto"/>
                    <w:ind w:left="0" w:right="28"/>
                    <w:jc w:val="right"/>
                    <w:cnfStyle w:val="100000000000" w:firstRow="1" w:lastRow="0" w:firstColumn="0" w:lastColumn="0" w:oddVBand="0" w:evenVBand="0" w:oddHBand="0" w:evenHBand="0" w:firstRowFirstColumn="0" w:firstRowLastColumn="0" w:lastRowFirstColumn="0" w:lastRowLastColumn="0"/>
                    <w:rPr>
                      <w:b w:val="0"/>
                      <w:sz w:val="18"/>
                      <w:szCs w:val="18"/>
                    </w:rPr>
                  </w:pPr>
                  <w:r w:rsidRPr="00141403">
                    <w:rPr>
                      <w:b w:val="0"/>
                      <w:sz w:val="18"/>
                      <w:szCs w:val="18"/>
                    </w:rPr>
                    <w:t>2016-17</w:t>
                  </w:r>
                </w:p>
              </w:tc>
              <w:tc>
                <w:tcPr>
                  <w:tcW w:w="713" w:type="dxa"/>
                  <w:vAlign w:val="center"/>
                </w:tcPr>
                <w:p w:rsidR="001B0B64" w:rsidRPr="00141403" w:rsidRDefault="001B0B64" w:rsidP="00141403">
                  <w:pPr>
                    <w:spacing w:before="40" w:after="40" w:line="240" w:lineRule="auto"/>
                    <w:ind w:left="0" w:right="28"/>
                    <w:jc w:val="right"/>
                    <w:cnfStyle w:val="100000000000" w:firstRow="1" w:lastRow="0" w:firstColumn="0" w:lastColumn="0" w:oddVBand="0" w:evenVBand="0" w:oddHBand="0" w:evenHBand="0" w:firstRowFirstColumn="0" w:firstRowLastColumn="0" w:lastRowFirstColumn="0" w:lastRowLastColumn="0"/>
                    <w:rPr>
                      <w:b w:val="0"/>
                      <w:sz w:val="18"/>
                      <w:szCs w:val="18"/>
                    </w:rPr>
                  </w:pPr>
                  <w:r w:rsidRPr="00141403">
                    <w:rPr>
                      <w:b w:val="0"/>
                      <w:sz w:val="18"/>
                      <w:szCs w:val="18"/>
                    </w:rPr>
                    <w:t>2017-18</w:t>
                  </w:r>
                </w:p>
              </w:tc>
              <w:tc>
                <w:tcPr>
                  <w:tcW w:w="667" w:type="dxa"/>
                  <w:vAlign w:val="center"/>
                </w:tcPr>
                <w:p w:rsidR="001B0B64" w:rsidRPr="00141403" w:rsidRDefault="001B0B64" w:rsidP="00141403">
                  <w:pPr>
                    <w:spacing w:before="40" w:after="40" w:line="240" w:lineRule="auto"/>
                    <w:ind w:left="0" w:right="28"/>
                    <w:jc w:val="right"/>
                    <w:cnfStyle w:val="100000000000" w:firstRow="1" w:lastRow="0" w:firstColumn="0" w:lastColumn="0" w:oddVBand="0" w:evenVBand="0" w:oddHBand="0" w:evenHBand="0" w:firstRowFirstColumn="0" w:firstRowLastColumn="0" w:lastRowFirstColumn="0" w:lastRowLastColumn="0"/>
                    <w:rPr>
                      <w:b w:val="0"/>
                      <w:sz w:val="18"/>
                      <w:szCs w:val="18"/>
                    </w:rPr>
                  </w:pPr>
                  <w:r w:rsidRPr="00141403">
                    <w:rPr>
                      <w:b w:val="0"/>
                      <w:sz w:val="18"/>
                      <w:szCs w:val="18"/>
                    </w:rPr>
                    <w:t>2018-19</w:t>
                  </w:r>
                </w:p>
              </w:tc>
              <w:tc>
                <w:tcPr>
                  <w:tcW w:w="670" w:type="dxa"/>
                  <w:vAlign w:val="center"/>
                </w:tcPr>
                <w:p w:rsidR="001B0B64" w:rsidRPr="00141403" w:rsidRDefault="001B0B64" w:rsidP="00141403">
                  <w:pPr>
                    <w:spacing w:before="40" w:after="40" w:line="240" w:lineRule="auto"/>
                    <w:ind w:left="0" w:right="28"/>
                    <w:jc w:val="right"/>
                    <w:cnfStyle w:val="100000000000" w:firstRow="1" w:lastRow="0" w:firstColumn="0" w:lastColumn="0" w:oddVBand="0" w:evenVBand="0" w:oddHBand="0" w:evenHBand="0" w:firstRowFirstColumn="0" w:firstRowLastColumn="0" w:lastRowFirstColumn="0" w:lastRowLastColumn="0"/>
                    <w:rPr>
                      <w:b w:val="0"/>
                      <w:sz w:val="18"/>
                      <w:szCs w:val="18"/>
                    </w:rPr>
                  </w:pPr>
                  <w:r w:rsidRPr="00141403">
                    <w:rPr>
                      <w:b w:val="0"/>
                      <w:sz w:val="18"/>
                      <w:szCs w:val="18"/>
                    </w:rPr>
                    <w:t>2019-20</w:t>
                  </w:r>
                </w:p>
              </w:tc>
              <w:tc>
                <w:tcPr>
                  <w:tcW w:w="670" w:type="dxa"/>
                  <w:vAlign w:val="center"/>
                </w:tcPr>
                <w:p w:rsidR="001B0B64" w:rsidRPr="00141403" w:rsidRDefault="001B0B64" w:rsidP="00141403">
                  <w:pPr>
                    <w:spacing w:before="40" w:after="40" w:line="240" w:lineRule="auto"/>
                    <w:ind w:left="0" w:right="28"/>
                    <w:jc w:val="right"/>
                    <w:cnfStyle w:val="100000000000" w:firstRow="1" w:lastRow="0" w:firstColumn="0" w:lastColumn="0" w:oddVBand="0" w:evenVBand="0" w:oddHBand="0" w:evenHBand="0" w:firstRowFirstColumn="0" w:firstRowLastColumn="0" w:lastRowFirstColumn="0" w:lastRowLastColumn="0"/>
                    <w:rPr>
                      <w:sz w:val="18"/>
                      <w:szCs w:val="18"/>
                    </w:rPr>
                  </w:pPr>
                  <w:r w:rsidRPr="00141403">
                    <w:rPr>
                      <w:sz w:val="18"/>
                      <w:szCs w:val="18"/>
                    </w:rPr>
                    <w:t>Total</w:t>
                  </w:r>
                </w:p>
              </w:tc>
            </w:tr>
            <w:tr w:rsidR="001B0B64" w:rsidRPr="0034657E" w:rsidTr="001414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6" w:type="dxa"/>
                  <w:vAlign w:val="center"/>
                </w:tcPr>
                <w:p w:rsidR="001B0B64" w:rsidRPr="00141403" w:rsidRDefault="001B0B64" w:rsidP="00141403">
                  <w:pPr>
                    <w:spacing w:before="40" w:after="40" w:line="240" w:lineRule="auto"/>
                    <w:ind w:left="28" w:right="0"/>
                    <w:rPr>
                      <w:sz w:val="18"/>
                      <w:szCs w:val="18"/>
                    </w:rPr>
                  </w:pPr>
                  <w:r w:rsidRPr="00141403">
                    <w:rPr>
                      <w:sz w:val="18"/>
                      <w:szCs w:val="18"/>
                    </w:rPr>
                    <w:t>Profiled amounts</w:t>
                  </w:r>
                </w:p>
              </w:tc>
              <w:tc>
                <w:tcPr>
                  <w:tcW w:w="754" w:type="dxa"/>
                  <w:vAlign w:val="center"/>
                </w:tcPr>
                <w:p w:rsidR="001B0B64" w:rsidRPr="00141403" w:rsidRDefault="001B0B64" w:rsidP="00141403">
                  <w:pPr>
                    <w:spacing w:before="40" w:after="40" w:line="240" w:lineRule="auto"/>
                    <w:ind w:left="0" w:right="28"/>
                    <w:jc w:val="right"/>
                    <w:cnfStyle w:val="000000100000" w:firstRow="0" w:lastRow="0" w:firstColumn="0" w:lastColumn="0" w:oddVBand="0" w:evenVBand="0" w:oddHBand="1" w:evenHBand="0" w:firstRowFirstColumn="0" w:firstRowLastColumn="0" w:lastRowFirstColumn="0" w:lastRowLastColumn="0"/>
                    <w:rPr>
                      <w:sz w:val="18"/>
                      <w:szCs w:val="18"/>
                    </w:rPr>
                  </w:pPr>
                  <w:r w:rsidRPr="00141403">
                    <w:rPr>
                      <w:sz w:val="18"/>
                      <w:szCs w:val="18"/>
                    </w:rPr>
                    <w:t>-1,111</w:t>
                  </w:r>
                </w:p>
              </w:tc>
              <w:tc>
                <w:tcPr>
                  <w:tcW w:w="713" w:type="dxa"/>
                  <w:vAlign w:val="center"/>
                </w:tcPr>
                <w:p w:rsidR="001B0B64" w:rsidRPr="00141403" w:rsidRDefault="001B0B64" w:rsidP="00141403">
                  <w:pPr>
                    <w:spacing w:before="40" w:after="40" w:line="240" w:lineRule="auto"/>
                    <w:ind w:left="0" w:right="28"/>
                    <w:jc w:val="right"/>
                    <w:cnfStyle w:val="000000100000" w:firstRow="0" w:lastRow="0" w:firstColumn="0" w:lastColumn="0" w:oddVBand="0" w:evenVBand="0" w:oddHBand="1" w:evenHBand="0" w:firstRowFirstColumn="0" w:firstRowLastColumn="0" w:lastRowFirstColumn="0" w:lastRowLastColumn="0"/>
                    <w:rPr>
                      <w:sz w:val="18"/>
                      <w:szCs w:val="18"/>
                    </w:rPr>
                  </w:pPr>
                  <w:r w:rsidRPr="00141403">
                    <w:rPr>
                      <w:sz w:val="18"/>
                      <w:szCs w:val="18"/>
                    </w:rPr>
                    <w:t>-1,164</w:t>
                  </w:r>
                </w:p>
              </w:tc>
              <w:tc>
                <w:tcPr>
                  <w:tcW w:w="667" w:type="dxa"/>
                  <w:vAlign w:val="center"/>
                </w:tcPr>
                <w:p w:rsidR="001B0B64" w:rsidRPr="00141403" w:rsidRDefault="001B0B64" w:rsidP="00141403">
                  <w:pPr>
                    <w:spacing w:before="40" w:after="40" w:line="240" w:lineRule="auto"/>
                    <w:ind w:left="0" w:right="28"/>
                    <w:jc w:val="right"/>
                    <w:cnfStyle w:val="000000100000" w:firstRow="0" w:lastRow="0" w:firstColumn="0" w:lastColumn="0" w:oddVBand="0" w:evenVBand="0" w:oddHBand="1" w:evenHBand="0" w:firstRowFirstColumn="0" w:firstRowLastColumn="0" w:lastRowFirstColumn="0" w:lastRowLastColumn="0"/>
                    <w:rPr>
                      <w:sz w:val="18"/>
                      <w:szCs w:val="18"/>
                    </w:rPr>
                  </w:pPr>
                  <w:r w:rsidRPr="00141403">
                    <w:rPr>
                      <w:sz w:val="18"/>
                      <w:szCs w:val="18"/>
                    </w:rPr>
                    <w:t>-1,218</w:t>
                  </w:r>
                </w:p>
              </w:tc>
              <w:tc>
                <w:tcPr>
                  <w:tcW w:w="670" w:type="dxa"/>
                  <w:vAlign w:val="center"/>
                </w:tcPr>
                <w:p w:rsidR="001B0B64" w:rsidRPr="00141403" w:rsidRDefault="001B0B64" w:rsidP="00141403">
                  <w:pPr>
                    <w:spacing w:before="40" w:after="40" w:line="240" w:lineRule="auto"/>
                    <w:ind w:left="0" w:right="28"/>
                    <w:jc w:val="right"/>
                    <w:cnfStyle w:val="000000100000" w:firstRow="0" w:lastRow="0" w:firstColumn="0" w:lastColumn="0" w:oddVBand="0" w:evenVBand="0" w:oddHBand="1" w:evenHBand="0" w:firstRowFirstColumn="0" w:firstRowLastColumn="0" w:lastRowFirstColumn="0" w:lastRowLastColumn="0"/>
                    <w:rPr>
                      <w:sz w:val="18"/>
                      <w:szCs w:val="18"/>
                    </w:rPr>
                  </w:pPr>
                  <w:r w:rsidRPr="00141403">
                    <w:rPr>
                      <w:sz w:val="18"/>
                      <w:szCs w:val="18"/>
                    </w:rPr>
                    <w:t>-1,276</w:t>
                  </w:r>
                </w:p>
              </w:tc>
              <w:tc>
                <w:tcPr>
                  <w:tcW w:w="670" w:type="dxa"/>
                  <w:vAlign w:val="center"/>
                </w:tcPr>
                <w:p w:rsidR="001B0B64" w:rsidRPr="00141403" w:rsidRDefault="001B0B64" w:rsidP="00141403">
                  <w:pPr>
                    <w:spacing w:before="40" w:after="40" w:line="240" w:lineRule="auto"/>
                    <w:ind w:left="0" w:right="28"/>
                    <w:jc w:val="right"/>
                    <w:cnfStyle w:val="000000100000" w:firstRow="0" w:lastRow="0" w:firstColumn="0" w:lastColumn="0" w:oddVBand="0" w:evenVBand="0" w:oddHBand="1" w:evenHBand="0" w:firstRowFirstColumn="0" w:firstRowLastColumn="0" w:lastRowFirstColumn="0" w:lastRowLastColumn="0"/>
                    <w:rPr>
                      <w:b/>
                      <w:sz w:val="18"/>
                      <w:szCs w:val="18"/>
                    </w:rPr>
                  </w:pPr>
                  <w:r w:rsidRPr="00141403">
                    <w:rPr>
                      <w:b/>
                      <w:sz w:val="18"/>
                      <w:szCs w:val="18"/>
                    </w:rPr>
                    <w:t>-4,769</w:t>
                  </w:r>
                </w:p>
              </w:tc>
            </w:tr>
          </w:tbl>
          <w:p w:rsidR="006C2368" w:rsidRDefault="004261C0" w:rsidP="001B0B64">
            <w:pPr>
              <w:pStyle w:val="BodyText"/>
              <w:ind w:left="119"/>
              <w:cnfStyle w:val="000000100000" w:firstRow="0" w:lastRow="0" w:firstColumn="0" w:lastColumn="0" w:oddVBand="0" w:evenVBand="0" w:oddHBand="1" w:evenHBand="0" w:firstRowFirstColumn="0" w:firstRowLastColumn="0" w:lastRowFirstColumn="0" w:lastRowLastColumn="0"/>
            </w:pPr>
            <w:r w:rsidRPr="00757C71">
              <w:t>Th</w:t>
            </w:r>
            <w:r>
              <w:t xml:space="preserve">is component </w:t>
            </w:r>
            <w:r w:rsidR="00C2463A">
              <w:t>would have effect from 1 September </w:t>
            </w:r>
            <w:r w:rsidRPr="00757C71">
              <w:t>201</w:t>
            </w:r>
            <w:r>
              <w:t>6.</w:t>
            </w:r>
          </w:p>
        </w:tc>
      </w:tr>
      <w:tr w:rsidR="00C2142E" w:rsidTr="00F433EF">
        <w:tc>
          <w:tcPr>
            <w:cnfStyle w:val="001000000000" w:firstRow="0" w:lastRow="0" w:firstColumn="1" w:lastColumn="0" w:oddVBand="0" w:evenVBand="0" w:oddHBand="0" w:evenHBand="0" w:firstRowFirstColumn="0" w:firstRowLastColumn="0" w:lastRowFirstColumn="0" w:lastRowLastColumn="0"/>
            <w:tcW w:w="3005" w:type="dxa"/>
          </w:tcPr>
          <w:p w:rsidR="00C2142E" w:rsidRDefault="00C2142E" w:rsidP="00F433EF">
            <w:pPr>
              <w:pStyle w:val="BodyText"/>
            </w:pPr>
            <w:r>
              <w:t>Date of public release of policy:</w:t>
            </w:r>
          </w:p>
        </w:tc>
        <w:tc>
          <w:tcPr>
            <w:tcW w:w="5335" w:type="dxa"/>
          </w:tcPr>
          <w:p w:rsidR="00C2142E" w:rsidRPr="00C17112" w:rsidRDefault="006C2368" w:rsidP="006C2368">
            <w:pPr>
              <w:pStyle w:val="BodyText"/>
              <w:cnfStyle w:val="000000000000" w:firstRow="0" w:lastRow="0" w:firstColumn="0" w:lastColumn="0" w:oddVBand="0" w:evenVBand="0" w:oddHBand="0" w:evenHBand="0" w:firstRowFirstColumn="0" w:firstRowLastColumn="0" w:lastRowFirstColumn="0" w:lastRowLastColumn="0"/>
            </w:pPr>
            <w:r>
              <w:t>22 April 2016</w:t>
            </w:r>
            <w:r w:rsidR="00C2142E" w:rsidRPr="00C17112">
              <w:t xml:space="preserve">  </w:t>
            </w:r>
          </w:p>
        </w:tc>
      </w:tr>
      <w:tr w:rsidR="004D5525" w:rsidTr="004D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D5525">
            <w:pPr>
              <w:pStyle w:val="BodyText"/>
            </w:pPr>
            <w:r>
              <w:t>Person/party requesting costing:</w:t>
            </w:r>
          </w:p>
        </w:tc>
        <w:tc>
          <w:tcPr>
            <w:tcW w:w="5335" w:type="dxa"/>
          </w:tcPr>
          <w:p w:rsidR="004D5525" w:rsidRDefault="00376E63" w:rsidP="004D5525">
            <w:pPr>
              <w:pStyle w:val="BodyText"/>
              <w:cnfStyle w:val="000000100000" w:firstRow="0" w:lastRow="0" w:firstColumn="0" w:lastColumn="0" w:oddVBand="0" w:evenVBand="0" w:oddHBand="1" w:evenHBand="0" w:firstRowFirstColumn="0" w:firstRowLastColumn="0" w:lastRowFirstColumn="0" w:lastRowLastColumn="0"/>
            </w:pPr>
            <w:r w:rsidRPr="00376E63">
              <w:t>Senator Richard Di Natale, Australian Greens</w:t>
            </w:r>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D5525">
            <w:pPr>
              <w:pStyle w:val="BodyText"/>
            </w:pPr>
            <w:r>
              <w:lastRenderedPageBreak/>
              <w:t>Date costing request received:</w:t>
            </w:r>
          </w:p>
        </w:tc>
        <w:tc>
          <w:tcPr>
            <w:tcW w:w="5335" w:type="dxa"/>
          </w:tcPr>
          <w:p w:rsidR="004D5525" w:rsidRDefault="006C2368" w:rsidP="004D5525">
            <w:pPr>
              <w:pStyle w:val="BodyText"/>
              <w:cnfStyle w:val="000000000000" w:firstRow="0" w:lastRow="0" w:firstColumn="0" w:lastColumn="0" w:oddVBand="0" w:evenVBand="0" w:oddHBand="0" w:evenHBand="0" w:firstRowFirstColumn="0" w:firstRowLastColumn="0" w:lastRowFirstColumn="0" w:lastRowLastColumn="0"/>
            </w:pPr>
            <w:r>
              <w:t>28</w:t>
            </w:r>
            <w:r w:rsidR="00376E63">
              <w:t xml:space="preserve"> June 2016</w:t>
            </w:r>
          </w:p>
        </w:tc>
      </w:tr>
      <w:tr w:rsidR="004D5525" w:rsidTr="004D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D5525" w:rsidRDefault="004D5525" w:rsidP="004D5525">
            <w:pPr>
              <w:pStyle w:val="BodyText"/>
            </w:pPr>
            <w:r>
              <w:t>Date costing completed</w:t>
            </w:r>
            <w:r w:rsidR="00E86A5E">
              <w:t>:</w:t>
            </w:r>
          </w:p>
        </w:tc>
        <w:tc>
          <w:tcPr>
            <w:tcW w:w="5335" w:type="dxa"/>
          </w:tcPr>
          <w:p w:rsidR="004D5525" w:rsidRPr="00C17112" w:rsidRDefault="006C2368" w:rsidP="004D5525">
            <w:pPr>
              <w:pStyle w:val="BodyText"/>
              <w:cnfStyle w:val="000000100000" w:firstRow="0" w:lastRow="0" w:firstColumn="0" w:lastColumn="0" w:oddVBand="0" w:evenVBand="0" w:oddHBand="1" w:evenHBand="0" w:firstRowFirstColumn="0" w:firstRowLastColumn="0" w:lastRowFirstColumn="0" w:lastRowLastColumn="0"/>
            </w:pPr>
            <w:r>
              <w:t>29</w:t>
            </w:r>
            <w:r w:rsidR="00376E63">
              <w:t xml:space="preserve"> June 2016</w:t>
            </w:r>
          </w:p>
        </w:tc>
      </w:tr>
      <w:tr w:rsidR="004261C0" w:rsidTr="00165E2D">
        <w:tc>
          <w:tcPr>
            <w:cnfStyle w:val="001000000000" w:firstRow="0" w:lastRow="0" w:firstColumn="1" w:lastColumn="0" w:oddVBand="0" w:evenVBand="0" w:oddHBand="0" w:evenHBand="0" w:firstRowFirstColumn="0" w:firstRowLastColumn="0" w:lastRowFirstColumn="0" w:lastRowLastColumn="0"/>
            <w:tcW w:w="3005" w:type="dxa"/>
          </w:tcPr>
          <w:p w:rsidR="004261C0" w:rsidRPr="00220BE5" w:rsidRDefault="004261C0" w:rsidP="004261C0">
            <w:pPr>
              <w:pStyle w:val="BodyText"/>
            </w:pPr>
            <w:r>
              <w:t>Additional information requested:</w:t>
            </w:r>
          </w:p>
        </w:tc>
        <w:tc>
          <w:tcPr>
            <w:tcW w:w="5335" w:type="dxa"/>
          </w:tcPr>
          <w:p w:rsidR="004261C0" w:rsidRPr="002434ED" w:rsidRDefault="00FB421A" w:rsidP="004261C0">
            <w:pPr>
              <w:pStyle w:val="BodyText"/>
              <w:cnfStyle w:val="000000000000" w:firstRow="0" w:lastRow="0" w:firstColumn="0" w:lastColumn="0" w:oddVBand="0" w:evenVBand="0" w:oddHBand="0" w:evenHBand="0" w:firstRowFirstColumn="0" w:firstRowLastColumn="0" w:lastRowFirstColumn="0" w:lastRowLastColumn="0"/>
            </w:pPr>
            <w:r>
              <w:t>On 28 June</w:t>
            </w:r>
            <w:bookmarkStart w:id="0" w:name="_GoBack"/>
            <w:bookmarkEnd w:id="0"/>
            <w:r w:rsidR="004261C0">
              <w:t xml:space="preserve"> 2016 clarification was sought from the office of </w:t>
            </w:r>
            <w:r w:rsidR="004261C0" w:rsidRPr="004261C0">
              <w:t>Senator Di Natale</w:t>
            </w:r>
            <w:r w:rsidR="004261C0">
              <w:t xml:space="preserve"> (the office) as to what the policy is for both components beyond 2019-20.</w:t>
            </w:r>
          </w:p>
        </w:tc>
      </w:tr>
      <w:tr w:rsidR="004261C0" w:rsidTr="004D5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4261C0" w:rsidRPr="00220BE5" w:rsidRDefault="004261C0" w:rsidP="004261C0">
            <w:pPr>
              <w:pStyle w:val="BodyText"/>
            </w:pPr>
            <w:r>
              <w:t>Additional information received:</w:t>
            </w:r>
          </w:p>
        </w:tc>
        <w:tc>
          <w:tcPr>
            <w:tcW w:w="5335" w:type="dxa"/>
          </w:tcPr>
          <w:p w:rsidR="004261C0" w:rsidRDefault="004261C0" w:rsidP="004261C0">
            <w:pPr>
              <w:pStyle w:val="BodyText"/>
              <w:cnfStyle w:val="000000100000" w:firstRow="0" w:lastRow="0" w:firstColumn="0" w:lastColumn="0" w:oddVBand="0" w:evenVBand="0" w:oddHBand="1" w:evenHBand="0" w:firstRowFirstColumn="0" w:firstRowLastColumn="0" w:lastRowFirstColumn="0" w:lastRowLastColumn="0"/>
            </w:pPr>
            <w:r>
              <w:t xml:space="preserve">On 28 </w:t>
            </w:r>
            <w:r w:rsidR="00FB421A">
              <w:t>June</w:t>
            </w:r>
            <w:r>
              <w:t xml:space="preserve"> 2016 the office advised that:</w:t>
            </w:r>
          </w:p>
          <w:p w:rsidR="004261C0" w:rsidRPr="00E86A5E" w:rsidRDefault="004261C0" w:rsidP="001F0DA1">
            <w:pPr>
              <w:pStyle w:val="Bullet1"/>
              <w:ind w:left="397" w:hanging="284"/>
              <w:cnfStyle w:val="000000100000" w:firstRow="0" w:lastRow="0" w:firstColumn="0" w:lastColumn="0" w:oddVBand="0" w:evenVBand="0" w:oddHBand="1" w:evenHBand="0" w:firstRowFirstColumn="0" w:firstRowLastColumn="0" w:lastRowFirstColumn="0" w:lastRowLastColumn="0"/>
            </w:pPr>
            <w:r w:rsidRPr="004261C0">
              <w:rPr>
                <w:u w:val="single"/>
              </w:rPr>
              <w:t>Component 1</w:t>
            </w:r>
            <w:r>
              <w:t xml:space="preserve">: Noting a review would be undertaken </w:t>
            </w:r>
            <w:r w:rsidRPr="00E86A5E">
              <w:t xml:space="preserve">to determine future policy, after 2019, this policy maintains a 2019 level of funding, plus indexation, as per the </w:t>
            </w:r>
            <w:r w:rsidRPr="00E86A5E">
              <w:rPr>
                <w:i/>
              </w:rPr>
              <w:t>Australian Education Act 2013</w:t>
            </w:r>
            <w:r w:rsidR="002106C9" w:rsidRPr="00E86A5E">
              <w:t xml:space="preserve"> (the Education Act)</w:t>
            </w:r>
            <w:r w:rsidRPr="00E86A5E">
              <w:t>.</w:t>
            </w:r>
          </w:p>
          <w:p w:rsidR="004261C0" w:rsidRPr="004261C0" w:rsidRDefault="004261C0" w:rsidP="001F0DA1">
            <w:pPr>
              <w:pStyle w:val="Bullet1"/>
              <w:ind w:left="397" w:hanging="284"/>
              <w:cnfStyle w:val="000000100000" w:firstRow="0" w:lastRow="0" w:firstColumn="0" w:lastColumn="0" w:oddVBand="0" w:evenVBand="0" w:oddHBand="1" w:evenHBand="0" w:firstRowFirstColumn="0" w:firstRowLastColumn="0" w:lastRowFirstColumn="0" w:lastRowLastColumn="0"/>
            </w:pPr>
            <w:r w:rsidRPr="00E86A5E">
              <w:t xml:space="preserve">Component 2: Additional funding under this component is ongoing calculated yearly against latest Nationally Consistent Collection of Data (NCCD) on School Students with Disability, and indexed as per the </w:t>
            </w:r>
            <w:r w:rsidR="002106C9" w:rsidRPr="00E86A5E">
              <w:t xml:space="preserve">Education </w:t>
            </w:r>
            <w:r w:rsidRPr="00E86A5E">
              <w:t>Act.</w:t>
            </w:r>
          </w:p>
        </w:tc>
      </w:tr>
      <w:tr w:rsidR="004D5525" w:rsidTr="004D5525">
        <w:tc>
          <w:tcPr>
            <w:cnfStyle w:val="001000000000" w:firstRow="0" w:lastRow="0" w:firstColumn="1" w:lastColumn="0" w:oddVBand="0" w:evenVBand="0" w:oddHBand="0" w:evenHBand="0" w:firstRowFirstColumn="0" w:firstRowLastColumn="0" w:lastRowFirstColumn="0" w:lastRowLastColumn="0"/>
            <w:tcW w:w="3005" w:type="dxa"/>
          </w:tcPr>
          <w:p w:rsidR="004D5525" w:rsidRPr="00220BE5" w:rsidRDefault="004D5525" w:rsidP="004D5525">
            <w:pPr>
              <w:pStyle w:val="BodyText"/>
            </w:pPr>
            <w:r w:rsidRPr="00220BE5">
              <w:t>Expiry date for the costing:</w:t>
            </w:r>
          </w:p>
        </w:tc>
        <w:tc>
          <w:tcPr>
            <w:tcW w:w="5335" w:type="dxa"/>
          </w:tcPr>
          <w:p w:rsidR="004D5525" w:rsidRPr="00220BE5" w:rsidRDefault="00F433EF" w:rsidP="00220BE5">
            <w:pPr>
              <w:pStyle w:val="BodyText"/>
              <w:cnfStyle w:val="000000000000" w:firstRow="0" w:lastRow="0" w:firstColumn="0" w:lastColumn="0" w:oddVBand="0" w:evenVBand="0" w:oddHBand="0" w:evenHBand="0" w:firstRowFirstColumn="0" w:firstRowLastColumn="0" w:lastRowFirstColumn="0" w:lastRowLastColumn="0"/>
            </w:pPr>
            <w:r w:rsidRPr="002434ED">
              <w:t>Release of the next economic and fiscal outlook report</w:t>
            </w:r>
          </w:p>
        </w:tc>
      </w:tr>
    </w:tbl>
    <w:p w:rsidR="0055581F" w:rsidRPr="00002D5D" w:rsidRDefault="008030EC" w:rsidP="00FC6579">
      <w:pPr>
        <w:pStyle w:val="Heading2"/>
      </w:pPr>
      <w:r w:rsidRPr="00002D5D">
        <w:t>Costing overview</w:t>
      </w:r>
    </w:p>
    <w:p w:rsidR="001D1985" w:rsidRDefault="001D1985" w:rsidP="001D1985">
      <w:pPr>
        <w:spacing w:before="120"/>
      </w:pPr>
      <w:r>
        <w:t xml:space="preserve">The </w:t>
      </w:r>
      <w:r w:rsidRPr="00A25C9F">
        <w:t>National Education Reform Agreements (NERA)</w:t>
      </w:r>
      <w:r>
        <w:t xml:space="preserve"> between the Commonwealth and states/territories aim to increase school funding over the period 2014 to 2019 to 95 per cent funding of the SRS.</w:t>
      </w:r>
      <w:r>
        <w:rPr>
          <w:rStyle w:val="FootnoteReference"/>
        </w:rPr>
        <w:footnoteReference w:id="1"/>
      </w:r>
      <w:r>
        <w:t xml:space="preserve">  In the 2014-15 Budget</w:t>
      </w:r>
      <w:r w:rsidR="00FB6982">
        <w:t>,</w:t>
      </w:r>
      <w:r>
        <w:t xml:space="preserve"> the Government announced that from 1</w:t>
      </w:r>
      <w:r w:rsidR="00FB6982">
        <w:t> </w:t>
      </w:r>
      <w:r>
        <w:t>January</w:t>
      </w:r>
      <w:r w:rsidR="00FB6982">
        <w:t> </w:t>
      </w:r>
      <w:r>
        <w:t>2018 Commonwealth funding to schools will increase by the Consumer Price Index (CPI) and account for student enrolment growth.</w:t>
      </w:r>
      <w:r>
        <w:rPr>
          <w:rStyle w:val="FootnoteReference"/>
        </w:rPr>
        <w:footnoteReference w:id="2"/>
      </w:r>
      <w:r>
        <w:t xml:space="preserve">  In the 2016-17 Budget</w:t>
      </w:r>
      <w:r w:rsidR="00FB6982">
        <w:t>,</w:t>
      </w:r>
      <w:r>
        <w:t xml:space="preserve"> the Government announced that total school funding for the 2018, 2019 and 2020 school years would be indexed by 3.56 per cent and account for student enrolment growth.</w:t>
      </w:r>
      <w:r>
        <w:rPr>
          <w:rStyle w:val="FootnoteReference"/>
        </w:rPr>
        <w:footnoteReference w:id="3"/>
      </w:r>
    </w:p>
    <w:p w:rsidR="001D1985" w:rsidRDefault="001D1985" w:rsidP="001D1985">
      <w:r>
        <w:t xml:space="preserve">This proposal would fund schools in 2018 and 2019 in line with NERA and the Education </w:t>
      </w:r>
      <w:r w:rsidRPr="00D004AE">
        <w:t>A</w:t>
      </w:r>
      <w:r w:rsidR="002106C9">
        <w:t xml:space="preserve">ct </w:t>
      </w:r>
      <w:r>
        <w:t>with</w:t>
      </w:r>
      <w:r w:rsidRPr="003550B1">
        <w:t xml:space="preserve"> all </w:t>
      </w:r>
      <w:r>
        <w:t>states</w:t>
      </w:r>
      <w:r w:rsidRPr="003550B1">
        <w:t xml:space="preserve"> </w:t>
      </w:r>
      <w:r>
        <w:t xml:space="preserve">and territories </w:t>
      </w:r>
      <w:r w:rsidRPr="003550B1">
        <w:t>reach</w:t>
      </w:r>
      <w:r>
        <w:t>ing</w:t>
      </w:r>
      <w:r w:rsidRPr="003550B1">
        <w:t xml:space="preserve"> 95 per cent of </w:t>
      </w:r>
      <w:r>
        <w:t xml:space="preserve">SRS </w:t>
      </w:r>
      <w:r w:rsidRPr="00E24D03">
        <w:t>following the funding trajectories set out in the NERA</w:t>
      </w:r>
      <w:r>
        <w:t>.</w:t>
      </w:r>
      <w:r>
        <w:rPr>
          <w:rStyle w:val="FootnoteReference"/>
        </w:rPr>
        <w:footnoteReference w:id="4"/>
      </w:r>
      <w:r>
        <w:t xml:space="preserve">  For jurisdictions not currently signed up to NERA (Western Australia, Queensland</w:t>
      </w:r>
      <w:r w:rsidRPr="00A25C9F">
        <w:t xml:space="preserve"> and </w:t>
      </w:r>
      <w:r>
        <w:t xml:space="preserve">the Northern Territory), funding to schools would be provided </w:t>
      </w:r>
      <w:r w:rsidRPr="003550B1">
        <w:t xml:space="preserve">on the same basis as </w:t>
      </w:r>
      <w:r>
        <w:t>the final offers made to them in 2013.  For 2020, funding would be provided at a level to maintain schools on their 2019 percentages of SRS (with the exception of Victorian schools that would continue to progress towards 95 per cent SRS in 2022).</w:t>
      </w:r>
    </w:p>
    <w:p w:rsidR="001D1985" w:rsidRDefault="001D1985" w:rsidP="001D1985">
      <w:r>
        <w:lastRenderedPageBreak/>
        <w:t xml:space="preserve">This proposal </w:t>
      </w:r>
      <w:r w:rsidR="00F433EF">
        <w:t xml:space="preserve">would be </w:t>
      </w:r>
      <w:r>
        <w:t>expected to decrease both</w:t>
      </w:r>
      <w:r w:rsidRPr="008A5180">
        <w:t xml:space="preserve"> the </w:t>
      </w:r>
      <w:r>
        <w:t xml:space="preserve">fiscal and </w:t>
      </w:r>
      <w:r w:rsidRPr="008A5180">
        <w:t xml:space="preserve">underlying cash </w:t>
      </w:r>
      <w:r w:rsidRPr="00757C71">
        <w:t>balances by $</w:t>
      </w:r>
      <w:r w:rsidR="001B0B64">
        <w:t>10,159</w:t>
      </w:r>
      <w:r>
        <w:t> m</w:t>
      </w:r>
      <w:r w:rsidRPr="00757C71">
        <w:t>illion</w:t>
      </w:r>
      <w:r>
        <w:t xml:space="preserve"> over the 2016-17 Budget forward estimates period.  This impact is entirely due to an increase in administered expenses.</w:t>
      </w:r>
    </w:p>
    <w:p w:rsidR="001D1985" w:rsidRDefault="001D1985" w:rsidP="001D1985">
      <w:r>
        <w:t xml:space="preserve">This proposal would not be expected to require additional departmental expenses, as the proposal relates to an existing function of </w:t>
      </w:r>
      <w:r w:rsidR="00F433EF">
        <w:t>the Department of Education and Training (</w:t>
      </w:r>
      <w:r>
        <w:t>DET</w:t>
      </w:r>
      <w:r w:rsidR="00F433EF">
        <w:t>)</w:t>
      </w:r>
      <w:r>
        <w:t xml:space="preserve">.  This is consistent with </w:t>
      </w:r>
      <w:r w:rsidRPr="002111E1">
        <w:t>the 201</w:t>
      </w:r>
      <w:r>
        <w:t xml:space="preserve">6-17 </w:t>
      </w:r>
      <w:r w:rsidRPr="002111E1">
        <w:t>Budget measure</w:t>
      </w:r>
      <w:r>
        <w:t>,</w:t>
      </w:r>
      <w:r w:rsidRPr="002111E1">
        <w:t xml:space="preserve"> </w:t>
      </w:r>
      <w:r w:rsidRPr="004C2EA2">
        <w:rPr>
          <w:i/>
        </w:rPr>
        <w:t xml:space="preserve">School Funding – additional </w:t>
      </w:r>
      <w:r>
        <w:rPr>
          <w:i/>
        </w:rPr>
        <w:t xml:space="preserve">funding from 2018 </w:t>
      </w:r>
      <w:r w:rsidRPr="002111E1">
        <w:t xml:space="preserve">which </w:t>
      </w:r>
      <w:r>
        <w:t xml:space="preserve">did not provide </w:t>
      </w:r>
      <w:r w:rsidRPr="002111E1">
        <w:t>departmental funding.</w:t>
      </w:r>
    </w:p>
    <w:p w:rsidR="001D1985" w:rsidRDefault="00F6018A" w:rsidP="001D1985">
      <w:r>
        <w:t>The proposal would have an impact beyond the forward estimates and the financial impacts</w:t>
      </w:r>
      <w:r w:rsidR="002106C9">
        <w:t>, disaggregated by component,</w:t>
      </w:r>
      <w:r>
        <w:t xml:space="preserve"> for the period 2016-17 to 2026-27 are provided at </w:t>
      </w:r>
      <w:r w:rsidR="002106C9">
        <w:rPr>
          <w:u w:val="single"/>
        </w:rPr>
        <w:t>Attachment </w:t>
      </w:r>
      <w:r w:rsidRPr="00A33CC6">
        <w:rPr>
          <w:u w:val="single"/>
        </w:rPr>
        <w:t>A</w:t>
      </w:r>
      <w:r>
        <w:t>.</w:t>
      </w:r>
    </w:p>
    <w:p w:rsidR="001D1985" w:rsidRDefault="00F433EF" w:rsidP="001D1985">
      <w:r>
        <w:t>This costing is</w:t>
      </w:r>
      <w:r w:rsidR="001D1985" w:rsidRPr="00FC5F14">
        <w:t xml:space="preserve"> considered to be of a medium reliability</w:t>
      </w:r>
      <w:r w:rsidR="002106C9">
        <w:t>, while Component 2 is based on specified amounts, Component 1</w:t>
      </w:r>
      <w:r w:rsidR="001D1985" w:rsidRPr="00FC5F14">
        <w:t xml:space="preserve"> </w:t>
      </w:r>
      <w:r w:rsidR="005563BA">
        <w:t>is</w:t>
      </w:r>
      <w:r w:rsidR="001D1985" w:rsidRPr="00FC5F14">
        <w:t xml:space="preserve"> based on current Commonwealth and state/territory school funding estimates and school data from DET.  The reliability of the costing decreases the further into the futu</w:t>
      </w:r>
      <w:r w:rsidR="00EE75EA">
        <w:t>re the estimates are projected.</w:t>
      </w:r>
    </w:p>
    <w:p w:rsidR="001D1985" w:rsidRDefault="001D1985" w:rsidP="001D1985">
      <w:r w:rsidRPr="001B2800">
        <w:t>Further, as current 2018 and 2019 Commonwealth funding estimates are not calculated on an individual school basis, the Parliamentary Budget Office (PBO) has applied the specification that no school would be worse off compared to current funding at a state/</w:t>
      </w:r>
      <w:r>
        <w:t>sector level</w:t>
      </w:r>
      <w:r w:rsidRPr="001B2800">
        <w:t>.</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r w:rsidR="00A44FB8">
        <w:rPr>
          <w:vertAlign w:val="superscript"/>
        </w:rPr>
        <w:t>(b)</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EE75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vAlign w:val="center"/>
          </w:tcPr>
          <w:p w:rsidR="00CA5D42" w:rsidRPr="00627475" w:rsidRDefault="00CA5D42" w:rsidP="00EE75EA">
            <w:pPr>
              <w:pStyle w:val="TableText"/>
              <w:keepNext/>
              <w:keepLines/>
              <w:spacing w:line="240" w:lineRule="auto"/>
              <w:ind w:left="57" w:right="57"/>
              <w:rPr>
                <w:rFonts w:ascii="Calibri" w:hAnsi="Calibri"/>
                <w:b w:val="0"/>
                <w:szCs w:val="20"/>
              </w:rPr>
            </w:pPr>
            <w:r w:rsidRPr="00627475">
              <w:rPr>
                <w:rFonts w:ascii="Calibri" w:hAnsi="Calibri"/>
                <w:b w:val="0"/>
                <w:szCs w:val="20"/>
              </w:rPr>
              <w:t>Impact on</w:t>
            </w:r>
            <w:r w:rsidR="00461597" w:rsidRPr="00627475">
              <w:rPr>
                <w:rFonts w:ascii="Calibri" w:hAnsi="Calibri"/>
                <w:b w:val="0"/>
                <w:szCs w:val="20"/>
              </w:rPr>
              <w:t xml:space="preserve"> ($m)</w:t>
            </w:r>
          </w:p>
        </w:tc>
        <w:tc>
          <w:tcPr>
            <w:tcW w:w="682" w:type="pct"/>
            <w:vAlign w:val="center"/>
          </w:tcPr>
          <w:p w:rsidR="00CA5D42" w:rsidRPr="00627475" w:rsidRDefault="00CA5D42" w:rsidP="00EE75EA">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627475">
              <w:rPr>
                <w:rFonts w:ascii="Calibri" w:hAnsi="Calibri"/>
                <w:b w:val="0"/>
                <w:sz w:val="20"/>
                <w:szCs w:val="20"/>
              </w:rPr>
              <w:t>2016–17</w:t>
            </w:r>
          </w:p>
        </w:tc>
        <w:tc>
          <w:tcPr>
            <w:tcW w:w="682" w:type="pct"/>
            <w:vAlign w:val="center"/>
          </w:tcPr>
          <w:p w:rsidR="00CA5D42" w:rsidRPr="00627475" w:rsidRDefault="00CA5D42" w:rsidP="00EE75EA">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627475">
              <w:rPr>
                <w:rFonts w:ascii="Calibri" w:hAnsi="Calibri"/>
                <w:b w:val="0"/>
                <w:sz w:val="20"/>
                <w:szCs w:val="20"/>
              </w:rPr>
              <w:t>2017–18</w:t>
            </w:r>
          </w:p>
        </w:tc>
        <w:tc>
          <w:tcPr>
            <w:tcW w:w="682" w:type="pct"/>
            <w:vAlign w:val="center"/>
          </w:tcPr>
          <w:p w:rsidR="00CA5D42" w:rsidRPr="00627475" w:rsidRDefault="00CA5D42" w:rsidP="00EE75EA">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627475">
              <w:rPr>
                <w:rFonts w:ascii="Calibri" w:hAnsi="Calibri"/>
                <w:b w:val="0"/>
                <w:sz w:val="20"/>
                <w:szCs w:val="20"/>
              </w:rPr>
              <w:t>2018–19</w:t>
            </w:r>
          </w:p>
        </w:tc>
        <w:tc>
          <w:tcPr>
            <w:tcW w:w="682" w:type="pct"/>
            <w:vAlign w:val="center"/>
          </w:tcPr>
          <w:p w:rsidR="00CA5D42" w:rsidRPr="00627475" w:rsidRDefault="00CA5D42" w:rsidP="00EE75EA">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b w:val="0"/>
                <w:sz w:val="20"/>
                <w:szCs w:val="20"/>
              </w:rPr>
            </w:pPr>
            <w:r w:rsidRPr="00627475">
              <w:rPr>
                <w:rFonts w:ascii="Calibri" w:hAnsi="Calibri"/>
                <w:b w:val="0"/>
                <w:sz w:val="20"/>
                <w:szCs w:val="20"/>
              </w:rPr>
              <w:t>2019–20</w:t>
            </w:r>
          </w:p>
        </w:tc>
        <w:tc>
          <w:tcPr>
            <w:tcW w:w="681" w:type="pct"/>
            <w:vAlign w:val="center"/>
          </w:tcPr>
          <w:p w:rsidR="00CA5D42" w:rsidRPr="00B0630E" w:rsidRDefault="00CA5D42" w:rsidP="00EE75EA">
            <w:pPr>
              <w:keepNext/>
              <w:keepLines/>
              <w:spacing w:before="70" w:after="70" w:line="240" w:lineRule="auto"/>
              <w:ind w:left="57" w:right="57"/>
              <w:jc w:val="right"/>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r w:rsidRPr="00B0630E">
              <w:rPr>
                <w:rFonts w:ascii="Calibri" w:hAnsi="Calibri"/>
                <w:sz w:val="20"/>
                <w:szCs w:val="20"/>
              </w:rPr>
              <w:t>Total</w:t>
            </w:r>
          </w:p>
        </w:tc>
      </w:tr>
      <w:tr w:rsidR="001B0B64" w:rsidRPr="00B73AC8" w:rsidTr="00EE7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vAlign w:val="center"/>
          </w:tcPr>
          <w:p w:rsidR="001B0B64" w:rsidRPr="00B0630E" w:rsidRDefault="001B0B64" w:rsidP="00EE75EA">
            <w:pPr>
              <w:pStyle w:val="TableTextCentred"/>
              <w:keepNext/>
              <w:keepLines/>
              <w:spacing w:line="240" w:lineRule="auto"/>
              <w:ind w:left="57" w:right="57"/>
              <w:jc w:val="left"/>
              <w:rPr>
                <w:rFonts w:ascii="Calibri" w:hAnsi="Calibri"/>
                <w:szCs w:val="20"/>
              </w:rPr>
            </w:pPr>
            <w:r w:rsidRPr="00B0630E">
              <w:rPr>
                <w:rFonts w:ascii="Calibri" w:hAnsi="Calibri"/>
                <w:szCs w:val="20"/>
              </w:rPr>
              <w:t>Fiscal balance</w:t>
            </w:r>
          </w:p>
        </w:tc>
        <w:tc>
          <w:tcPr>
            <w:tcW w:w="682" w:type="pct"/>
            <w:vAlign w:val="center"/>
          </w:tcPr>
          <w:p w:rsidR="001B0B64" w:rsidRPr="001B0B64" w:rsidRDefault="001B0B64" w:rsidP="00EE75EA">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rPr>
            </w:pPr>
            <w:r w:rsidRPr="001B0B64">
              <w:rPr>
                <w:sz w:val="20"/>
              </w:rPr>
              <w:t xml:space="preserve">-1,111 </w:t>
            </w:r>
          </w:p>
        </w:tc>
        <w:tc>
          <w:tcPr>
            <w:tcW w:w="682" w:type="pct"/>
            <w:vAlign w:val="center"/>
          </w:tcPr>
          <w:p w:rsidR="001B0B64" w:rsidRPr="001B0B64" w:rsidRDefault="001B0B64" w:rsidP="00EE75EA">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rPr>
            </w:pPr>
            <w:r w:rsidRPr="001B0B64">
              <w:rPr>
                <w:sz w:val="20"/>
              </w:rPr>
              <w:t xml:space="preserve">-1,634 </w:t>
            </w:r>
          </w:p>
        </w:tc>
        <w:tc>
          <w:tcPr>
            <w:tcW w:w="682" w:type="pct"/>
            <w:vAlign w:val="center"/>
          </w:tcPr>
          <w:p w:rsidR="001B0B64" w:rsidRPr="001B0B64" w:rsidRDefault="001B0B64" w:rsidP="00EE75EA">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rPr>
            </w:pPr>
            <w:r w:rsidRPr="001B0B64">
              <w:rPr>
                <w:sz w:val="20"/>
              </w:rPr>
              <w:t xml:space="preserve">-3,118 </w:t>
            </w:r>
          </w:p>
        </w:tc>
        <w:tc>
          <w:tcPr>
            <w:tcW w:w="682" w:type="pct"/>
            <w:vAlign w:val="center"/>
          </w:tcPr>
          <w:p w:rsidR="001B0B64" w:rsidRPr="001B0B64" w:rsidRDefault="001B0B64" w:rsidP="00EE75EA">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sz w:val="20"/>
              </w:rPr>
            </w:pPr>
            <w:r w:rsidRPr="001B0B64">
              <w:rPr>
                <w:sz w:val="20"/>
              </w:rPr>
              <w:t xml:space="preserve">-4,296 </w:t>
            </w:r>
          </w:p>
        </w:tc>
        <w:tc>
          <w:tcPr>
            <w:tcW w:w="681" w:type="pct"/>
            <w:vAlign w:val="center"/>
          </w:tcPr>
          <w:p w:rsidR="001B0B64" w:rsidRPr="001B0B64" w:rsidRDefault="001B0B64" w:rsidP="00EE75EA">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sz w:val="20"/>
              </w:rPr>
            </w:pPr>
            <w:r w:rsidRPr="001B0B64">
              <w:rPr>
                <w:b/>
                <w:sz w:val="20"/>
              </w:rPr>
              <w:t xml:space="preserve">-10,159 </w:t>
            </w:r>
          </w:p>
        </w:tc>
      </w:tr>
      <w:tr w:rsidR="001B0B64" w:rsidRPr="00B73AC8" w:rsidTr="00EE75EA">
        <w:tc>
          <w:tcPr>
            <w:cnfStyle w:val="001000000000" w:firstRow="0" w:lastRow="0" w:firstColumn="1" w:lastColumn="0" w:oddVBand="0" w:evenVBand="0" w:oddHBand="0" w:evenHBand="0" w:firstRowFirstColumn="0" w:firstRowLastColumn="0" w:lastRowFirstColumn="0" w:lastRowLastColumn="0"/>
            <w:tcW w:w="1591" w:type="pct"/>
            <w:vAlign w:val="center"/>
          </w:tcPr>
          <w:p w:rsidR="001B0B64" w:rsidRPr="00B0630E" w:rsidRDefault="001B0B64" w:rsidP="00EE75EA">
            <w:pPr>
              <w:pStyle w:val="TableTextCentred"/>
              <w:keepNext/>
              <w:keepLines/>
              <w:spacing w:line="240" w:lineRule="auto"/>
              <w:ind w:left="57" w:right="57"/>
              <w:jc w:val="left"/>
              <w:rPr>
                <w:rFonts w:ascii="Calibri" w:hAnsi="Calibri"/>
                <w:szCs w:val="20"/>
              </w:rPr>
            </w:pPr>
            <w:r w:rsidRPr="00B0630E">
              <w:rPr>
                <w:rFonts w:ascii="Calibri" w:hAnsi="Calibri"/>
                <w:szCs w:val="20"/>
              </w:rPr>
              <w:t>Underlying cash balance</w:t>
            </w:r>
          </w:p>
        </w:tc>
        <w:tc>
          <w:tcPr>
            <w:tcW w:w="682" w:type="pct"/>
            <w:vAlign w:val="center"/>
          </w:tcPr>
          <w:p w:rsidR="001B0B64" w:rsidRPr="001B0B64" w:rsidRDefault="001B0B64" w:rsidP="00EE75E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rPr>
            </w:pPr>
            <w:r w:rsidRPr="001B0B64">
              <w:rPr>
                <w:sz w:val="20"/>
              </w:rPr>
              <w:t xml:space="preserve">-1,111 </w:t>
            </w:r>
          </w:p>
        </w:tc>
        <w:tc>
          <w:tcPr>
            <w:tcW w:w="682" w:type="pct"/>
            <w:vAlign w:val="center"/>
          </w:tcPr>
          <w:p w:rsidR="001B0B64" w:rsidRPr="001B0B64" w:rsidRDefault="001B0B64" w:rsidP="00EE75E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rPr>
            </w:pPr>
            <w:r w:rsidRPr="001B0B64">
              <w:rPr>
                <w:sz w:val="20"/>
              </w:rPr>
              <w:t xml:space="preserve">-1,634 </w:t>
            </w:r>
          </w:p>
        </w:tc>
        <w:tc>
          <w:tcPr>
            <w:tcW w:w="682" w:type="pct"/>
            <w:vAlign w:val="center"/>
          </w:tcPr>
          <w:p w:rsidR="001B0B64" w:rsidRPr="001B0B64" w:rsidRDefault="001B0B64" w:rsidP="00EE75E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rPr>
            </w:pPr>
            <w:r w:rsidRPr="001B0B64">
              <w:rPr>
                <w:sz w:val="20"/>
              </w:rPr>
              <w:t xml:space="preserve">-3,118 </w:t>
            </w:r>
          </w:p>
        </w:tc>
        <w:tc>
          <w:tcPr>
            <w:tcW w:w="682" w:type="pct"/>
            <w:vAlign w:val="center"/>
          </w:tcPr>
          <w:p w:rsidR="001B0B64" w:rsidRPr="001B0B64" w:rsidRDefault="001B0B64" w:rsidP="00EE75E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sz w:val="20"/>
              </w:rPr>
            </w:pPr>
            <w:r w:rsidRPr="001B0B64">
              <w:rPr>
                <w:sz w:val="20"/>
              </w:rPr>
              <w:t xml:space="preserve">-4,296 </w:t>
            </w:r>
          </w:p>
        </w:tc>
        <w:tc>
          <w:tcPr>
            <w:tcW w:w="681" w:type="pct"/>
            <w:vAlign w:val="center"/>
          </w:tcPr>
          <w:p w:rsidR="001B0B64" w:rsidRPr="001B0B64" w:rsidRDefault="001B0B64" w:rsidP="00EE75EA">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sz w:val="20"/>
              </w:rPr>
            </w:pPr>
            <w:r w:rsidRPr="001B0B64">
              <w:rPr>
                <w:b/>
                <w:sz w:val="20"/>
              </w:rPr>
              <w:t xml:space="preserve">-10,159 </w:t>
            </w:r>
          </w:p>
        </w:tc>
      </w:tr>
    </w:tbl>
    <w:p w:rsidR="00F6018A" w:rsidRDefault="00F6018A" w:rsidP="00C64B11">
      <w:pPr>
        <w:pStyle w:val="Footnotes"/>
        <w:keepNext/>
        <w:keepLines/>
        <w:numPr>
          <w:ilvl w:val="0"/>
          <w:numId w:val="7"/>
        </w:numPr>
        <w:ind w:left="284" w:hanging="284"/>
      </w:pPr>
      <w:r w:rsidRPr="00CE1E3D">
        <w:t>A positive number indicates an increase in the relevant budget balance, a negative number a decrease.</w:t>
      </w:r>
    </w:p>
    <w:p w:rsidR="00A44FB8" w:rsidRPr="00CE1E3D" w:rsidRDefault="00A44FB8" w:rsidP="00C64B11">
      <w:pPr>
        <w:pStyle w:val="Footnotes"/>
        <w:keepNext/>
        <w:keepLines/>
        <w:numPr>
          <w:ilvl w:val="0"/>
          <w:numId w:val="7"/>
        </w:numPr>
        <w:ind w:left="284" w:hanging="284"/>
      </w:pPr>
      <w:r w:rsidRPr="00AD54CA">
        <w:t>Figures may not sum to totals due to rounding.</w:t>
      </w:r>
    </w:p>
    <w:p w:rsidR="001D1985" w:rsidRPr="00FC6579" w:rsidRDefault="001D1985" w:rsidP="001D1985">
      <w:pPr>
        <w:pStyle w:val="Heading2"/>
      </w:pPr>
      <w:r w:rsidRPr="00FC6579">
        <w:t>Key assumptions</w:t>
      </w:r>
    </w:p>
    <w:p w:rsidR="001D1985" w:rsidRDefault="001D1985" w:rsidP="001D1985">
      <w:pPr>
        <w:pStyle w:val="Bullet1"/>
        <w:numPr>
          <w:ilvl w:val="0"/>
          <w:numId w:val="0"/>
        </w:numPr>
      </w:pPr>
      <w:r>
        <w:t>In costing this proposal the following assumptions</w:t>
      </w:r>
      <w:r w:rsidR="007C15FA">
        <w:t xml:space="preserve"> have been made</w:t>
      </w:r>
      <w:r>
        <w:t>:</w:t>
      </w:r>
    </w:p>
    <w:p w:rsidR="001B0B64" w:rsidRDefault="001B0B64" w:rsidP="00E94D22">
      <w:pPr>
        <w:pStyle w:val="Heading3"/>
        <w:keepNext w:val="0"/>
        <w:keepLines w:val="0"/>
      </w:pPr>
      <w:r>
        <w:t xml:space="preserve">Component 1: </w:t>
      </w:r>
      <w:proofErr w:type="spellStart"/>
      <w:r>
        <w:t>Gonski</w:t>
      </w:r>
      <w:proofErr w:type="spellEnd"/>
      <w:r>
        <w:t xml:space="preserve"> school funding</w:t>
      </w:r>
    </w:p>
    <w:p w:rsidR="001D1985" w:rsidRPr="00E94D22" w:rsidRDefault="001D1985" w:rsidP="00E94D22">
      <w:pPr>
        <w:pStyle w:val="Bullet1"/>
      </w:pPr>
      <w:r w:rsidRPr="00E94D22">
        <w:t>The number of schools and characteristics of each school (except enrolment growth) would remain stable after 2017 (the last year of data provided by DET).  This means that schools’ additional per student SRS loading amounts would remain unchanged after 2017.</w:t>
      </w:r>
    </w:p>
    <w:p w:rsidR="001D1985" w:rsidRPr="00E94D22" w:rsidRDefault="001D1985" w:rsidP="00E94D22">
      <w:pPr>
        <w:pStyle w:val="Bullet1"/>
      </w:pPr>
      <w:r w:rsidRPr="00E94D22">
        <w:t>Changes to enrolments after 2017 for each school would reflect the average change in enrolments for the relevant jurisdiction and school sector.</w:t>
      </w:r>
    </w:p>
    <w:p w:rsidR="001B0B64" w:rsidRPr="00E94D22" w:rsidRDefault="001D1985" w:rsidP="00E94D22">
      <w:pPr>
        <w:pStyle w:val="Bullet1"/>
      </w:pPr>
      <w:r w:rsidRPr="00E94D22">
        <w:t>For all school years after 2020, current Commonwealth funding would grow in line with CPI and school enrolments.</w:t>
      </w:r>
    </w:p>
    <w:p w:rsidR="001B0B64" w:rsidRPr="001B0B64" w:rsidRDefault="001B0B64" w:rsidP="007C15FA">
      <w:pPr>
        <w:pStyle w:val="Heading3"/>
      </w:pPr>
      <w:r w:rsidRPr="001B0B64">
        <w:lastRenderedPageBreak/>
        <w:t>Component 2: School funding for students with disabilities</w:t>
      </w:r>
    </w:p>
    <w:p w:rsidR="001B0B64" w:rsidRPr="00E94D22" w:rsidRDefault="001B0B64" w:rsidP="00E94D22">
      <w:pPr>
        <w:pStyle w:val="Bullet1"/>
      </w:pPr>
      <w:r w:rsidRPr="00E94D22">
        <w:t>Payments would be made through a National Partnership.</w:t>
      </w:r>
    </w:p>
    <w:p w:rsidR="002106C9" w:rsidRPr="00E94D22" w:rsidRDefault="002106C9" w:rsidP="00E94D22">
      <w:pPr>
        <w:pStyle w:val="Bullet1"/>
      </w:pPr>
      <w:r w:rsidRPr="00E94D22">
        <w:t>As NCCD on School Students with Disability is not available, funding beyond 2019-20 would grow in line with expected growth for school funding under the Education Act.</w:t>
      </w:r>
    </w:p>
    <w:p w:rsidR="001B0B64" w:rsidRPr="00E94D22" w:rsidRDefault="001B0B64" w:rsidP="00E94D22">
      <w:pPr>
        <w:pStyle w:val="Bullet1"/>
      </w:pPr>
      <w:r w:rsidRPr="00E94D22">
        <w:t>The full specified amount in 2016-17 would be provided from the commencement date of 1 September2017.</w:t>
      </w:r>
    </w:p>
    <w:p w:rsidR="005E3562" w:rsidRPr="00FC6579" w:rsidRDefault="005E3562" w:rsidP="00E40B8B">
      <w:pPr>
        <w:pStyle w:val="Heading2"/>
      </w:pPr>
      <w:r w:rsidRPr="00FC6579">
        <w:t>Methodology</w:t>
      </w:r>
    </w:p>
    <w:p w:rsidR="001B0B64" w:rsidRDefault="001B0B64" w:rsidP="007C15FA">
      <w:pPr>
        <w:pStyle w:val="Heading3"/>
      </w:pPr>
      <w:r>
        <w:t xml:space="preserve">Component 1: Gonski school funding </w:t>
      </w:r>
    </w:p>
    <w:p w:rsidR="001D1985" w:rsidRDefault="001D1985" w:rsidP="001D1985">
      <w:r>
        <w:t>With regard to current policy settings, schools funding estimates over the 2016</w:t>
      </w:r>
      <w:r>
        <w:noBreakHyphen/>
        <w:t>17 Budget forward estimates were provided by DET.  For the period beyond the 2020 school year, schools funding under current policy settings was projected by indexing funding amounts by CPI and accounting for forecast student enrolment growth.</w:t>
      </w:r>
    </w:p>
    <w:p w:rsidR="001D1985" w:rsidRDefault="001D1985" w:rsidP="001D1985">
      <w:r>
        <w:t>Projected funding amounts for the proposal were generated based on de</w:t>
      </w:r>
      <w:r>
        <w:noBreakHyphen/>
        <w:t>identified school level data provided by DET.  The estimated level of funding for each school in the DET database is calculated by determining whether the school is below, on or above SRS funding during each year of the costing period</w:t>
      </w:r>
      <w:r w:rsidRPr="00F66804">
        <w:t xml:space="preserve"> </w:t>
      </w:r>
      <w:r>
        <w:t xml:space="preserve">and applying the relevant funding formula as set out in the Education Act.  For the years up to the target year in which 95 per cent of SRS would be reached, schools that are below SRS funding receive “additionality” funding to transition towards 95 per cent SRS funding. </w:t>
      </w:r>
      <w:r w:rsidR="002106C9">
        <w:t xml:space="preserve"> For 2020 and beyond funding is based </w:t>
      </w:r>
      <w:r w:rsidR="00E31F0F">
        <w:t xml:space="preserve">on </w:t>
      </w:r>
      <w:r w:rsidR="002106C9">
        <w:t>applying the arrangements under the Education Act</w:t>
      </w:r>
      <w:r>
        <w:t xml:space="preserve"> (with the exception of Victorian schools </w:t>
      </w:r>
      <w:r w:rsidR="00E31F0F">
        <w:t xml:space="preserve">which </w:t>
      </w:r>
      <w:r>
        <w:t>would continue to progress towards 95 per cent SRS in 2022).</w:t>
      </w:r>
    </w:p>
    <w:p w:rsidR="001D1985" w:rsidRDefault="001D1985" w:rsidP="001D1985">
      <w:r>
        <w:t>The costing was then derived by taking the difference between total Commonwealth funding for schools between proposed and current policy settings.</w:t>
      </w:r>
    </w:p>
    <w:p w:rsidR="001D1985" w:rsidRDefault="001D1985" w:rsidP="001D1985">
      <w:r>
        <w:t>Calculations have been made on a calendar school year basis and then converted to financial years.  As a result 2017</w:t>
      </w:r>
      <w:r>
        <w:noBreakHyphen/>
        <w:t>18 amounts reflect a half</w:t>
      </w:r>
      <w:r>
        <w:noBreakHyphen/>
        <w:t>year impact.</w:t>
      </w:r>
    </w:p>
    <w:p w:rsidR="001D1985" w:rsidRDefault="001D1985" w:rsidP="001D1985">
      <w:r>
        <w:t>Estimates have been rounded to the nearest $10 million.</w:t>
      </w:r>
    </w:p>
    <w:p w:rsidR="001B0B64" w:rsidRPr="001B0B64" w:rsidRDefault="001B0B64" w:rsidP="007C15FA">
      <w:pPr>
        <w:pStyle w:val="Heading3"/>
      </w:pPr>
      <w:r w:rsidRPr="001B0B64">
        <w:t>Component 2: School funding for students with disabilities</w:t>
      </w:r>
    </w:p>
    <w:p w:rsidR="001B0B64" w:rsidRDefault="002106C9" w:rsidP="001D1985">
      <w:r>
        <w:t>The impacts of this component over 2016-17 to 2019-20</w:t>
      </w:r>
      <w:r w:rsidRPr="002106C9">
        <w:t xml:space="preserve"> </w:t>
      </w:r>
      <w:r>
        <w:t xml:space="preserve">are as specified in the request. </w:t>
      </w:r>
      <w:r w:rsidR="00931B92">
        <w:t xml:space="preserve"> </w:t>
      </w:r>
      <w:r>
        <w:t xml:space="preserve">Impacts for 2020-21 and thereafter were derived by applying the net growth </w:t>
      </w:r>
      <w:r w:rsidR="00E31F0F">
        <w:t xml:space="preserve">set out </w:t>
      </w:r>
      <w:r>
        <w:t>in the Education Act.</w:t>
      </w:r>
    </w:p>
    <w:p w:rsidR="005E3562" w:rsidRPr="00FC6579" w:rsidRDefault="005E3562" w:rsidP="00646AD6">
      <w:pPr>
        <w:pStyle w:val="Heading2"/>
      </w:pPr>
      <w:r w:rsidRPr="00FC6579">
        <w:lastRenderedPageBreak/>
        <w:t>Data sources</w:t>
      </w:r>
    </w:p>
    <w:p w:rsidR="001D1985" w:rsidRDefault="001D1985" w:rsidP="00646AD6">
      <w:pPr>
        <w:keepNext/>
        <w:keepLines/>
      </w:pPr>
      <w:r>
        <w:t>DET provided a confidentialised version of the schools pay</w:t>
      </w:r>
      <w:r w:rsidR="00931B92">
        <w:t>ment model as at the 2016</w:t>
      </w:r>
      <w:r w:rsidR="00931B92">
        <w:noBreakHyphen/>
        <w:t>17 </w:t>
      </w:r>
      <w:r>
        <w:t>Budget.</w:t>
      </w:r>
    </w:p>
    <w:p w:rsidR="001D1985" w:rsidRDefault="001D1985" w:rsidP="00646AD6">
      <w:pPr>
        <w:keepNext/>
        <w:keepLines/>
      </w:pPr>
      <w:r>
        <w:t xml:space="preserve">National Education Reform Agreements for New South Wales, </w:t>
      </w:r>
      <w:r w:rsidRPr="00F5145B">
        <w:t xml:space="preserve">Victoria, South Australia, </w:t>
      </w:r>
      <w:r>
        <w:t xml:space="preserve">the </w:t>
      </w:r>
      <w:r w:rsidRPr="00F5145B">
        <w:t>Australian Capital Territory and Tasmania</w:t>
      </w:r>
      <w:r>
        <w:t>.</w:t>
      </w:r>
    </w:p>
    <w:p w:rsidR="0076768D" w:rsidRDefault="001D1985" w:rsidP="001D1985">
      <w:pPr>
        <w:keepNext/>
        <w:keepLines/>
        <w:rPr>
          <w:rStyle w:val="Hyperlink"/>
        </w:rPr>
        <w:sectPr w:rsidR="0076768D" w:rsidSect="004C65F4">
          <w:headerReference w:type="first" r:id="rId13"/>
          <w:footerReference w:type="first" r:id="rId14"/>
          <w:pgSz w:w="11906" w:h="16838"/>
          <w:pgMar w:top="1361" w:right="1797" w:bottom="1276" w:left="1797" w:header="709" w:footer="709" w:gutter="0"/>
          <w:cols w:space="708"/>
          <w:titlePg/>
          <w:docGrid w:linePitch="360"/>
        </w:sectPr>
      </w:pPr>
      <w:proofErr w:type="gramStart"/>
      <w:r w:rsidRPr="00F5145B">
        <w:rPr>
          <w:i/>
        </w:rPr>
        <w:t>Australian Education Act 2013</w:t>
      </w:r>
      <w:r>
        <w:t xml:space="preserve"> </w:t>
      </w:r>
      <w:hyperlink r:id="rId15" w:history="1">
        <w:r w:rsidRPr="00397C8B">
          <w:rPr>
            <w:rStyle w:val="Hyperlink"/>
          </w:rPr>
          <w:t>https://www.comlaw.gov.au/Details/C2013A00067</w:t>
        </w:r>
      </w:hyperlink>
      <w:r>
        <w:rPr>
          <w:rStyle w:val="Hyperlink"/>
        </w:rPr>
        <w:t>.</w:t>
      </w:r>
      <w:proofErr w:type="gramEnd"/>
    </w:p>
    <w:p w:rsidR="00F6018A" w:rsidRPr="00FC6579" w:rsidRDefault="00F6018A" w:rsidP="00F6018A">
      <w:pPr>
        <w:pStyle w:val="Heading1"/>
      </w:pPr>
      <w:r w:rsidRPr="00FC6579">
        <w:lastRenderedPageBreak/>
        <w:t>Attachment A:</w:t>
      </w:r>
      <w:r>
        <w:t xml:space="preserve"> Better Schools: Full Gonski Funding — financial implications</w:t>
      </w:r>
    </w:p>
    <w:p w:rsidR="00F6018A" w:rsidRPr="00E30FB5" w:rsidRDefault="00F6018A" w:rsidP="00F6018A">
      <w:pPr>
        <w:pStyle w:val="Captionheading"/>
        <w:rPr>
          <w:vertAlign w:val="superscript"/>
        </w:rPr>
      </w:pPr>
      <w:r w:rsidRPr="00FC5643">
        <w:t xml:space="preserve">Table </w:t>
      </w:r>
      <w:r>
        <w:t>A1</w:t>
      </w:r>
      <w:r w:rsidRPr="00FC5643">
        <w:t xml:space="preserve">: </w:t>
      </w:r>
      <w:r>
        <w:t>Financial</w:t>
      </w:r>
      <w:r w:rsidRPr="00DE5D03">
        <w:t xml:space="preserve"> implications (outturn prices</w:t>
      </w:r>
      <w:proofErr w:type="gramStart"/>
      <w:r w:rsidRPr="00DE5D03">
        <w:t>)</w:t>
      </w:r>
      <w:r>
        <w:rPr>
          <w:vertAlign w:val="superscript"/>
        </w:rPr>
        <w:t>(</w:t>
      </w:r>
      <w:proofErr w:type="gramEnd"/>
      <w:r>
        <w:rPr>
          <w:vertAlign w:val="superscript"/>
        </w:rPr>
        <w:t>a)(b)</w:t>
      </w:r>
    </w:p>
    <w:tbl>
      <w:tblPr>
        <w:tblStyle w:val="TableGrid"/>
        <w:tblW w:w="4989" w:type="pct"/>
        <w:tblLook w:val="0680" w:firstRow="0" w:lastRow="0" w:firstColumn="1" w:lastColumn="0" w:noHBand="1" w:noVBand="1"/>
      </w:tblPr>
      <w:tblGrid>
        <w:gridCol w:w="2173"/>
        <w:gridCol w:w="917"/>
        <w:gridCol w:w="913"/>
        <w:gridCol w:w="913"/>
        <w:gridCol w:w="913"/>
        <w:gridCol w:w="919"/>
        <w:gridCol w:w="913"/>
        <w:gridCol w:w="913"/>
        <w:gridCol w:w="913"/>
        <w:gridCol w:w="913"/>
        <w:gridCol w:w="913"/>
        <w:gridCol w:w="913"/>
        <w:gridCol w:w="913"/>
        <w:gridCol w:w="1041"/>
      </w:tblGrid>
      <w:tr w:rsidR="00FC5BCE" w:rsidRPr="00B31810" w:rsidTr="00646AD6">
        <w:trPr>
          <w:cantSplit/>
        </w:trPr>
        <w:tc>
          <w:tcPr>
            <w:cnfStyle w:val="001000000000" w:firstRow="0" w:lastRow="0" w:firstColumn="1" w:lastColumn="0" w:oddVBand="0" w:evenVBand="0" w:oddHBand="0" w:evenHBand="0" w:firstRowFirstColumn="0" w:firstRowLastColumn="0" w:lastRowFirstColumn="0" w:lastRowLastColumn="0"/>
            <w:tcW w:w="766" w:type="pct"/>
            <w:tcBorders>
              <w:bottom w:val="single" w:sz="4" w:space="0" w:color="808080"/>
            </w:tcBorders>
            <w:shd w:val="clear" w:color="auto" w:fill="D7DDE9"/>
            <w:vAlign w:val="center"/>
          </w:tcPr>
          <w:p w:rsidR="00F6018A" w:rsidRPr="00B31810" w:rsidRDefault="00F6018A" w:rsidP="00646AD6">
            <w:pPr>
              <w:keepNext/>
              <w:keepLines/>
              <w:spacing w:before="70" w:after="70" w:line="240" w:lineRule="auto"/>
              <w:ind w:left="57" w:right="57"/>
            </w:pPr>
            <w:r w:rsidRPr="00B31810">
              <w:t>($m)</w:t>
            </w:r>
          </w:p>
        </w:tc>
        <w:tc>
          <w:tcPr>
            <w:tcW w:w="323" w:type="pct"/>
            <w:tcBorders>
              <w:bottom w:val="single" w:sz="4" w:space="0" w:color="808080"/>
            </w:tcBorders>
            <w:shd w:val="clear" w:color="auto" w:fill="D7DDE9"/>
            <w:vAlign w:val="center"/>
          </w:tcPr>
          <w:p w:rsidR="00F6018A" w:rsidRPr="00C24267"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2016–17</w:t>
            </w:r>
          </w:p>
        </w:tc>
        <w:tc>
          <w:tcPr>
            <w:tcW w:w="322" w:type="pct"/>
            <w:tcBorders>
              <w:bottom w:val="single" w:sz="4" w:space="0" w:color="808080"/>
            </w:tcBorders>
            <w:shd w:val="clear" w:color="auto" w:fill="D7DDE9"/>
            <w:vAlign w:val="center"/>
          </w:tcPr>
          <w:p w:rsidR="00F6018A" w:rsidRPr="00C24267"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2017–18</w:t>
            </w:r>
          </w:p>
        </w:tc>
        <w:tc>
          <w:tcPr>
            <w:tcW w:w="322" w:type="pct"/>
            <w:tcBorders>
              <w:bottom w:val="single" w:sz="4" w:space="0" w:color="808080"/>
            </w:tcBorders>
            <w:shd w:val="clear" w:color="auto" w:fill="D7DDE9"/>
            <w:vAlign w:val="center"/>
          </w:tcPr>
          <w:p w:rsidR="00F6018A" w:rsidRPr="00C24267"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2018–19</w:t>
            </w:r>
          </w:p>
        </w:tc>
        <w:tc>
          <w:tcPr>
            <w:tcW w:w="322" w:type="pct"/>
            <w:tcBorders>
              <w:bottom w:val="single" w:sz="4" w:space="0" w:color="808080"/>
            </w:tcBorders>
            <w:shd w:val="clear" w:color="auto" w:fill="D7DDE9"/>
            <w:vAlign w:val="center"/>
          </w:tcPr>
          <w:p w:rsidR="00F6018A" w:rsidRPr="00C24267"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2019–20</w:t>
            </w:r>
          </w:p>
        </w:tc>
        <w:tc>
          <w:tcPr>
            <w:tcW w:w="324" w:type="pct"/>
            <w:tcBorders>
              <w:bottom w:val="single" w:sz="4" w:space="0" w:color="808080"/>
            </w:tcBorders>
            <w:shd w:val="clear" w:color="auto" w:fill="D7DDE9"/>
            <w:vAlign w:val="center"/>
          </w:tcPr>
          <w:p w:rsidR="00F6018A" w:rsidRPr="00AE30B5"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2019–20</w:t>
            </w:r>
          </w:p>
        </w:tc>
        <w:tc>
          <w:tcPr>
            <w:tcW w:w="322" w:type="pct"/>
            <w:tcBorders>
              <w:bottom w:val="single" w:sz="4" w:space="0" w:color="808080"/>
            </w:tcBorders>
            <w:shd w:val="clear" w:color="auto" w:fill="D7DDE9"/>
            <w:vAlign w:val="center"/>
          </w:tcPr>
          <w:p w:rsidR="00F6018A" w:rsidRPr="00C24267"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2020–21</w:t>
            </w:r>
          </w:p>
        </w:tc>
        <w:tc>
          <w:tcPr>
            <w:tcW w:w="322" w:type="pct"/>
            <w:tcBorders>
              <w:bottom w:val="single" w:sz="4" w:space="0" w:color="808080"/>
            </w:tcBorders>
            <w:shd w:val="clear" w:color="auto" w:fill="D7DDE9"/>
            <w:vAlign w:val="center"/>
          </w:tcPr>
          <w:p w:rsidR="00F6018A" w:rsidRPr="00C24267"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2021–22</w:t>
            </w:r>
          </w:p>
        </w:tc>
        <w:tc>
          <w:tcPr>
            <w:tcW w:w="322" w:type="pct"/>
            <w:tcBorders>
              <w:bottom w:val="single" w:sz="4" w:space="0" w:color="808080"/>
            </w:tcBorders>
            <w:shd w:val="clear" w:color="auto" w:fill="D7DDE9"/>
            <w:vAlign w:val="center"/>
          </w:tcPr>
          <w:p w:rsidR="00F6018A" w:rsidRPr="00C24267"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2022–23</w:t>
            </w:r>
          </w:p>
        </w:tc>
        <w:tc>
          <w:tcPr>
            <w:tcW w:w="322" w:type="pct"/>
            <w:tcBorders>
              <w:bottom w:val="single" w:sz="4" w:space="0" w:color="808080"/>
            </w:tcBorders>
            <w:shd w:val="clear" w:color="auto" w:fill="D7DDE9"/>
            <w:vAlign w:val="center"/>
          </w:tcPr>
          <w:p w:rsidR="00F6018A" w:rsidRPr="00C24267"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2023–24</w:t>
            </w:r>
          </w:p>
        </w:tc>
        <w:tc>
          <w:tcPr>
            <w:tcW w:w="322" w:type="pct"/>
            <w:tcBorders>
              <w:bottom w:val="single" w:sz="4" w:space="0" w:color="808080"/>
            </w:tcBorders>
            <w:shd w:val="clear" w:color="auto" w:fill="D7DDE9"/>
            <w:vAlign w:val="center"/>
          </w:tcPr>
          <w:p w:rsidR="00F6018A" w:rsidRPr="00C24267"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2024–25</w:t>
            </w:r>
          </w:p>
        </w:tc>
        <w:tc>
          <w:tcPr>
            <w:tcW w:w="322" w:type="pct"/>
            <w:tcBorders>
              <w:bottom w:val="single" w:sz="4" w:space="0" w:color="808080"/>
            </w:tcBorders>
            <w:shd w:val="clear" w:color="auto" w:fill="D7DDE9"/>
            <w:vAlign w:val="center"/>
          </w:tcPr>
          <w:p w:rsidR="00F6018A" w:rsidRPr="00C24267"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2025–26</w:t>
            </w:r>
          </w:p>
        </w:tc>
        <w:tc>
          <w:tcPr>
            <w:tcW w:w="322" w:type="pct"/>
            <w:tcBorders>
              <w:bottom w:val="single" w:sz="4" w:space="0" w:color="808080"/>
            </w:tcBorders>
            <w:shd w:val="clear" w:color="auto" w:fill="D7DDE9"/>
            <w:vAlign w:val="center"/>
          </w:tcPr>
          <w:p w:rsidR="00F6018A" w:rsidRPr="00C24267"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pPr>
            <w:r w:rsidRPr="00C24267">
              <w:t>2026–27</w:t>
            </w:r>
          </w:p>
        </w:tc>
        <w:tc>
          <w:tcPr>
            <w:tcW w:w="367" w:type="pct"/>
            <w:tcBorders>
              <w:bottom w:val="single" w:sz="4" w:space="0" w:color="808080"/>
            </w:tcBorders>
            <w:shd w:val="clear" w:color="auto" w:fill="D7DDE9"/>
            <w:vAlign w:val="center"/>
          </w:tcPr>
          <w:p w:rsidR="00F6018A" w:rsidRPr="00AE30B5" w:rsidRDefault="00F6018A" w:rsidP="00646AD6">
            <w:pPr>
              <w:pStyle w:val="TableHeadingCentred"/>
              <w:spacing w:line="240" w:lineRule="auto"/>
              <w:ind w:left="57" w:right="57"/>
              <w:cnfStyle w:val="000000000000" w:firstRow="0" w:lastRow="0" w:firstColumn="0" w:lastColumn="0" w:oddVBand="0" w:evenVBand="0" w:oddHBand="0" w:evenHBand="0" w:firstRowFirstColumn="0" w:firstRowLastColumn="0" w:lastRowFirstColumn="0" w:lastRowLastColumn="0"/>
              <w:rPr>
                <w:b/>
              </w:rPr>
            </w:pPr>
            <w:r w:rsidRPr="00AE30B5">
              <w:rPr>
                <w:b/>
              </w:rPr>
              <w:t>Total to 2026–27</w:t>
            </w:r>
          </w:p>
        </w:tc>
      </w:tr>
      <w:tr w:rsidR="00F6018A" w:rsidRPr="00B31810" w:rsidTr="00646AD6">
        <w:trPr>
          <w:cantSplit/>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7DDE9"/>
            <w:vAlign w:val="center"/>
          </w:tcPr>
          <w:p w:rsidR="00F6018A" w:rsidRPr="00AE30B5" w:rsidRDefault="00F6018A" w:rsidP="00646AD6">
            <w:pPr>
              <w:pStyle w:val="TableHeadingCentred"/>
              <w:spacing w:line="240" w:lineRule="auto"/>
              <w:ind w:left="57" w:right="57"/>
              <w:jc w:val="left"/>
              <w:rPr>
                <w:b/>
              </w:rPr>
            </w:pPr>
            <w:r>
              <w:rPr>
                <w:b/>
              </w:rPr>
              <w:t>Fiscal and underlying cash balances – expenses/payments</w:t>
            </w:r>
          </w:p>
        </w:tc>
      </w:tr>
      <w:tr w:rsidR="001B0B64" w:rsidTr="00646AD6">
        <w:trPr>
          <w:cantSplit/>
        </w:trPr>
        <w:tc>
          <w:tcPr>
            <w:cnfStyle w:val="001000000000" w:firstRow="0" w:lastRow="0" w:firstColumn="1" w:lastColumn="0" w:oddVBand="0" w:evenVBand="0" w:oddHBand="0" w:evenHBand="0" w:firstRowFirstColumn="0" w:firstRowLastColumn="0" w:lastRowFirstColumn="0" w:lastRowLastColumn="0"/>
            <w:tcW w:w="766" w:type="pct"/>
            <w:vAlign w:val="center"/>
          </w:tcPr>
          <w:p w:rsidR="001B0B64" w:rsidRPr="0007264D" w:rsidRDefault="001B0B64" w:rsidP="00646AD6">
            <w:pPr>
              <w:keepNext/>
              <w:keepLines/>
              <w:spacing w:before="70" w:after="70" w:line="240" w:lineRule="auto"/>
              <w:ind w:left="57" w:right="57"/>
            </w:pPr>
            <w:r>
              <w:t>Gonski Funding</w:t>
            </w:r>
          </w:p>
        </w:tc>
        <w:tc>
          <w:tcPr>
            <w:tcW w:w="323"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-470</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-1,900</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-3,020</w:t>
            </w:r>
          </w:p>
        </w:tc>
        <w:tc>
          <w:tcPr>
            <w:tcW w:w="324"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646AD6">
              <w:rPr>
                <w:b/>
                <w:i/>
              </w:rPr>
              <w:t>-5,400</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-3,450</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-4,210</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-5,030</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-5,690</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-6,390</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-7,110</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-7,880</w:t>
            </w:r>
          </w:p>
        </w:tc>
        <w:tc>
          <w:tcPr>
            <w:tcW w:w="367"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646AD6">
              <w:rPr>
                <w:b/>
                <w:i/>
              </w:rPr>
              <w:t>-45,150</w:t>
            </w:r>
          </w:p>
        </w:tc>
      </w:tr>
      <w:tr w:rsidR="001B0B64" w:rsidTr="00646AD6">
        <w:trPr>
          <w:cantSplit/>
        </w:trPr>
        <w:tc>
          <w:tcPr>
            <w:cnfStyle w:val="001000000000" w:firstRow="0" w:lastRow="0" w:firstColumn="1" w:lastColumn="0" w:oddVBand="0" w:evenVBand="0" w:oddHBand="0" w:evenHBand="0" w:firstRowFirstColumn="0" w:firstRowLastColumn="0" w:lastRowFirstColumn="0" w:lastRowLastColumn="0"/>
            <w:tcW w:w="766" w:type="pct"/>
            <w:vAlign w:val="center"/>
          </w:tcPr>
          <w:p w:rsidR="001B0B64" w:rsidRPr="0007264D" w:rsidRDefault="001B0B64" w:rsidP="00646AD6">
            <w:pPr>
              <w:keepNext/>
              <w:keepLines/>
              <w:spacing w:before="70" w:after="70" w:line="240" w:lineRule="auto"/>
              <w:ind w:left="57" w:right="57"/>
            </w:pPr>
            <w:r w:rsidRPr="001B0B64">
              <w:t>School funding for students with disabilities</w:t>
            </w:r>
          </w:p>
        </w:tc>
        <w:tc>
          <w:tcPr>
            <w:tcW w:w="323"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-1,111</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-1,164</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-1,218</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-1,276</w:t>
            </w:r>
          </w:p>
        </w:tc>
        <w:tc>
          <w:tcPr>
            <w:tcW w:w="324"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646AD6">
              <w:rPr>
                <w:b/>
                <w:i/>
              </w:rPr>
              <w:t>-4,769</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-1,350</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-1,437</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-1,528</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-1,611</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-1,695</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-1,781</w:t>
            </w:r>
          </w:p>
        </w:tc>
        <w:tc>
          <w:tcPr>
            <w:tcW w:w="322"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i/>
              </w:rPr>
            </w:pPr>
            <w:r w:rsidRPr="00646AD6">
              <w:rPr>
                <w:i/>
              </w:rPr>
              <w:t>-1,871</w:t>
            </w:r>
          </w:p>
        </w:tc>
        <w:tc>
          <w:tcPr>
            <w:tcW w:w="367" w:type="pct"/>
            <w:vAlign w:val="center"/>
          </w:tcPr>
          <w:p w:rsidR="001B0B64" w:rsidRPr="00646AD6"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i/>
              </w:rPr>
            </w:pPr>
            <w:r w:rsidRPr="00646AD6">
              <w:rPr>
                <w:b/>
                <w:i/>
              </w:rPr>
              <w:t>-16,041</w:t>
            </w:r>
          </w:p>
        </w:tc>
      </w:tr>
      <w:tr w:rsidR="001B0B64" w:rsidTr="00646AD6">
        <w:trPr>
          <w:cantSplit/>
        </w:trPr>
        <w:tc>
          <w:tcPr>
            <w:cnfStyle w:val="001000000000" w:firstRow="0" w:lastRow="0" w:firstColumn="1" w:lastColumn="0" w:oddVBand="0" w:evenVBand="0" w:oddHBand="0" w:evenHBand="0" w:firstRowFirstColumn="0" w:firstRowLastColumn="0" w:lastRowFirstColumn="0" w:lastRowLastColumn="0"/>
            <w:tcW w:w="766" w:type="pct"/>
            <w:vAlign w:val="center"/>
          </w:tcPr>
          <w:p w:rsidR="001B0B64" w:rsidRPr="001B0B64" w:rsidRDefault="001B0B64" w:rsidP="00646AD6">
            <w:pPr>
              <w:keepNext/>
              <w:keepLines/>
              <w:spacing w:before="70" w:after="70" w:line="240" w:lineRule="auto"/>
              <w:ind w:left="57" w:right="57"/>
              <w:rPr>
                <w:b/>
              </w:rPr>
            </w:pPr>
            <w:r w:rsidRPr="001B0B64">
              <w:rPr>
                <w:b/>
              </w:rPr>
              <w:t>Total</w:t>
            </w:r>
          </w:p>
        </w:tc>
        <w:tc>
          <w:tcPr>
            <w:tcW w:w="323"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-1,111 </w:t>
            </w:r>
          </w:p>
        </w:tc>
        <w:tc>
          <w:tcPr>
            <w:tcW w:w="322"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-1,634 </w:t>
            </w:r>
          </w:p>
        </w:tc>
        <w:tc>
          <w:tcPr>
            <w:tcW w:w="322"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-3,118 </w:t>
            </w:r>
          </w:p>
        </w:tc>
        <w:tc>
          <w:tcPr>
            <w:tcW w:w="322"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-4,296 </w:t>
            </w:r>
          </w:p>
        </w:tc>
        <w:tc>
          <w:tcPr>
            <w:tcW w:w="324"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-10,159 </w:t>
            </w:r>
          </w:p>
        </w:tc>
        <w:tc>
          <w:tcPr>
            <w:tcW w:w="322"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-4,800 </w:t>
            </w:r>
          </w:p>
        </w:tc>
        <w:tc>
          <w:tcPr>
            <w:tcW w:w="322"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-5,647 </w:t>
            </w:r>
          </w:p>
        </w:tc>
        <w:tc>
          <w:tcPr>
            <w:tcW w:w="322"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-6,558 </w:t>
            </w:r>
          </w:p>
        </w:tc>
        <w:tc>
          <w:tcPr>
            <w:tcW w:w="322"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-7,301 </w:t>
            </w:r>
          </w:p>
        </w:tc>
        <w:tc>
          <w:tcPr>
            <w:tcW w:w="322"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-8,085 </w:t>
            </w:r>
          </w:p>
        </w:tc>
        <w:tc>
          <w:tcPr>
            <w:tcW w:w="322"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-8,891 </w:t>
            </w:r>
          </w:p>
        </w:tc>
        <w:tc>
          <w:tcPr>
            <w:tcW w:w="322"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-9,751 </w:t>
            </w:r>
          </w:p>
        </w:tc>
        <w:tc>
          <w:tcPr>
            <w:tcW w:w="367" w:type="pct"/>
            <w:vAlign w:val="center"/>
          </w:tcPr>
          <w:p w:rsidR="001B0B64" w:rsidRPr="001B0B64" w:rsidRDefault="001B0B64" w:rsidP="00646AD6">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sidRPr="001B0B64">
              <w:rPr>
                <w:b/>
              </w:rPr>
              <w:t xml:space="preserve">-61,191 </w:t>
            </w:r>
          </w:p>
        </w:tc>
      </w:tr>
    </w:tbl>
    <w:p w:rsidR="00E57FD1" w:rsidRPr="00E57FD1" w:rsidRDefault="00E57FD1" w:rsidP="00E57FD1">
      <w:pPr>
        <w:pStyle w:val="Footnotes"/>
        <w:numPr>
          <w:ilvl w:val="0"/>
          <w:numId w:val="27"/>
        </w:numPr>
        <w:ind w:left="284" w:hanging="284"/>
      </w:pPr>
      <w:r w:rsidRPr="00E57FD1">
        <w:t>A positive number indicates an increase in revenue or decrease in expenses or net capital investment in accrual and cash terms. A negative number indicates a decrease in revenue or an increase in expenses or net capital investment in accrual and cash terms.</w:t>
      </w:r>
    </w:p>
    <w:p w:rsidR="00F6018A" w:rsidRDefault="00F6018A" w:rsidP="00F6018A">
      <w:pPr>
        <w:pStyle w:val="Footnotes"/>
        <w:numPr>
          <w:ilvl w:val="0"/>
          <w:numId w:val="7"/>
        </w:numPr>
        <w:ind w:left="284" w:hanging="284"/>
      </w:pPr>
      <w:r w:rsidRPr="00A33CC6">
        <w:t>Figures may not sum to totals due to rounding.</w:t>
      </w:r>
    </w:p>
    <w:p w:rsidR="001D1985" w:rsidRDefault="00F6018A" w:rsidP="007E30D3">
      <w:pPr>
        <w:pStyle w:val="Footnotes"/>
        <w:numPr>
          <w:ilvl w:val="0"/>
          <w:numId w:val="28"/>
        </w:numPr>
        <w:ind w:left="284" w:hanging="284"/>
      </w:pPr>
      <w:r w:rsidRPr="005635B5">
        <w:t>Indicates nil.</w:t>
      </w:r>
    </w:p>
    <w:sectPr w:rsidR="001D1985" w:rsidSect="0076768D">
      <w:headerReference w:type="first" r:id="rId16"/>
      <w:pgSz w:w="16838" w:h="11906" w:orient="landscape"/>
      <w:pgMar w:top="1797" w:right="1361" w:bottom="1797"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DAE" w:rsidRDefault="00716DAE" w:rsidP="008F588A">
      <w:pPr>
        <w:spacing w:line="240" w:lineRule="auto"/>
      </w:pPr>
      <w:r>
        <w:separator/>
      </w:r>
    </w:p>
    <w:p w:rsidR="00716DAE" w:rsidRDefault="00716DAE"/>
  </w:endnote>
  <w:endnote w:type="continuationSeparator" w:id="0">
    <w:p w:rsidR="00716DAE" w:rsidRDefault="00716DAE" w:rsidP="008F588A">
      <w:pPr>
        <w:spacing w:line="240" w:lineRule="auto"/>
      </w:pPr>
      <w:r>
        <w:continuationSeparator/>
      </w:r>
    </w:p>
    <w:p w:rsidR="00716DAE" w:rsidRDefault="00716D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EF" w:rsidRPr="00C24267" w:rsidRDefault="00F433EF"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FC7BE8">
      <w:rPr>
        <w:noProof/>
      </w:rPr>
      <w:t>4</w:t>
    </w:r>
    <w:r w:rsidRPr="00C24267">
      <w:fldChar w:fldCharType="end"/>
    </w:r>
    <w:r w:rsidRPr="00C24267">
      <w:t xml:space="preserve"> of </w:t>
    </w:r>
    <w:r w:rsidR="00FC7BE8">
      <w:fldChar w:fldCharType="begin"/>
    </w:r>
    <w:r w:rsidR="00FC7BE8">
      <w:instrText xml:space="preserve"> NUMPAGES  \* Arabic  \* MERGEFORMAT </w:instrText>
    </w:r>
    <w:r w:rsidR="00FC7BE8">
      <w:fldChar w:fldCharType="separate"/>
    </w:r>
    <w:r w:rsidR="00FC7BE8">
      <w:rPr>
        <w:noProof/>
      </w:rPr>
      <w:t>7</w:t>
    </w:r>
    <w:r w:rsidR="00FC7BE8">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EF" w:rsidRPr="00C24267" w:rsidRDefault="00F433EF" w:rsidP="00C24267">
    <w:pPr>
      <w:pStyle w:val="Letterfooter"/>
    </w:pPr>
    <w:r w:rsidRPr="00C24267">
      <w:t>Parliamentary Budget Office   PO Box 6010   Parliament House   Canberra ACT 2600</w:t>
    </w:r>
  </w:p>
  <w:p w:rsidR="00F433EF" w:rsidRPr="00C24267" w:rsidRDefault="00F433EF"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EF" w:rsidRPr="00C24267" w:rsidRDefault="00F433EF"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FC7BE8">
      <w:rPr>
        <w:noProof/>
      </w:rPr>
      <w:t>7</w:t>
    </w:r>
    <w:r w:rsidRPr="00C24267">
      <w:fldChar w:fldCharType="end"/>
    </w:r>
    <w:r w:rsidRPr="00C24267">
      <w:t xml:space="preserve"> of </w:t>
    </w:r>
    <w:r w:rsidR="00FC7BE8">
      <w:fldChar w:fldCharType="begin"/>
    </w:r>
    <w:r w:rsidR="00FC7BE8">
      <w:instrText xml:space="preserve"> NUMPAGES  \* Arabic  \* MERGEFORMAT </w:instrText>
    </w:r>
    <w:r w:rsidR="00FC7BE8">
      <w:fldChar w:fldCharType="separate"/>
    </w:r>
    <w:r w:rsidR="00FC7BE8">
      <w:rPr>
        <w:noProof/>
      </w:rPr>
      <w:t>7</w:t>
    </w:r>
    <w:r w:rsidR="00FC7BE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DAE" w:rsidRDefault="00716DAE" w:rsidP="00F12E04">
      <w:pPr>
        <w:spacing w:line="240" w:lineRule="auto"/>
      </w:pPr>
      <w:r>
        <w:separator/>
      </w:r>
    </w:p>
  </w:footnote>
  <w:footnote w:type="continuationSeparator" w:id="0">
    <w:p w:rsidR="00716DAE" w:rsidRDefault="00716DAE" w:rsidP="008F588A">
      <w:pPr>
        <w:spacing w:line="240" w:lineRule="auto"/>
      </w:pPr>
      <w:r>
        <w:continuationSeparator/>
      </w:r>
    </w:p>
    <w:p w:rsidR="00716DAE" w:rsidRDefault="00716DAE"/>
  </w:footnote>
  <w:footnote w:id="1">
    <w:p w:rsidR="00F433EF" w:rsidRPr="00553E31" w:rsidRDefault="00F433EF" w:rsidP="001D1985">
      <w:pPr>
        <w:pStyle w:val="FootnoteText"/>
        <w:rPr>
          <w:rFonts w:asciiTheme="minorHAnsi" w:hAnsiTheme="minorHAnsi"/>
        </w:rPr>
      </w:pPr>
      <w:r w:rsidRPr="00553E31">
        <w:rPr>
          <w:rStyle w:val="FootnoteReference"/>
          <w:rFonts w:asciiTheme="minorHAnsi" w:hAnsiTheme="minorHAnsi"/>
        </w:rPr>
        <w:footnoteRef/>
      </w:r>
      <w:r w:rsidRPr="00553E31">
        <w:rPr>
          <w:rFonts w:asciiTheme="minorHAnsi" w:hAnsiTheme="minorHAnsi"/>
        </w:rPr>
        <w:t xml:space="preserve"> Note WA, Queensland and NT did not sign up to NERA.  Further, Victoria’s NERA aim is to increase school funding to reach 95 per cent of SRS by 2022.</w:t>
      </w:r>
    </w:p>
  </w:footnote>
  <w:footnote w:id="2">
    <w:p w:rsidR="00F433EF" w:rsidRPr="00553E31" w:rsidRDefault="00F433EF" w:rsidP="001D1985">
      <w:pPr>
        <w:pStyle w:val="FootnoteText"/>
        <w:rPr>
          <w:rFonts w:asciiTheme="minorHAnsi" w:hAnsiTheme="minorHAnsi"/>
        </w:rPr>
      </w:pPr>
      <w:r w:rsidRPr="00553E31">
        <w:rPr>
          <w:rStyle w:val="FootnoteReference"/>
          <w:rFonts w:asciiTheme="minorHAnsi" w:hAnsiTheme="minorHAnsi"/>
        </w:rPr>
        <w:footnoteRef/>
      </w:r>
      <w:r w:rsidRPr="00553E31">
        <w:rPr>
          <w:rFonts w:asciiTheme="minorHAnsi" w:hAnsiTheme="minorHAnsi"/>
        </w:rPr>
        <w:t xml:space="preserve"> 2014</w:t>
      </w:r>
      <w:r w:rsidRPr="00553E31">
        <w:rPr>
          <w:rFonts w:asciiTheme="minorHAnsi" w:hAnsiTheme="minorHAnsi"/>
        </w:rPr>
        <w:noBreakHyphen/>
        <w:t xml:space="preserve">15 Budget measure: </w:t>
      </w:r>
      <w:r w:rsidRPr="00553E31">
        <w:rPr>
          <w:rFonts w:asciiTheme="minorHAnsi" w:hAnsiTheme="minorHAnsi"/>
          <w:i/>
        </w:rPr>
        <w:t>Students First – indexation of school funding from 2018</w:t>
      </w:r>
      <w:r w:rsidRPr="00553E31">
        <w:rPr>
          <w:rFonts w:asciiTheme="minorHAnsi" w:hAnsiTheme="minorHAnsi"/>
        </w:rPr>
        <w:t>.</w:t>
      </w:r>
    </w:p>
  </w:footnote>
  <w:footnote w:id="3">
    <w:p w:rsidR="00F433EF" w:rsidRPr="00553E31" w:rsidRDefault="00F433EF" w:rsidP="001D1985">
      <w:pPr>
        <w:pStyle w:val="FootnoteText"/>
        <w:rPr>
          <w:rFonts w:asciiTheme="minorHAnsi" w:hAnsiTheme="minorHAnsi"/>
        </w:rPr>
      </w:pPr>
      <w:r w:rsidRPr="00553E31">
        <w:rPr>
          <w:rStyle w:val="FootnoteReference"/>
          <w:rFonts w:asciiTheme="minorHAnsi" w:hAnsiTheme="minorHAnsi"/>
        </w:rPr>
        <w:footnoteRef/>
      </w:r>
      <w:r w:rsidRPr="00553E31">
        <w:rPr>
          <w:rFonts w:asciiTheme="minorHAnsi" w:hAnsiTheme="minorHAnsi"/>
        </w:rPr>
        <w:t xml:space="preserve"> 2016-17 Budget measure: </w:t>
      </w:r>
      <w:r w:rsidRPr="00553E31">
        <w:rPr>
          <w:rFonts w:asciiTheme="minorHAnsi" w:hAnsiTheme="minorHAnsi"/>
          <w:i/>
        </w:rPr>
        <w:t>School Funding – additional funding from 2018.</w:t>
      </w:r>
    </w:p>
  </w:footnote>
  <w:footnote w:id="4">
    <w:p w:rsidR="00F433EF" w:rsidRPr="00553E31" w:rsidRDefault="00F433EF" w:rsidP="001D1985">
      <w:pPr>
        <w:pStyle w:val="FootnoteText"/>
        <w:rPr>
          <w:rFonts w:asciiTheme="minorHAnsi" w:hAnsiTheme="minorHAnsi"/>
        </w:rPr>
      </w:pPr>
      <w:r w:rsidRPr="00553E31">
        <w:rPr>
          <w:rStyle w:val="FootnoteReference"/>
          <w:rFonts w:asciiTheme="minorHAnsi" w:hAnsiTheme="minorHAnsi"/>
        </w:rPr>
        <w:footnoteRef/>
      </w:r>
      <w:r w:rsidRPr="00553E31">
        <w:rPr>
          <w:rFonts w:asciiTheme="minorHAnsi" w:hAnsiTheme="minorHAnsi"/>
        </w:rPr>
        <w:t xml:space="preserve"> Note, as per the NERA, Victoria would not reach 95 per cent of the SRS until 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EF" w:rsidRDefault="00F433EF" w:rsidP="00CB40E1">
    <w:pPr>
      <w:pStyle w:val="Header"/>
    </w:pPr>
    <w:r>
      <w:rPr>
        <w:noProof/>
        <w:lang w:eastAsia="en-AU"/>
      </w:rPr>
      <w:drawing>
        <wp:inline distT="0" distB="0" distL="0" distR="0" wp14:anchorId="64150188" wp14:editId="14E8AC41">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F433EF" w:rsidRPr="00DA1C8A" w:rsidRDefault="00F433EF"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EF" w:rsidRPr="00C605B4" w:rsidRDefault="00C605B4" w:rsidP="00C605B4">
    <w:pPr>
      <w:pStyle w:val="Header"/>
      <w:spacing w:before="0" w:after="0"/>
      <w:rPr>
        <w:b/>
        <w:sz w:val="28"/>
        <w:szCs w:val="28"/>
      </w:rPr>
    </w:pPr>
    <w:r>
      <w:rPr>
        <w:noProof/>
        <w:lang w:eastAsia="en-AU"/>
      </w:rPr>
      <w:drawing>
        <wp:inline distT="0" distB="0" distL="0" distR="0" wp14:anchorId="14B6B745" wp14:editId="40A19D5F">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5B4" w:rsidRPr="00C605B4" w:rsidRDefault="00C605B4" w:rsidP="00C605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35D13F2"/>
    <w:multiLevelType w:val="hybridMultilevel"/>
    <w:tmpl w:val="68002410"/>
    <w:lvl w:ilvl="0" w:tplc="67162D4E">
      <w:start w:val="2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7">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8">
    <w:nsid w:val="2D141C02"/>
    <w:multiLevelType w:val="hybridMultilevel"/>
    <w:tmpl w:val="58949216"/>
    <w:lvl w:ilvl="0" w:tplc="2348D0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0E45E35"/>
    <w:multiLevelType w:val="hybridMultilevel"/>
    <w:tmpl w:val="60A06D20"/>
    <w:lvl w:ilvl="0" w:tplc="EE46B378">
      <w:start w:val="1"/>
      <w:numFmt w:val="lowerLetter"/>
      <w:pStyle w:val="Footnotes"/>
      <w:lvlText w:val="(%1)"/>
      <w:lvlJc w:val="left"/>
      <w:pPr>
        <w:ind w:left="83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A666362"/>
    <w:multiLevelType w:val="hybridMultilevel"/>
    <w:tmpl w:val="543AAAEE"/>
    <w:lvl w:ilvl="0" w:tplc="84C2A14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2">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11"/>
  </w:num>
  <w:num w:numId="6">
    <w:abstractNumId w:val="9"/>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1"/>
  </w:num>
  <w:num w:numId="12">
    <w:abstractNumId w:val="0"/>
  </w:num>
  <w:num w:numId="13">
    <w:abstractNumId w:val="2"/>
  </w:num>
  <w:num w:numId="14">
    <w:abstractNumId w:val="10"/>
  </w:num>
  <w:num w:numId="15">
    <w:abstractNumId w:val="12"/>
  </w:num>
  <w:num w:numId="16">
    <w:abstractNumId w:val="9"/>
    <w:lvlOverride w:ilvl="0">
      <w:startOverride w:val="1"/>
    </w:lvlOverride>
  </w:num>
  <w:num w:numId="17">
    <w:abstractNumId w:val="9"/>
    <w:lvlOverride w:ilvl="0">
      <w:startOverride w:val="1"/>
    </w:lvlOverride>
  </w:num>
  <w:num w:numId="18">
    <w:abstractNumId w:val="8"/>
  </w:num>
  <w:num w:numId="19">
    <w:abstractNumId w:val="9"/>
    <w:lvlOverride w:ilvl="0">
      <w:startOverride w:val="1"/>
    </w:lvlOverride>
  </w:num>
  <w:num w:numId="20">
    <w:abstractNumId w:val="9"/>
    <w:lvlOverride w:ilvl="0">
      <w:startOverride w:val="1"/>
    </w:lvlOverride>
  </w:num>
  <w:num w:numId="21">
    <w:abstractNumId w:val="9"/>
  </w:num>
  <w:num w:numId="22">
    <w:abstractNumId w:val="9"/>
  </w:num>
  <w:num w:numId="23">
    <w:abstractNumId w:val="9"/>
  </w:num>
  <w:num w:numId="24">
    <w:abstractNumId w:val="9"/>
    <w:lvlOverride w:ilvl="0">
      <w:startOverride w:val="1"/>
    </w:lvlOverride>
  </w:num>
  <w:num w:numId="25">
    <w:abstractNumId w:val="9"/>
    <w:lvlOverride w:ilvl="0">
      <w:startOverride w:val="1"/>
    </w:lvlOverride>
  </w:num>
  <w:num w:numId="26">
    <w:abstractNumId w:val="9"/>
  </w:num>
  <w:num w:numId="27">
    <w:abstractNumId w:val="9"/>
    <w:lvlOverride w:ilvl="0">
      <w:startOverride w:val="1"/>
    </w:lvlOverride>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B20"/>
    <w:rsid w:val="00002D5D"/>
    <w:rsid w:val="00040DCE"/>
    <w:rsid w:val="00096F3A"/>
    <w:rsid w:val="000C1A75"/>
    <w:rsid w:val="00100648"/>
    <w:rsid w:val="00102B87"/>
    <w:rsid w:val="001278D0"/>
    <w:rsid w:val="00130827"/>
    <w:rsid w:val="00141403"/>
    <w:rsid w:val="0014239B"/>
    <w:rsid w:val="001A02D1"/>
    <w:rsid w:val="001A0D55"/>
    <w:rsid w:val="001B0B64"/>
    <w:rsid w:val="001D1985"/>
    <w:rsid w:val="001F0DA1"/>
    <w:rsid w:val="002106C9"/>
    <w:rsid w:val="00220BE5"/>
    <w:rsid w:val="002422A3"/>
    <w:rsid w:val="002473AF"/>
    <w:rsid w:val="002D5EF5"/>
    <w:rsid w:val="00315E34"/>
    <w:rsid w:val="00323F8B"/>
    <w:rsid w:val="00326DE2"/>
    <w:rsid w:val="00376E63"/>
    <w:rsid w:val="003B4F41"/>
    <w:rsid w:val="003F73CA"/>
    <w:rsid w:val="004153BB"/>
    <w:rsid w:val="004261C0"/>
    <w:rsid w:val="00440E32"/>
    <w:rsid w:val="00461597"/>
    <w:rsid w:val="00470CC2"/>
    <w:rsid w:val="004C283B"/>
    <w:rsid w:val="004C65F4"/>
    <w:rsid w:val="004D13ED"/>
    <w:rsid w:val="004D5525"/>
    <w:rsid w:val="004E412D"/>
    <w:rsid w:val="005035DA"/>
    <w:rsid w:val="00507897"/>
    <w:rsid w:val="00515A85"/>
    <w:rsid w:val="00545F24"/>
    <w:rsid w:val="00553E31"/>
    <w:rsid w:val="0055581F"/>
    <w:rsid w:val="005563BA"/>
    <w:rsid w:val="0056229A"/>
    <w:rsid w:val="00570154"/>
    <w:rsid w:val="00570B5A"/>
    <w:rsid w:val="005C6967"/>
    <w:rsid w:val="005E3562"/>
    <w:rsid w:val="005F7DE0"/>
    <w:rsid w:val="00627475"/>
    <w:rsid w:val="00640346"/>
    <w:rsid w:val="00641F93"/>
    <w:rsid w:val="00646AD6"/>
    <w:rsid w:val="00660385"/>
    <w:rsid w:val="00662E65"/>
    <w:rsid w:val="0066665A"/>
    <w:rsid w:val="00692DD8"/>
    <w:rsid w:val="006A6E72"/>
    <w:rsid w:val="006C2368"/>
    <w:rsid w:val="006F0CE9"/>
    <w:rsid w:val="00716DAE"/>
    <w:rsid w:val="007202A8"/>
    <w:rsid w:val="007300A8"/>
    <w:rsid w:val="0076768D"/>
    <w:rsid w:val="007B029A"/>
    <w:rsid w:val="007B0D94"/>
    <w:rsid w:val="007B1A91"/>
    <w:rsid w:val="007C15FA"/>
    <w:rsid w:val="007D33AA"/>
    <w:rsid w:val="007E30D3"/>
    <w:rsid w:val="007F7BCF"/>
    <w:rsid w:val="008030EC"/>
    <w:rsid w:val="00811D6D"/>
    <w:rsid w:val="00844776"/>
    <w:rsid w:val="008850D9"/>
    <w:rsid w:val="008A4578"/>
    <w:rsid w:val="008C03C3"/>
    <w:rsid w:val="008C2E7A"/>
    <w:rsid w:val="008D3909"/>
    <w:rsid w:val="008F588A"/>
    <w:rsid w:val="00902B20"/>
    <w:rsid w:val="00902D2D"/>
    <w:rsid w:val="00915804"/>
    <w:rsid w:val="00931B92"/>
    <w:rsid w:val="00957285"/>
    <w:rsid w:val="009573AF"/>
    <w:rsid w:val="00971DDF"/>
    <w:rsid w:val="009963ED"/>
    <w:rsid w:val="009D4063"/>
    <w:rsid w:val="00A41BD3"/>
    <w:rsid w:val="00A449C2"/>
    <w:rsid w:val="00A44FB8"/>
    <w:rsid w:val="00AA3D6F"/>
    <w:rsid w:val="00AB6F7D"/>
    <w:rsid w:val="00AC7878"/>
    <w:rsid w:val="00AD493E"/>
    <w:rsid w:val="00B06055"/>
    <w:rsid w:val="00B0630E"/>
    <w:rsid w:val="00B44D8A"/>
    <w:rsid w:val="00B536F6"/>
    <w:rsid w:val="00B73AC8"/>
    <w:rsid w:val="00B747A7"/>
    <w:rsid w:val="00BC559C"/>
    <w:rsid w:val="00C07AF1"/>
    <w:rsid w:val="00C17112"/>
    <w:rsid w:val="00C2142E"/>
    <w:rsid w:val="00C24267"/>
    <w:rsid w:val="00C2463A"/>
    <w:rsid w:val="00C605B4"/>
    <w:rsid w:val="00C64B11"/>
    <w:rsid w:val="00CA5D42"/>
    <w:rsid w:val="00CB3BBF"/>
    <w:rsid w:val="00CB40E1"/>
    <w:rsid w:val="00CF153A"/>
    <w:rsid w:val="00CF6DB6"/>
    <w:rsid w:val="00D134CA"/>
    <w:rsid w:val="00D26C10"/>
    <w:rsid w:val="00DA1C8A"/>
    <w:rsid w:val="00DB44F0"/>
    <w:rsid w:val="00DD109E"/>
    <w:rsid w:val="00DD3E18"/>
    <w:rsid w:val="00E12103"/>
    <w:rsid w:val="00E15AAE"/>
    <w:rsid w:val="00E21184"/>
    <w:rsid w:val="00E31F0F"/>
    <w:rsid w:val="00E40B8B"/>
    <w:rsid w:val="00E5742E"/>
    <w:rsid w:val="00E57FD1"/>
    <w:rsid w:val="00E86A5E"/>
    <w:rsid w:val="00E94D22"/>
    <w:rsid w:val="00EA265F"/>
    <w:rsid w:val="00EB06CA"/>
    <w:rsid w:val="00ED43FF"/>
    <w:rsid w:val="00EE75EA"/>
    <w:rsid w:val="00EF1D6A"/>
    <w:rsid w:val="00EF2E51"/>
    <w:rsid w:val="00F12E04"/>
    <w:rsid w:val="00F31E24"/>
    <w:rsid w:val="00F433EF"/>
    <w:rsid w:val="00F52474"/>
    <w:rsid w:val="00F541E9"/>
    <w:rsid w:val="00F5669E"/>
    <w:rsid w:val="00F6018A"/>
    <w:rsid w:val="00F75D33"/>
    <w:rsid w:val="00F954CF"/>
    <w:rsid w:val="00FB421A"/>
    <w:rsid w:val="00FB6982"/>
    <w:rsid w:val="00FC5BCE"/>
    <w:rsid w:val="00FC6579"/>
    <w:rsid w:val="00FC7BE8"/>
    <w:rsid w:val="00FD3FB3"/>
    <w:rsid w:val="00FE6904"/>
    <w:rsid w:val="00FF6B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E94D22"/>
    <w:rPr>
      <w:rFonts w:eastAsia="Times New Roman" w:cs="Times New Roman"/>
      <w:spacing w:val="0"/>
      <w:lang w:eastAsia="en-AU"/>
    </w:rPr>
  </w:style>
  <w:style w:type="paragraph" w:customStyle="1" w:styleId="Bullet2">
    <w:name w:val="Bullet 2"/>
    <w:basedOn w:val="ListBullet2"/>
    <w:link w:val="Bullet2Char"/>
    <w:qFormat/>
    <w:rsid w:val="00E86A5E"/>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E94D22"/>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E86A5E"/>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FootnoteText">
    <w:name w:val="footnote text"/>
    <w:basedOn w:val="Normal"/>
    <w:link w:val="FootnoteTextChar"/>
    <w:uiPriority w:val="99"/>
    <w:semiHidden/>
    <w:unhideWhenUsed/>
    <w:rsid w:val="001D1985"/>
    <w:pPr>
      <w:spacing w:before="0"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D198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D1985"/>
    <w:rPr>
      <w:vertAlign w:val="superscript"/>
    </w:rPr>
  </w:style>
  <w:style w:type="paragraph" w:customStyle="1" w:styleId="ChartandTableFootnoteAlpha">
    <w:name w:val="Chart and Table Footnote Alpha"/>
    <w:basedOn w:val="Normal"/>
    <w:next w:val="Normal"/>
    <w:link w:val="ChartandTableFootnoteAlphaChar"/>
    <w:rsid w:val="004153BB"/>
    <w:pPr>
      <w:keepLines/>
      <w:spacing w:before="240" w:after="0" w:line="240" w:lineRule="auto"/>
      <w:jc w:val="both"/>
    </w:pPr>
    <w:rPr>
      <w:rFonts w:ascii="Arial" w:eastAsia="Times New Roman" w:hAnsi="Arial" w:cs="Times New Roman"/>
      <w:sz w:val="16"/>
      <w:szCs w:val="20"/>
      <w:lang w:eastAsia="en-AU"/>
    </w:rPr>
  </w:style>
  <w:style w:type="character" w:customStyle="1" w:styleId="ChartandTableFootnoteAlphaChar">
    <w:name w:val="Chart and Table Footnote Alpha Char"/>
    <w:basedOn w:val="DefaultParagraphFont"/>
    <w:link w:val="ChartandTableFootnoteAlpha"/>
    <w:rsid w:val="004153BB"/>
    <w:rPr>
      <w:rFonts w:ascii="Arial" w:eastAsia="Times New Roman" w:hAnsi="Arial" w:cs="Times New Roman"/>
      <w:sz w:val="16"/>
      <w:szCs w:val="20"/>
      <w:lang w:eastAsia="en-AU"/>
    </w:rPr>
  </w:style>
  <w:style w:type="character" w:styleId="CommentReference">
    <w:name w:val="annotation reference"/>
    <w:basedOn w:val="DefaultParagraphFont"/>
    <w:uiPriority w:val="99"/>
    <w:semiHidden/>
    <w:unhideWhenUsed/>
    <w:rsid w:val="005563BA"/>
    <w:rPr>
      <w:sz w:val="16"/>
      <w:szCs w:val="16"/>
    </w:rPr>
  </w:style>
  <w:style w:type="paragraph" w:styleId="CommentText">
    <w:name w:val="annotation text"/>
    <w:basedOn w:val="Normal"/>
    <w:link w:val="CommentTextChar"/>
    <w:uiPriority w:val="99"/>
    <w:semiHidden/>
    <w:unhideWhenUsed/>
    <w:rsid w:val="005563BA"/>
    <w:pPr>
      <w:spacing w:line="240" w:lineRule="auto"/>
    </w:pPr>
    <w:rPr>
      <w:sz w:val="20"/>
      <w:szCs w:val="20"/>
    </w:rPr>
  </w:style>
  <w:style w:type="character" w:customStyle="1" w:styleId="CommentTextChar">
    <w:name w:val="Comment Text Char"/>
    <w:basedOn w:val="DefaultParagraphFont"/>
    <w:link w:val="CommentText"/>
    <w:uiPriority w:val="99"/>
    <w:semiHidden/>
    <w:rsid w:val="005563BA"/>
    <w:rPr>
      <w:sz w:val="20"/>
      <w:szCs w:val="20"/>
    </w:rPr>
  </w:style>
  <w:style w:type="paragraph" w:styleId="CommentSubject">
    <w:name w:val="annotation subject"/>
    <w:basedOn w:val="CommentText"/>
    <w:next w:val="CommentText"/>
    <w:link w:val="CommentSubjectChar"/>
    <w:uiPriority w:val="99"/>
    <w:semiHidden/>
    <w:unhideWhenUsed/>
    <w:rsid w:val="005563BA"/>
    <w:rPr>
      <w:b/>
      <w:bCs/>
    </w:rPr>
  </w:style>
  <w:style w:type="character" w:customStyle="1" w:styleId="CommentSubjectChar">
    <w:name w:val="Comment Subject Char"/>
    <w:basedOn w:val="CommentTextChar"/>
    <w:link w:val="CommentSubject"/>
    <w:uiPriority w:val="99"/>
    <w:semiHidden/>
    <w:rsid w:val="005563B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662E65"/>
    <w:pPr>
      <w:spacing w:before="70" w:after="70" w:line="260" w:lineRule="atLeast"/>
      <w:ind w:left="113" w:right="113"/>
    </w:pPr>
    <w:rPr>
      <w:rFonts w:eastAsia="Times New Roman" w:cs="Times New Roman"/>
      <w:lang w:eastAsia="en-AU"/>
    </w:rPr>
    <w:tblPr>
      <w:tblStyleRowBandSize w:val="1"/>
      <w:tblStyleColBandSize w:val="1"/>
      <w:tblBorders>
        <w:top w:val="single" w:sz="4" w:space="0" w:color="788184"/>
        <w:left w:val="single" w:sz="4" w:space="0" w:color="788184"/>
        <w:bottom w:val="single" w:sz="4" w:space="0" w:color="788184"/>
        <w:right w:val="single" w:sz="4" w:space="0" w:color="788184"/>
        <w:insideH w:val="single" w:sz="4" w:space="0" w:color="788184"/>
        <w:insideV w:val="single" w:sz="4" w:space="0" w:color="788184"/>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left"/>
      </w:pPr>
      <w:rPr>
        <w:rFonts w:asciiTheme="minorHAnsi" w:hAnsiTheme="minorHAnsi"/>
        <w:b/>
        <w:i w:val="0"/>
        <w:color w:val="auto"/>
        <w:sz w:val="22"/>
      </w:rPr>
      <w:tblPr/>
      <w:tcPr>
        <w:shd w:val="clear" w:color="auto" w:fill="D7DDE9"/>
        <w:vAlign w:val="top"/>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E94D22"/>
    <w:rPr>
      <w:rFonts w:eastAsia="Times New Roman" w:cs="Times New Roman"/>
      <w:spacing w:val="0"/>
      <w:lang w:eastAsia="en-AU"/>
    </w:rPr>
  </w:style>
  <w:style w:type="paragraph" w:customStyle="1" w:styleId="Bullet2">
    <w:name w:val="Bullet 2"/>
    <w:basedOn w:val="ListBullet2"/>
    <w:link w:val="Bullet2Char"/>
    <w:qFormat/>
    <w:rsid w:val="00E86A5E"/>
    <w:pPr>
      <w:ind w:left="908" w:hanging="454"/>
    </w:pPr>
    <w:rPr>
      <w:rFonts w:eastAsia="Times New Roman" w:cs="Times New Roman"/>
      <w:spacing w:val="0"/>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E94D22"/>
    <w:rPr>
      <w:rFonts w:eastAsia="Times New Roman" w:cs="Times New Roman"/>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E86A5E"/>
    <w:rPr>
      <w:rFonts w:eastAsia="Times New Roman" w:cs="Times New Roman"/>
      <w:bCs w:val="0"/>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styleId="FootnoteText">
    <w:name w:val="footnote text"/>
    <w:basedOn w:val="Normal"/>
    <w:link w:val="FootnoteTextChar"/>
    <w:uiPriority w:val="99"/>
    <w:semiHidden/>
    <w:unhideWhenUsed/>
    <w:rsid w:val="001D1985"/>
    <w:pPr>
      <w:spacing w:before="0"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D198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D1985"/>
    <w:rPr>
      <w:vertAlign w:val="superscript"/>
    </w:rPr>
  </w:style>
  <w:style w:type="paragraph" w:customStyle="1" w:styleId="ChartandTableFootnoteAlpha">
    <w:name w:val="Chart and Table Footnote Alpha"/>
    <w:basedOn w:val="Normal"/>
    <w:next w:val="Normal"/>
    <w:link w:val="ChartandTableFootnoteAlphaChar"/>
    <w:rsid w:val="004153BB"/>
    <w:pPr>
      <w:keepLines/>
      <w:spacing w:before="240" w:after="0" w:line="240" w:lineRule="auto"/>
      <w:jc w:val="both"/>
    </w:pPr>
    <w:rPr>
      <w:rFonts w:ascii="Arial" w:eastAsia="Times New Roman" w:hAnsi="Arial" w:cs="Times New Roman"/>
      <w:sz w:val="16"/>
      <w:szCs w:val="20"/>
      <w:lang w:eastAsia="en-AU"/>
    </w:rPr>
  </w:style>
  <w:style w:type="character" w:customStyle="1" w:styleId="ChartandTableFootnoteAlphaChar">
    <w:name w:val="Chart and Table Footnote Alpha Char"/>
    <w:basedOn w:val="DefaultParagraphFont"/>
    <w:link w:val="ChartandTableFootnoteAlpha"/>
    <w:rsid w:val="004153BB"/>
    <w:rPr>
      <w:rFonts w:ascii="Arial" w:eastAsia="Times New Roman" w:hAnsi="Arial" w:cs="Times New Roman"/>
      <w:sz w:val="16"/>
      <w:szCs w:val="20"/>
      <w:lang w:eastAsia="en-AU"/>
    </w:rPr>
  </w:style>
  <w:style w:type="character" w:styleId="CommentReference">
    <w:name w:val="annotation reference"/>
    <w:basedOn w:val="DefaultParagraphFont"/>
    <w:uiPriority w:val="99"/>
    <w:semiHidden/>
    <w:unhideWhenUsed/>
    <w:rsid w:val="005563BA"/>
    <w:rPr>
      <w:sz w:val="16"/>
      <w:szCs w:val="16"/>
    </w:rPr>
  </w:style>
  <w:style w:type="paragraph" w:styleId="CommentText">
    <w:name w:val="annotation text"/>
    <w:basedOn w:val="Normal"/>
    <w:link w:val="CommentTextChar"/>
    <w:uiPriority w:val="99"/>
    <w:semiHidden/>
    <w:unhideWhenUsed/>
    <w:rsid w:val="005563BA"/>
    <w:pPr>
      <w:spacing w:line="240" w:lineRule="auto"/>
    </w:pPr>
    <w:rPr>
      <w:sz w:val="20"/>
      <w:szCs w:val="20"/>
    </w:rPr>
  </w:style>
  <w:style w:type="character" w:customStyle="1" w:styleId="CommentTextChar">
    <w:name w:val="Comment Text Char"/>
    <w:basedOn w:val="DefaultParagraphFont"/>
    <w:link w:val="CommentText"/>
    <w:uiPriority w:val="99"/>
    <w:semiHidden/>
    <w:rsid w:val="005563BA"/>
    <w:rPr>
      <w:sz w:val="20"/>
      <w:szCs w:val="20"/>
    </w:rPr>
  </w:style>
  <w:style w:type="paragraph" w:styleId="CommentSubject">
    <w:name w:val="annotation subject"/>
    <w:basedOn w:val="CommentText"/>
    <w:next w:val="CommentText"/>
    <w:link w:val="CommentSubjectChar"/>
    <w:uiPriority w:val="99"/>
    <w:semiHidden/>
    <w:unhideWhenUsed/>
    <w:rsid w:val="005563BA"/>
    <w:rPr>
      <w:b/>
      <w:bCs/>
    </w:rPr>
  </w:style>
  <w:style w:type="character" w:customStyle="1" w:styleId="CommentSubjectChar">
    <w:name w:val="Comment Subject Char"/>
    <w:basedOn w:val="CommentTextChar"/>
    <w:link w:val="CommentSubject"/>
    <w:uiPriority w:val="99"/>
    <w:semiHidden/>
    <w:rsid w:val="005563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157692">
      <w:bodyDiv w:val="1"/>
      <w:marLeft w:val="0"/>
      <w:marRight w:val="0"/>
      <w:marTop w:val="0"/>
      <w:marBottom w:val="0"/>
      <w:divBdr>
        <w:top w:val="none" w:sz="0" w:space="0" w:color="auto"/>
        <w:left w:val="none" w:sz="0" w:space="0" w:color="auto"/>
        <w:bottom w:val="none" w:sz="0" w:space="0" w:color="auto"/>
        <w:right w:val="none" w:sz="0" w:space="0" w:color="auto"/>
      </w:divBdr>
    </w:div>
    <w:div w:id="446236770">
      <w:bodyDiv w:val="1"/>
      <w:marLeft w:val="0"/>
      <w:marRight w:val="0"/>
      <w:marTop w:val="0"/>
      <w:marBottom w:val="0"/>
      <w:divBdr>
        <w:top w:val="none" w:sz="0" w:space="0" w:color="auto"/>
        <w:left w:val="none" w:sz="0" w:space="0" w:color="auto"/>
        <w:bottom w:val="none" w:sz="0" w:space="0" w:color="auto"/>
        <w:right w:val="none" w:sz="0" w:space="0" w:color="auto"/>
      </w:divBdr>
    </w:div>
    <w:div w:id="7753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omlaw.gov.au/Details/C2013A00067"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A62A7-0BBD-41E7-A45A-F1FB137C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227</TotalTime>
  <Pages>7</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Policy costing minute—during the caretaker period for a general election</vt:lpstr>
    </vt:vector>
  </TitlesOfParts>
  <Company>Parliament of Australia</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minute—during the caretaker period for a general election</dc:title>
  <dc:creator>Parliamentary Budget Office</dc:creator>
  <cp:lastModifiedBy>Milligan, Louise (PBO)</cp:lastModifiedBy>
  <cp:revision>54</cp:revision>
  <cp:lastPrinted>2016-06-29T04:29:00Z</cp:lastPrinted>
  <dcterms:created xsi:type="dcterms:W3CDTF">2016-06-20T23:02:00Z</dcterms:created>
  <dcterms:modified xsi:type="dcterms:W3CDTF">2016-06-29T07:43:00Z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