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0B2E68" w:rsidP="00C17112">
      <w:pPr>
        <w:spacing w:before="1560" w:after="0" w:line="240" w:lineRule="auto"/>
        <w:rPr>
          <w:rFonts w:ascii="Times New Roman" w:hAnsi="Times New Roman" w:cs="Times New Roman"/>
          <w:sz w:val="24"/>
          <w:szCs w:val="24"/>
        </w:rPr>
      </w:pPr>
      <w:bookmarkStart w:id="0" w:name="_GoBack"/>
      <w:bookmarkEnd w:id="0"/>
      <w:r w:rsidRPr="000B2E68">
        <w:rPr>
          <w:rFonts w:ascii="Times New Roman" w:hAnsi="Times New Roman" w:cs="Times New Roman"/>
          <w:sz w:val="24"/>
          <w:szCs w:val="24"/>
        </w:rPr>
        <w:t>Senator Richard Di Natale</w:t>
      </w:r>
    </w:p>
    <w:p w:rsidR="00040DCE" w:rsidRPr="00002D5D" w:rsidRDefault="000B2E68"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040DCE" w:rsidRPr="00002D5D" w:rsidRDefault="000B2E68"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0B2E68">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0B2E68" w:rsidRPr="000B2E68">
        <w:rPr>
          <w:i/>
        </w:rPr>
        <w:fldChar w:fldCharType="begin"/>
      </w:r>
      <w:r w:rsidR="000B2E68" w:rsidRPr="000B2E68">
        <w:rPr>
          <w:i/>
        </w:rPr>
        <w:instrText xml:space="preserve"> REF  ProposalName  \* MERGEFORMAT </w:instrText>
      </w:r>
      <w:r w:rsidR="000B2E68" w:rsidRPr="000B2E68">
        <w:rPr>
          <w:i/>
        </w:rPr>
        <w:fldChar w:fldCharType="separate"/>
      </w:r>
      <w:proofErr w:type="gramStart"/>
      <w:r w:rsidR="00016266" w:rsidRPr="00016266">
        <w:rPr>
          <w:i/>
        </w:rPr>
        <w:t>Investing</w:t>
      </w:r>
      <w:proofErr w:type="gramEnd"/>
      <w:r w:rsidR="00016266" w:rsidRPr="00016266">
        <w:rPr>
          <w:i/>
        </w:rPr>
        <w:t xml:space="preserve"> in Early Childhood Educators</w:t>
      </w:r>
      <w:r w:rsidR="000B2E68" w:rsidRPr="000B2E68">
        <w:rPr>
          <w:i/>
        </w:rPr>
        <w:fldChar w:fldCharType="end"/>
      </w:r>
      <w:r w:rsidRPr="00002D5D">
        <w:t xml:space="preserve"> (letter of </w:t>
      </w:r>
      <w:r w:rsidR="00FA1091" w:rsidRPr="00084FF3">
        <w:fldChar w:fldCharType="begin"/>
      </w:r>
      <w:r w:rsidR="00FA1091" w:rsidRPr="00084FF3">
        <w:instrText xml:space="preserve"> REF  ReceivedDate </w:instrText>
      </w:r>
      <w:r w:rsidR="0034293B" w:rsidRPr="00084FF3">
        <w:instrText xml:space="preserve"> \* MERGEFORMAT </w:instrText>
      </w:r>
      <w:r w:rsidR="00FA1091" w:rsidRPr="00084FF3">
        <w:fldChar w:fldCharType="separate"/>
      </w:r>
      <w:r w:rsidR="00084FF3" w:rsidRPr="00084FF3">
        <w:t>28</w:t>
      </w:r>
      <w:r w:rsidR="0018533D" w:rsidRPr="00084FF3">
        <w:t xml:space="preserve"> June 2016</w:t>
      </w:r>
      <w:r w:rsidR="00FA1091" w:rsidRPr="00084FF3">
        <w:fldChar w:fldCharType="end"/>
      </w:r>
      <w:r w:rsidRPr="00002D5D">
        <w:t>).</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C942B4">
        <w:t>Brown on (02) 6277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7918CF" w:rsidP="007918CF">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0B2E68">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TableGrid"/>
        <w:tblW w:w="8340" w:type="dxa"/>
        <w:tblLook w:val="04A0" w:firstRow="1" w:lastRow="0" w:firstColumn="1" w:lastColumn="0" w:noHBand="0" w:noVBand="1"/>
      </w:tblPr>
      <w:tblGrid>
        <w:gridCol w:w="3005"/>
        <w:gridCol w:w="5335"/>
      </w:tblGrid>
      <w:tr w:rsidR="004D5525" w:rsidTr="004D55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4D5525" w:rsidRPr="0052459C" w:rsidRDefault="004D5525" w:rsidP="00815206">
            <w:r w:rsidRPr="0052459C">
              <w:t>Name of proposal:</w:t>
            </w:r>
          </w:p>
        </w:tc>
        <w:tc>
          <w:tcPr>
            <w:tcW w:w="5335" w:type="dxa"/>
          </w:tcPr>
          <w:p w:rsidR="004D5525" w:rsidRPr="0052459C" w:rsidRDefault="007C02AA" w:rsidP="00815206">
            <w:pPr>
              <w:cnfStyle w:val="100000000000" w:firstRow="1" w:lastRow="0" w:firstColumn="0" w:lastColumn="0" w:oddVBand="0" w:evenVBand="0" w:oddHBand="0" w:evenHBand="0" w:firstRowFirstColumn="0" w:firstRowLastColumn="0" w:lastRowFirstColumn="0" w:lastRowLastColumn="0"/>
            </w:pPr>
            <w:bookmarkStart w:id="1" w:name="ProposalName"/>
            <w:r w:rsidRPr="0052459C">
              <w:t>Investing in Early Childhood Educat</w:t>
            </w:r>
            <w:r w:rsidR="00016266">
              <w:t>ors</w:t>
            </w:r>
            <w:bookmarkEnd w:id="1"/>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815206">
            <w:r>
              <w:t>Summary of proposal:</w:t>
            </w:r>
          </w:p>
        </w:tc>
        <w:tc>
          <w:tcPr>
            <w:tcW w:w="5335" w:type="dxa"/>
          </w:tcPr>
          <w:p w:rsidR="004F4AE1" w:rsidRDefault="004F4AE1" w:rsidP="00B4115D">
            <w:pPr>
              <w:cnfStyle w:val="000000100000" w:firstRow="0" w:lastRow="0" w:firstColumn="0" w:lastColumn="0" w:oddVBand="0" w:evenVBand="0" w:oddHBand="1" w:evenHBand="0" w:firstRowFirstColumn="0" w:firstRowLastColumn="0" w:lastRowFirstColumn="0" w:lastRowLastColumn="0"/>
              <w:rPr>
                <w:u w:val="single"/>
              </w:rPr>
            </w:pPr>
            <w:r w:rsidRPr="00DC09C3">
              <w:t xml:space="preserve">The proposal would waive Higher Education Loan Program (HELP) repayments for early childhood </w:t>
            </w:r>
            <w:r>
              <w:t xml:space="preserve">education </w:t>
            </w:r>
            <w:r w:rsidRPr="00DC09C3">
              <w:t xml:space="preserve">graduates employed in Long Day Care (LDC) </w:t>
            </w:r>
            <w:r w:rsidRPr="00B202BC">
              <w:t xml:space="preserve">centres.  HELP debt equivalent to the repayment that would otherwise be required for the financial year would be written down.  </w:t>
            </w:r>
            <w:r w:rsidR="00B202BC" w:rsidRPr="00B202BC">
              <w:t>Furthermore</w:t>
            </w:r>
            <w:r w:rsidRPr="00B202BC">
              <w:t>, graduates working in LDC centres in remote or low socio-economic areas would have the amount of debt written down doubled in comparison to graduates working in other LDC centres.</w:t>
            </w:r>
          </w:p>
          <w:p w:rsidR="004D5525" w:rsidRDefault="004F4AE1" w:rsidP="00B4115D">
            <w:pPr>
              <w:cnfStyle w:val="000000100000" w:firstRow="0" w:lastRow="0" w:firstColumn="0" w:lastColumn="0" w:oddVBand="0" w:evenVBand="0" w:oddHBand="1" w:evenHBand="0" w:firstRowFirstColumn="0" w:firstRowLastColumn="0" w:lastRowFirstColumn="0" w:lastRowLastColumn="0"/>
            </w:pPr>
            <w:r w:rsidRPr="00DC09C3">
              <w:t>The proposal w</w:t>
            </w:r>
            <w:r>
              <w:t>ould</w:t>
            </w:r>
            <w:r w:rsidRPr="00DC09C3">
              <w:t xml:space="preserve"> have effect from </w:t>
            </w:r>
            <w:r>
              <w:t>1 July 2017</w:t>
            </w:r>
            <w:r w:rsidRPr="00DC09C3">
              <w:t>.</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815206">
            <w:r>
              <w:t>Person/party requesting costing:</w:t>
            </w:r>
          </w:p>
        </w:tc>
        <w:tc>
          <w:tcPr>
            <w:tcW w:w="5335" w:type="dxa"/>
          </w:tcPr>
          <w:p w:rsidR="004D5525" w:rsidRDefault="000B2E68" w:rsidP="00815206">
            <w:pPr>
              <w:cnfStyle w:val="000000000000" w:firstRow="0" w:lastRow="0" w:firstColumn="0" w:lastColumn="0" w:oddVBand="0" w:evenVBand="0" w:oddHBand="0" w:evenHBand="0" w:firstRowFirstColumn="0" w:firstRowLastColumn="0" w:lastRowFirstColumn="0" w:lastRowLastColumn="0"/>
            </w:pPr>
            <w:r w:rsidRPr="00253CAE">
              <w:t>Senator Richard Di Natale, Australian Greens</w:t>
            </w:r>
          </w:p>
        </w:tc>
      </w:tr>
      <w:tr w:rsidR="00C942B4" w:rsidRPr="00C17112" w:rsidTr="00E21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C942B4" w:rsidRDefault="00C942B4" w:rsidP="00815206">
            <w:r>
              <w:t>Date of public release of policy:</w:t>
            </w:r>
          </w:p>
        </w:tc>
        <w:tc>
          <w:tcPr>
            <w:tcW w:w="5335" w:type="dxa"/>
          </w:tcPr>
          <w:p w:rsidR="00C942B4" w:rsidRPr="00C17112" w:rsidRDefault="00084FF3" w:rsidP="00815206">
            <w:pPr>
              <w:cnfStyle w:val="000000100000" w:firstRow="0" w:lastRow="0" w:firstColumn="0" w:lastColumn="0" w:oddVBand="0" w:evenVBand="0" w:oddHBand="1" w:evenHBand="0" w:firstRowFirstColumn="0" w:firstRowLastColumn="0" w:lastRowFirstColumn="0" w:lastRowLastColumn="0"/>
            </w:pPr>
            <w:r>
              <w:t>9 June 2016</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815206">
            <w:r>
              <w:t>Date costing request received:</w:t>
            </w:r>
          </w:p>
        </w:tc>
        <w:tc>
          <w:tcPr>
            <w:tcW w:w="5335" w:type="dxa"/>
          </w:tcPr>
          <w:p w:rsidR="004D5525" w:rsidRDefault="00084FF3" w:rsidP="00815206">
            <w:pPr>
              <w:cnfStyle w:val="000000000000" w:firstRow="0" w:lastRow="0" w:firstColumn="0" w:lastColumn="0" w:oddVBand="0" w:evenVBand="0" w:oddHBand="0" w:evenHBand="0" w:firstRowFirstColumn="0" w:firstRowLastColumn="0" w:lastRowFirstColumn="0" w:lastRowLastColumn="0"/>
            </w:pPr>
            <w:bookmarkStart w:id="2" w:name="ReceivedDate"/>
            <w:r>
              <w:t>28</w:t>
            </w:r>
            <w:r w:rsidR="000B2E68">
              <w:t xml:space="preserve"> June 2016</w:t>
            </w:r>
            <w:bookmarkEnd w:id="2"/>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815206">
            <w:r>
              <w:t>Date costing completed</w:t>
            </w:r>
            <w:r w:rsidR="00B4115D">
              <w:t>:</w:t>
            </w:r>
          </w:p>
        </w:tc>
        <w:tc>
          <w:tcPr>
            <w:tcW w:w="5335" w:type="dxa"/>
          </w:tcPr>
          <w:p w:rsidR="004D5525" w:rsidRPr="00C17112" w:rsidRDefault="00084FF3" w:rsidP="00815206">
            <w:pPr>
              <w:cnfStyle w:val="000000100000" w:firstRow="0" w:lastRow="0" w:firstColumn="0" w:lastColumn="0" w:oddVBand="0" w:evenVBand="0" w:oddHBand="1" w:evenHBand="0" w:firstRowFirstColumn="0" w:firstRowLastColumn="0" w:lastRowFirstColumn="0" w:lastRowLastColumn="0"/>
            </w:pPr>
            <w:r>
              <w:t>2</w:t>
            </w:r>
            <w:r w:rsidR="002A5382">
              <w:t>9</w:t>
            </w:r>
            <w:r>
              <w:t xml:space="preserve"> June 2016</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Pr="00220BE5" w:rsidRDefault="004D5525" w:rsidP="00815206">
            <w:r w:rsidRPr="00220BE5">
              <w:t>Expiry date for the costing:</w:t>
            </w:r>
          </w:p>
        </w:tc>
        <w:tc>
          <w:tcPr>
            <w:tcW w:w="5335" w:type="dxa"/>
          </w:tcPr>
          <w:p w:rsidR="004D5525" w:rsidRPr="00220BE5" w:rsidRDefault="000B2E68" w:rsidP="00815206">
            <w:pPr>
              <w:cnfStyle w:val="000000000000" w:firstRow="0" w:lastRow="0" w:firstColumn="0" w:lastColumn="0" w:oddVBand="0" w:evenVBand="0" w:oddHBand="0" w:evenHBand="0" w:firstRowFirstColumn="0" w:firstRowLastColumn="0" w:lastRowFirstColumn="0" w:lastRowLastColumn="0"/>
            </w:pPr>
            <w:r>
              <w:t>R</w:t>
            </w:r>
            <w:r w:rsidRPr="000C59C9">
              <w:t>elease of the next economic and fiscal outlook report</w:t>
            </w:r>
          </w:p>
        </w:tc>
      </w:tr>
    </w:tbl>
    <w:p w:rsidR="0055581F" w:rsidRPr="00002D5D" w:rsidRDefault="008030EC" w:rsidP="00FC6579">
      <w:pPr>
        <w:pStyle w:val="Heading2"/>
      </w:pPr>
      <w:r w:rsidRPr="00002D5D">
        <w:t>Costing overview</w:t>
      </w:r>
    </w:p>
    <w:p w:rsidR="00FB2F79" w:rsidRPr="00B202BC" w:rsidRDefault="00FB2F79" w:rsidP="00815206">
      <w:r w:rsidRPr="00B202BC">
        <w:t xml:space="preserve">The </w:t>
      </w:r>
      <w:r w:rsidR="00B202BC" w:rsidRPr="00B202BC">
        <w:t>proposal would be expected to de</w:t>
      </w:r>
      <w:r w:rsidRPr="00B202BC">
        <w:t>crease the fiscal balance by $</w:t>
      </w:r>
      <w:r w:rsidR="00B202BC" w:rsidRPr="00B202BC">
        <w:t>29</w:t>
      </w:r>
      <w:r w:rsidRPr="00B202BC">
        <w:t xml:space="preserve"> million, </w:t>
      </w:r>
      <w:r w:rsidR="00B202BC" w:rsidRPr="00B202BC">
        <w:t>decrease</w:t>
      </w:r>
      <w:r w:rsidRPr="00B202BC">
        <w:t xml:space="preserve"> the underlying cash balance by $</w:t>
      </w:r>
      <w:r w:rsidR="00B202BC" w:rsidRPr="00B202BC">
        <w:t>7</w:t>
      </w:r>
      <w:r w:rsidRPr="00B202BC">
        <w:t xml:space="preserve"> million and </w:t>
      </w:r>
      <w:r w:rsidR="00B202BC" w:rsidRPr="00B202BC">
        <w:t>decrease</w:t>
      </w:r>
      <w:r w:rsidRPr="00B202BC">
        <w:t xml:space="preserve"> the</w:t>
      </w:r>
      <w:r w:rsidR="00B202BC" w:rsidRPr="00B202BC">
        <w:t xml:space="preserve"> headline cash balance by $29</w:t>
      </w:r>
      <w:r w:rsidRPr="00B202BC">
        <w:t xml:space="preserve"> million over the </w:t>
      </w:r>
      <w:r w:rsidR="0034293B" w:rsidRPr="00B202BC">
        <w:t>2016</w:t>
      </w:r>
      <w:r w:rsidR="0034293B">
        <w:noBreakHyphen/>
      </w:r>
      <w:r w:rsidRPr="00B202BC">
        <w:t>17 Budget forward estimates period.</w:t>
      </w:r>
    </w:p>
    <w:p w:rsidR="00B61A58" w:rsidRPr="00B202BC" w:rsidRDefault="00B61A58" w:rsidP="00815206">
      <w:r w:rsidRPr="00B202BC">
        <w:t>This proposal includes a number of components and would have an ongoing impact that extends beyond the forward estimates period.  The disaggregated financial impacts of the proposal over the period 2016-17 to 2026</w:t>
      </w:r>
      <w:r w:rsidR="00815206">
        <w:t>-</w:t>
      </w:r>
      <w:r w:rsidRPr="00B202BC">
        <w:t xml:space="preserve">27 are provided at </w:t>
      </w:r>
      <w:r w:rsidRPr="00B202BC">
        <w:rPr>
          <w:u w:val="single"/>
        </w:rPr>
        <w:t>Attachment A</w:t>
      </w:r>
      <w:r w:rsidRPr="00B202BC">
        <w:t>.</w:t>
      </w:r>
    </w:p>
    <w:p w:rsidR="00FB2F79" w:rsidRPr="00B202BC" w:rsidRDefault="00FA1091" w:rsidP="00815206">
      <w:r>
        <w:t xml:space="preserve">The </w:t>
      </w:r>
      <w:r w:rsidRPr="00FA1091">
        <w:rPr>
          <w:i/>
        </w:rPr>
        <w:t>Methodology</w:t>
      </w:r>
      <w:r>
        <w:t xml:space="preserve"> section provides information on how the impacts on each budget balance were calculated.  As the proposal impact</w:t>
      </w:r>
      <w:r w:rsidR="0034293B">
        <w:t>s</w:t>
      </w:r>
      <w:r>
        <w:t xml:space="preserve"> on financial asset transactions </w:t>
      </w:r>
      <w:r w:rsidR="00FB2F79" w:rsidRPr="00B202BC">
        <w:t xml:space="preserve">the Public Debt Interest (PDI) impact of the proposal has been included </w:t>
      </w:r>
      <w:r>
        <w:t xml:space="preserve">in this costing </w:t>
      </w:r>
      <w:r w:rsidR="00FB2F79" w:rsidRPr="00B202BC">
        <w:t xml:space="preserve">and a note on the accounting treatment of income contingent loans is included at </w:t>
      </w:r>
      <w:r w:rsidR="00FB2F79" w:rsidRPr="00B202BC">
        <w:rPr>
          <w:u w:val="single"/>
        </w:rPr>
        <w:t>Attachment B</w:t>
      </w:r>
      <w:r w:rsidR="00FB2F79" w:rsidRPr="00B202BC">
        <w:t>.</w:t>
      </w:r>
    </w:p>
    <w:p w:rsidR="00B61A58" w:rsidRPr="00B202BC" w:rsidRDefault="00FB2F79" w:rsidP="00815206">
      <w:r w:rsidRPr="00B202BC">
        <w:lastRenderedPageBreak/>
        <w:t xml:space="preserve">The proposal would not be </w:t>
      </w:r>
      <w:r w:rsidR="00B044A7" w:rsidRPr="00B202BC">
        <w:t>expected</w:t>
      </w:r>
      <w:r w:rsidRPr="00B202BC">
        <w:t xml:space="preserve"> to result in </w:t>
      </w:r>
      <w:r w:rsidR="00B202BC" w:rsidRPr="00B202BC">
        <w:t>additional</w:t>
      </w:r>
      <w:r w:rsidRPr="00B202BC">
        <w:t xml:space="preserve"> departmental expenditure as the implementation of the policy is not expected to have a material impact on the administration of the overall HELP.</w:t>
      </w:r>
    </w:p>
    <w:p w:rsidR="008D3909" w:rsidRPr="00D51DF9" w:rsidRDefault="00B202BC" w:rsidP="00815206">
      <w:pPr>
        <w:rPr>
          <w:highlight w:val="yellow"/>
        </w:rPr>
      </w:pPr>
      <w:r>
        <w:t xml:space="preserve">The costing is considered to be of low to medium reliability due to uncertainty surrounding the income of </w:t>
      </w:r>
      <w:r w:rsidRPr="00DC09C3">
        <w:t xml:space="preserve">early childhood </w:t>
      </w:r>
      <w:r>
        <w:t>education graduates.</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016266">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8152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9E54B2" w:rsidRDefault="00CA5D42" w:rsidP="00815206">
            <w:pPr>
              <w:pStyle w:val="TableText"/>
              <w:keepNext/>
              <w:keepLines/>
              <w:spacing w:line="240" w:lineRule="auto"/>
              <w:ind w:left="57" w:right="57"/>
              <w:rPr>
                <w:rFonts w:ascii="Calibri" w:hAnsi="Calibri"/>
                <w:b w:val="0"/>
                <w:szCs w:val="20"/>
              </w:rPr>
            </w:pPr>
            <w:r w:rsidRPr="009E54B2">
              <w:rPr>
                <w:rFonts w:ascii="Calibri" w:hAnsi="Calibri"/>
                <w:b w:val="0"/>
                <w:szCs w:val="20"/>
              </w:rPr>
              <w:t>Impact on</w:t>
            </w:r>
            <w:r w:rsidR="00461597" w:rsidRPr="009E54B2">
              <w:rPr>
                <w:rFonts w:ascii="Calibri" w:hAnsi="Calibri"/>
                <w:b w:val="0"/>
                <w:szCs w:val="20"/>
              </w:rPr>
              <w:t xml:space="preserve"> ($m)</w:t>
            </w:r>
          </w:p>
        </w:tc>
        <w:tc>
          <w:tcPr>
            <w:tcW w:w="682" w:type="pct"/>
            <w:vAlign w:val="center"/>
          </w:tcPr>
          <w:p w:rsidR="00CA5D42" w:rsidRPr="009E54B2" w:rsidRDefault="00CA5D42" w:rsidP="00815206">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9E54B2">
              <w:rPr>
                <w:rFonts w:ascii="Calibri" w:hAnsi="Calibri"/>
                <w:b w:val="0"/>
                <w:sz w:val="20"/>
                <w:szCs w:val="20"/>
              </w:rPr>
              <w:t>2016</w:t>
            </w:r>
            <w:r w:rsidR="00500C1C">
              <w:rPr>
                <w:rFonts w:ascii="Calibri" w:hAnsi="Calibri"/>
                <w:b w:val="0"/>
                <w:sz w:val="20"/>
                <w:szCs w:val="20"/>
              </w:rPr>
              <w:t>–</w:t>
            </w:r>
            <w:r w:rsidRPr="009E54B2">
              <w:rPr>
                <w:rFonts w:ascii="Calibri" w:hAnsi="Calibri"/>
                <w:b w:val="0"/>
                <w:sz w:val="20"/>
                <w:szCs w:val="20"/>
              </w:rPr>
              <w:t>17</w:t>
            </w:r>
          </w:p>
        </w:tc>
        <w:tc>
          <w:tcPr>
            <w:tcW w:w="682" w:type="pct"/>
            <w:vAlign w:val="center"/>
          </w:tcPr>
          <w:p w:rsidR="00CA5D42" w:rsidRPr="009E54B2" w:rsidRDefault="00CA5D42" w:rsidP="00815206">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9E54B2">
              <w:rPr>
                <w:rFonts w:ascii="Calibri" w:hAnsi="Calibri"/>
                <w:b w:val="0"/>
                <w:sz w:val="20"/>
                <w:szCs w:val="20"/>
              </w:rPr>
              <w:t>2017</w:t>
            </w:r>
            <w:r w:rsidR="00500C1C">
              <w:rPr>
                <w:rFonts w:ascii="Calibri" w:hAnsi="Calibri"/>
                <w:b w:val="0"/>
                <w:sz w:val="20"/>
                <w:szCs w:val="20"/>
              </w:rPr>
              <w:t>–</w:t>
            </w:r>
            <w:r w:rsidRPr="009E54B2">
              <w:rPr>
                <w:rFonts w:ascii="Calibri" w:hAnsi="Calibri"/>
                <w:b w:val="0"/>
                <w:sz w:val="20"/>
                <w:szCs w:val="20"/>
              </w:rPr>
              <w:t>18</w:t>
            </w:r>
          </w:p>
        </w:tc>
        <w:tc>
          <w:tcPr>
            <w:tcW w:w="682" w:type="pct"/>
            <w:vAlign w:val="center"/>
          </w:tcPr>
          <w:p w:rsidR="00CA5D42" w:rsidRPr="009E54B2" w:rsidRDefault="00CA5D42" w:rsidP="00815206">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9E54B2">
              <w:rPr>
                <w:rFonts w:ascii="Calibri" w:hAnsi="Calibri"/>
                <w:b w:val="0"/>
                <w:sz w:val="20"/>
                <w:szCs w:val="20"/>
              </w:rPr>
              <w:t>2018</w:t>
            </w:r>
            <w:r w:rsidR="00500C1C">
              <w:rPr>
                <w:rFonts w:ascii="Calibri" w:hAnsi="Calibri"/>
                <w:b w:val="0"/>
                <w:sz w:val="20"/>
                <w:szCs w:val="20"/>
              </w:rPr>
              <w:t>–</w:t>
            </w:r>
            <w:r w:rsidRPr="009E54B2">
              <w:rPr>
                <w:rFonts w:ascii="Calibri" w:hAnsi="Calibri"/>
                <w:b w:val="0"/>
                <w:sz w:val="20"/>
                <w:szCs w:val="20"/>
              </w:rPr>
              <w:t>19</w:t>
            </w:r>
          </w:p>
        </w:tc>
        <w:tc>
          <w:tcPr>
            <w:tcW w:w="682" w:type="pct"/>
            <w:vAlign w:val="center"/>
          </w:tcPr>
          <w:p w:rsidR="00CA5D42" w:rsidRPr="009E54B2" w:rsidRDefault="00CA5D42" w:rsidP="00815206">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9E54B2">
              <w:rPr>
                <w:rFonts w:ascii="Calibri" w:hAnsi="Calibri"/>
                <w:b w:val="0"/>
                <w:sz w:val="20"/>
                <w:szCs w:val="20"/>
              </w:rPr>
              <w:t>2019</w:t>
            </w:r>
            <w:r w:rsidR="00500C1C">
              <w:rPr>
                <w:rFonts w:ascii="Calibri" w:hAnsi="Calibri"/>
                <w:b w:val="0"/>
                <w:sz w:val="20"/>
                <w:szCs w:val="20"/>
              </w:rPr>
              <w:t>–</w:t>
            </w:r>
            <w:r w:rsidRPr="009E54B2">
              <w:rPr>
                <w:rFonts w:ascii="Calibri" w:hAnsi="Calibri"/>
                <w:b w:val="0"/>
                <w:sz w:val="20"/>
                <w:szCs w:val="20"/>
              </w:rPr>
              <w:t>20</w:t>
            </w:r>
          </w:p>
        </w:tc>
        <w:tc>
          <w:tcPr>
            <w:tcW w:w="681" w:type="pct"/>
            <w:vAlign w:val="center"/>
          </w:tcPr>
          <w:p w:rsidR="00CA5D42" w:rsidRPr="00B202BC" w:rsidRDefault="00CA5D42" w:rsidP="00815206">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B202BC">
              <w:rPr>
                <w:rFonts w:ascii="Calibri" w:hAnsi="Calibri"/>
                <w:sz w:val="20"/>
                <w:szCs w:val="20"/>
              </w:rPr>
              <w:t>Total</w:t>
            </w:r>
          </w:p>
        </w:tc>
      </w:tr>
      <w:tr w:rsidR="00B202BC" w:rsidRPr="00B73AC8" w:rsidTr="00815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vAlign w:val="center"/>
          </w:tcPr>
          <w:p w:rsidR="00B202BC" w:rsidRPr="00B73AC8" w:rsidRDefault="00B202BC" w:rsidP="00815206">
            <w:pPr>
              <w:pStyle w:val="TableTextCentred"/>
              <w:keepNext/>
              <w:keepLines/>
              <w:spacing w:line="240" w:lineRule="auto"/>
              <w:ind w:left="57" w:right="57"/>
              <w:jc w:val="left"/>
              <w:rPr>
                <w:rFonts w:ascii="Calibri" w:hAnsi="Calibri"/>
                <w:szCs w:val="20"/>
              </w:rPr>
            </w:pPr>
            <w:r w:rsidRPr="00B73AC8">
              <w:rPr>
                <w:rFonts w:ascii="Calibri" w:hAnsi="Calibri"/>
                <w:szCs w:val="20"/>
              </w:rPr>
              <w:t>Fiscal balance</w:t>
            </w:r>
          </w:p>
        </w:tc>
        <w:tc>
          <w:tcPr>
            <w:tcW w:w="682"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B202BC">
              <w:rPr>
                <w:sz w:val="20"/>
              </w:rPr>
              <w:t>-</w:t>
            </w:r>
          </w:p>
        </w:tc>
        <w:tc>
          <w:tcPr>
            <w:tcW w:w="682"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B202BC">
              <w:rPr>
                <w:sz w:val="20"/>
              </w:rPr>
              <w:t>-9</w:t>
            </w:r>
            <w:r w:rsidR="00FA1091">
              <w:rPr>
                <w:sz w:val="20"/>
              </w:rPr>
              <w:t>.0</w:t>
            </w:r>
          </w:p>
        </w:tc>
        <w:tc>
          <w:tcPr>
            <w:tcW w:w="682"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B202BC">
              <w:rPr>
                <w:sz w:val="20"/>
              </w:rPr>
              <w:t>-10</w:t>
            </w:r>
            <w:r w:rsidR="00FA1091">
              <w:rPr>
                <w:sz w:val="20"/>
              </w:rPr>
              <w:t>.0</w:t>
            </w:r>
          </w:p>
        </w:tc>
        <w:tc>
          <w:tcPr>
            <w:tcW w:w="682"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B202BC">
              <w:rPr>
                <w:sz w:val="20"/>
              </w:rPr>
              <w:t>-11</w:t>
            </w:r>
            <w:r w:rsidR="00FA1091">
              <w:rPr>
                <w:sz w:val="20"/>
              </w:rPr>
              <w:t>.0</w:t>
            </w:r>
          </w:p>
        </w:tc>
        <w:tc>
          <w:tcPr>
            <w:tcW w:w="681"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sz w:val="20"/>
              </w:rPr>
            </w:pPr>
            <w:r w:rsidRPr="00B202BC">
              <w:rPr>
                <w:b/>
                <w:sz w:val="20"/>
              </w:rPr>
              <w:t>-29</w:t>
            </w:r>
            <w:r w:rsidR="00FA1091">
              <w:rPr>
                <w:b/>
                <w:sz w:val="20"/>
              </w:rPr>
              <w:t>.0</w:t>
            </w:r>
          </w:p>
        </w:tc>
      </w:tr>
      <w:tr w:rsidR="00B202BC" w:rsidRPr="00B73AC8" w:rsidTr="00815206">
        <w:tc>
          <w:tcPr>
            <w:cnfStyle w:val="001000000000" w:firstRow="0" w:lastRow="0" w:firstColumn="1" w:lastColumn="0" w:oddVBand="0" w:evenVBand="0" w:oddHBand="0" w:evenHBand="0" w:firstRowFirstColumn="0" w:firstRowLastColumn="0" w:lastRowFirstColumn="0" w:lastRowLastColumn="0"/>
            <w:tcW w:w="1591" w:type="pct"/>
            <w:vAlign w:val="center"/>
          </w:tcPr>
          <w:p w:rsidR="00B202BC" w:rsidRPr="00B73AC8" w:rsidRDefault="00B202BC" w:rsidP="00815206">
            <w:pPr>
              <w:pStyle w:val="TableTextCentred"/>
              <w:keepNext/>
              <w:keepLines/>
              <w:spacing w:line="240" w:lineRule="auto"/>
              <w:ind w:left="57" w:right="57"/>
              <w:jc w:val="left"/>
              <w:rPr>
                <w:rFonts w:ascii="Calibri" w:hAnsi="Calibri"/>
                <w:szCs w:val="20"/>
              </w:rPr>
            </w:pPr>
            <w:r w:rsidRPr="00B73AC8">
              <w:rPr>
                <w:rFonts w:ascii="Calibri" w:hAnsi="Calibri"/>
                <w:szCs w:val="20"/>
              </w:rPr>
              <w:t>Underlying cash balance</w:t>
            </w:r>
          </w:p>
        </w:tc>
        <w:tc>
          <w:tcPr>
            <w:tcW w:w="682" w:type="pct"/>
            <w:vAlign w:val="center"/>
          </w:tcPr>
          <w:p w:rsidR="00B202BC" w:rsidRPr="00B202BC" w:rsidRDefault="00B202BC" w:rsidP="008152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rPr>
            </w:pPr>
            <w:r w:rsidRPr="00B202BC">
              <w:rPr>
                <w:sz w:val="20"/>
              </w:rPr>
              <w:t>-</w:t>
            </w:r>
          </w:p>
        </w:tc>
        <w:tc>
          <w:tcPr>
            <w:tcW w:w="682" w:type="pct"/>
            <w:vAlign w:val="center"/>
          </w:tcPr>
          <w:p w:rsidR="00B202BC" w:rsidRPr="00B202BC" w:rsidRDefault="00B202BC" w:rsidP="008152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rPr>
            </w:pPr>
            <w:r w:rsidRPr="00B202BC">
              <w:rPr>
                <w:sz w:val="20"/>
              </w:rPr>
              <w:t>-2</w:t>
            </w:r>
            <w:r w:rsidR="00FA1091">
              <w:rPr>
                <w:sz w:val="20"/>
              </w:rPr>
              <w:t>.0</w:t>
            </w:r>
          </w:p>
        </w:tc>
        <w:tc>
          <w:tcPr>
            <w:tcW w:w="682" w:type="pct"/>
            <w:vAlign w:val="center"/>
          </w:tcPr>
          <w:p w:rsidR="00B202BC" w:rsidRPr="00B202BC" w:rsidRDefault="00B202BC" w:rsidP="008152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rPr>
            </w:pPr>
            <w:r w:rsidRPr="00B202BC">
              <w:rPr>
                <w:sz w:val="20"/>
              </w:rPr>
              <w:t>-2</w:t>
            </w:r>
            <w:r w:rsidR="00FA1091">
              <w:rPr>
                <w:sz w:val="20"/>
              </w:rPr>
              <w:t>.0</w:t>
            </w:r>
          </w:p>
        </w:tc>
        <w:tc>
          <w:tcPr>
            <w:tcW w:w="682" w:type="pct"/>
            <w:vAlign w:val="center"/>
          </w:tcPr>
          <w:p w:rsidR="00B202BC" w:rsidRPr="00B202BC" w:rsidRDefault="00B202BC" w:rsidP="008152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rPr>
            </w:pPr>
            <w:r w:rsidRPr="00B202BC">
              <w:rPr>
                <w:sz w:val="20"/>
              </w:rPr>
              <w:t>-3</w:t>
            </w:r>
            <w:r w:rsidR="00FA1091">
              <w:rPr>
                <w:sz w:val="20"/>
              </w:rPr>
              <w:t>.0</w:t>
            </w:r>
          </w:p>
        </w:tc>
        <w:tc>
          <w:tcPr>
            <w:tcW w:w="681" w:type="pct"/>
            <w:vAlign w:val="center"/>
          </w:tcPr>
          <w:p w:rsidR="00B202BC" w:rsidRPr="00B202BC" w:rsidRDefault="00B202BC" w:rsidP="0081520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rPr>
            </w:pPr>
            <w:r w:rsidRPr="00B202BC">
              <w:rPr>
                <w:b/>
                <w:sz w:val="20"/>
              </w:rPr>
              <w:t>-7</w:t>
            </w:r>
            <w:r w:rsidR="00FA1091">
              <w:rPr>
                <w:b/>
                <w:sz w:val="20"/>
              </w:rPr>
              <w:t>.0</w:t>
            </w:r>
          </w:p>
        </w:tc>
      </w:tr>
      <w:tr w:rsidR="00B202BC" w:rsidRPr="00B73AC8" w:rsidTr="00815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vAlign w:val="center"/>
          </w:tcPr>
          <w:p w:rsidR="00B202BC" w:rsidRPr="00B73AC8" w:rsidRDefault="00B202BC" w:rsidP="00815206">
            <w:pPr>
              <w:pStyle w:val="TableTextCentred"/>
              <w:keepNext/>
              <w:keepLines/>
              <w:spacing w:line="240" w:lineRule="auto"/>
              <w:ind w:left="57" w:right="57"/>
              <w:jc w:val="left"/>
              <w:rPr>
                <w:rFonts w:ascii="Calibri" w:hAnsi="Calibri"/>
                <w:szCs w:val="20"/>
              </w:rPr>
            </w:pPr>
            <w:r>
              <w:rPr>
                <w:rFonts w:ascii="Calibri" w:hAnsi="Calibri"/>
                <w:szCs w:val="20"/>
              </w:rPr>
              <w:t>Headline cash balance</w:t>
            </w:r>
          </w:p>
        </w:tc>
        <w:tc>
          <w:tcPr>
            <w:tcW w:w="682"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B202BC">
              <w:rPr>
                <w:sz w:val="20"/>
              </w:rPr>
              <w:t>-</w:t>
            </w:r>
          </w:p>
        </w:tc>
        <w:tc>
          <w:tcPr>
            <w:tcW w:w="682"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B202BC">
              <w:rPr>
                <w:sz w:val="20"/>
              </w:rPr>
              <w:t>-8</w:t>
            </w:r>
            <w:r w:rsidR="00FA1091">
              <w:rPr>
                <w:sz w:val="20"/>
              </w:rPr>
              <w:t>.0</w:t>
            </w:r>
          </w:p>
        </w:tc>
        <w:tc>
          <w:tcPr>
            <w:tcW w:w="682"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B202BC">
              <w:rPr>
                <w:sz w:val="20"/>
              </w:rPr>
              <w:t>-10</w:t>
            </w:r>
            <w:r w:rsidR="00FA1091">
              <w:rPr>
                <w:sz w:val="20"/>
              </w:rPr>
              <w:t>.0</w:t>
            </w:r>
          </w:p>
        </w:tc>
        <w:tc>
          <w:tcPr>
            <w:tcW w:w="682"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B202BC">
              <w:rPr>
                <w:sz w:val="20"/>
              </w:rPr>
              <w:t>-11</w:t>
            </w:r>
            <w:r w:rsidR="00FA1091">
              <w:rPr>
                <w:sz w:val="20"/>
              </w:rPr>
              <w:t>.0</w:t>
            </w:r>
          </w:p>
        </w:tc>
        <w:tc>
          <w:tcPr>
            <w:tcW w:w="681" w:type="pct"/>
            <w:vAlign w:val="center"/>
          </w:tcPr>
          <w:p w:rsidR="00B202BC" w:rsidRPr="00B202BC" w:rsidRDefault="00B202BC" w:rsidP="00815206">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sz w:val="20"/>
              </w:rPr>
            </w:pPr>
            <w:r w:rsidRPr="00B202BC">
              <w:rPr>
                <w:b/>
                <w:sz w:val="20"/>
              </w:rPr>
              <w:t>-29</w:t>
            </w:r>
            <w:r w:rsidR="00FA1091">
              <w:rPr>
                <w:b/>
                <w:sz w:val="20"/>
              </w:rPr>
              <w:t>.0</w:t>
            </w:r>
          </w:p>
        </w:tc>
      </w:tr>
    </w:tbl>
    <w:p w:rsidR="00016266" w:rsidRDefault="000675A9" w:rsidP="00D51DF9">
      <w:pPr>
        <w:pStyle w:val="Footnotes"/>
        <w:numPr>
          <w:ilvl w:val="0"/>
          <w:numId w:val="7"/>
        </w:numPr>
        <w:ind w:left="284" w:hanging="284"/>
      </w:pPr>
      <w:r w:rsidRPr="00232048">
        <w:t xml:space="preserve">A positive number represents an increase in the relevant budget </w:t>
      </w:r>
      <w:proofErr w:type="gramStart"/>
      <w:r w:rsidRPr="00232048">
        <w:t>balance,</w:t>
      </w:r>
      <w:proofErr w:type="gramEnd"/>
      <w:r w:rsidRPr="00232048">
        <w:t xml:space="preserve"> a negative number represents a decrease.</w:t>
      </w:r>
    </w:p>
    <w:p w:rsidR="009D4063" w:rsidRDefault="00D51DF9" w:rsidP="00D51DF9">
      <w:pPr>
        <w:pStyle w:val="Footnotes"/>
        <w:numPr>
          <w:ilvl w:val="0"/>
          <w:numId w:val="7"/>
        </w:numPr>
        <w:ind w:left="284" w:hanging="284"/>
      </w:pPr>
      <w:r w:rsidRPr="00D51DF9">
        <w:t>Figures may not sum to total</w:t>
      </w:r>
      <w:r w:rsidR="00B202BC">
        <w:t>s</w:t>
      </w:r>
      <w:r w:rsidRPr="00D51DF9">
        <w:t xml:space="preserve"> due to rounding.</w:t>
      </w:r>
    </w:p>
    <w:p w:rsidR="004F3B2D" w:rsidRPr="00CA5D42" w:rsidRDefault="004F3B2D" w:rsidP="004F3B2D">
      <w:pPr>
        <w:pStyle w:val="Footnotes"/>
        <w:numPr>
          <w:ilvl w:val="0"/>
          <w:numId w:val="0"/>
        </w:numPr>
        <w:ind w:left="284" w:hanging="284"/>
      </w:pPr>
      <w:r>
        <w:t>-</w:t>
      </w:r>
      <w:r>
        <w:tab/>
        <w:t>Indicates nil.</w:t>
      </w:r>
    </w:p>
    <w:p w:rsidR="008D3909" w:rsidRPr="00FC6579" w:rsidRDefault="005E3562" w:rsidP="00E40B8B">
      <w:pPr>
        <w:pStyle w:val="Heading2"/>
      </w:pPr>
      <w:r w:rsidRPr="00FC6579">
        <w:t>Key assumptions</w:t>
      </w:r>
    </w:p>
    <w:p w:rsidR="00B61A58" w:rsidRPr="00B202BC" w:rsidRDefault="00B61A58" w:rsidP="00B61A58">
      <w:r w:rsidRPr="00B202BC">
        <w:t>In costing the proposal, the following assumptions have been made:</w:t>
      </w:r>
    </w:p>
    <w:p w:rsidR="00B202BC" w:rsidRPr="00815206" w:rsidRDefault="00B202BC" w:rsidP="00815206">
      <w:pPr>
        <w:pStyle w:val="Bullet1"/>
      </w:pPr>
      <w:r w:rsidRPr="00815206">
        <w:t>80 per cent of the eligible early childhood education graduates would take up the proposal</w:t>
      </w:r>
    </w:p>
    <w:p w:rsidR="00FB2F79" w:rsidRPr="00815206" w:rsidRDefault="00B202BC" w:rsidP="00815206">
      <w:pPr>
        <w:pStyle w:val="Bullet2"/>
      </w:pPr>
      <w:r w:rsidRPr="00815206">
        <w:t>The increase from the current take up rate of 30 per cent for the HECS-HELP Benefit for Early Childhood Education reflects the more generous benefit offered under this proposal.</w:t>
      </w:r>
    </w:p>
    <w:p w:rsidR="00B61A58" w:rsidRPr="00815206" w:rsidRDefault="00B202BC" w:rsidP="00815206">
      <w:pPr>
        <w:pStyle w:val="Bullet1"/>
      </w:pPr>
      <w:proofErr w:type="gramStart"/>
      <w:r w:rsidRPr="00815206">
        <w:t>the</w:t>
      </w:r>
      <w:proofErr w:type="gramEnd"/>
      <w:r w:rsidRPr="00815206">
        <w:t xml:space="preserve"> graduates eligible for the additional support are the same group of graduates currently eligible for the HECS-HELP Benefit for Early Childhood Education, which is targeted towards graduates working in LDC centres in remote or low socio economic areas.</w:t>
      </w:r>
    </w:p>
    <w:p w:rsidR="005E3562" w:rsidRPr="00FC6579" w:rsidRDefault="005E3562" w:rsidP="00E40B8B">
      <w:pPr>
        <w:pStyle w:val="Heading2"/>
      </w:pPr>
      <w:r w:rsidRPr="00FC6579">
        <w:t>Methodology</w:t>
      </w:r>
    </w:p>
    <w:p w:rsidR="004F4AE1" w:rsidRDefault="004F4AE1" w:rsidP="008B6DED">
      <w:r>
        <w:t>The costing estimate has been derived by taking the product of an estimated number of graduates likely to claim the waiver, and the average of their HELP repayments and debt waived.</w:t>
      </w:r>
    </w:p>
    <w:p w:rsidR="004F4AE1" w:rsidRDefault="004F4AE1" w:rsidP="008B6DED">
      <w:r>
        <w:t>The number of early childhood education graduates with HELP debts and their average HELP repayments in 2013-14 were taken from the detailed tables of the Australian Taxation Office’s 2013-14 Taxation Statistics publication.  The number of graduates and average HELP repayments have been indexed based on their growth over the period 2009</w:t>
      </w:r>
      <w:r>
        <w:noBreakHyphen/>
        <w:t>10 to 2013</w:t>
      </w:r>
      <w:r>
        <w:noBreakHyphen/>
        <w:t>14.</w:t>
      </w:r>
    </w:p>
    <w:p w:rsidR="004F4AE1" w:rsidRDefault="004F4AE1" w:rsidP="008B6DED">
      <w:pPr>
        <w:keepNext/>
        <w:keepLines/>
      </w:pPr>
      <w:r>
        <w:lastRenderedPageBreak/>
        <w:t>The combined impact of reduction in HELP repayments and debt writedowns has the following impacts on budget balances:</w:t>
      </w:r>
    </w:p>
    <w:p w:rsidR="00B61A58" w:rsidRDefault="00B61A58" w:rsidP="00B61A58">
      <w:pPr>
        <w:pStyle w:val="Heading3"/>
      </w:pPr>
      <w:r w:rsidRPr="00764F7A">
        <w:t>Fiscal balance impact – components</w:t>
      </w:r>
    </w:p>
    <w:p w:rsidR="004F4AE1" w:rsidRPr="008B6DED" w:rsidRDefault="004F4AE1" w:rsidP="008B6DED">
      <w:pPr>
        <w:pStyle w:val="Bullet1"/>
      </w:pPr>
      <w:r w:rsidRPr="008B6DED">
        <w:t>Writedowns of debts have a negative impact on the fiscal balance.</w:t>
      </w:r>
    </w:p>
    <w:p w:rsidR="004F4AE1" w:rsidRPr="008B6DED" w:rsidRDefault="004F4AE1" w:rsidP="008B6DED">
      <w:pPr>
        <w:pStyle w:val="Bullet1"/>
      </w:pPr>
      <w:r w:rsidRPr="008B6DED">
        <w:t>Increased PDI payments have a negative impact on the fiscal balance.</w:t>
      </w:r>
    </w:p>
    <w:p w:rsidR="00B61A58" w:rsidRPr="00C77BC0" w:rsidRDefault="00B61A58" w:rsidP="00B61A58">
      <w:pPr>
        <w:pStyle w:val="Heading3"/>
      </w:pPr>
      <w:r w:rsidRPr="00DE2B04">
        <w:t>Underlying cash balance impact – components</w:t>
      </w:r>
    </w:p>
    <w:p w:rsidR="004F4AE1" w:rsidRPr="004F4AE1" w:rsidRDefault="004F4AE1" w:rsidP="004F4AE1">
      <w:pPr>
        <w:pStyle w:val="Bullet1"/>
      </w:pPr>
      <w:r w:rsidRPr="004F4AE1">
        <w:t>Decreased interest receipts have a negative impact on the underlying cash balance.</w:t>
      </w:r>
    </w:p>
    <w:p w:rsidR="004F4AE1" w:rsidRPr="004F4AE1" w:rsidRDefault="004F4AE1" w:rsidP="004F4AE1">
      <w:pPr>
        <w:pStyle w:val="Bullet1"/>
      </w:pPr>
      <w:r w:rsidRPr="004F4AE1">
        <w:t>Increased PDI payments have a negative impact on the underlying cash balance.</w:t>
      </w:r>
    </w:p>
    <w:p w:rsidR="00B61A58" w:rsidRPr="00764F7A" w:rsidRDefault="00B61A58" w:rsidP="00B61A58">
      <w:pPr>
        <w:pStyle w:val="Heading3"/>
      </w:pPr>
      <w:r w:rsidRPr="00764F7A">
        <w:t>Headline cash balance impact – components</w:t>
      </w:r>
    </w:p>
    <w:p w:rsidR="004F4AE1" w:rsidRPr="004F4AE1" w:rsidRDefault="004F4AE1" w:rsidP="004F4AE1">
      <w:pPr>
        <w:pStyle w:val="Bullet1"/>
      </w:pPr>
      <w:r w:rsidRPr="004F4AE1">
        <w:t>Decreased principal repayments have a negative impact on the headline cash balance.</w:t>
      </w:r>
    </w:p>
    <w:p w:rsidR="004F4AE1" w:rsidRPr="004F4AE1" w:rsidRDefault="004F4AE1" w:rsidP="004F4AE1">
      <w:pPr>
        <w:pStyle w:val="Bullet1"/>
      </w:pPr>
      <w:r w:rsidRPr="004F4AE1">
        <w:t>Decreased interest receipts (interest is estimated as a fixed proportion of repayments) have a negative impact on the headline cash balance.</w:t>
      </w:r>
    </w:p>
    <w:p w:rsidR="004F4AE1" w:rsidRPr="004F4AE1" w:rsidRDefault="004F4AE1" w:rsidP="004F4AE1">
      <w:pPr>
        <w:pStyle w:val="Bullet1"/>
      </w:pPr>
      <w:r w:rsidRPr="004F4AE1">
        <w:t>Increased PDI payments have a negative impact on the headline cash balance.</w:t>
      </w:r>
    </w:p>
    <w:p w:rsidR="00B61A58" w:rsidRPr="00DE2B04" w:rsidRDefault="00B61A58" w:rsidP="00B61A58">
      <w:pPr>
        <w:pStyle w:val="Heading3"/>
      </w:pPr>
      <w:r w:rsidRPr="00DE2B04">
        <w:t>General</w:t>
      </w:r>
    </w:p>
    <w:p w:rsidR="00B61A58" w:rsidRDefault="00B61A58" w:rsidP="00B61A58">
      <w:pPr>
        <w:pStyle w:val="Bullet1"/>
        <w:keepLines w:val="0"/>
        <w:numPr>
          <w:ilvl w:val="0"/>
          <w:numId w:val="0"/>
        </w:numPr>
        <w:ind w:left="284" w:hanging="284"/>
      </w:pPr>
      <w:r>
        <w:t>All estimates have been rounded to the nearest $1 million.</w:t>
      </w:r>
    </w:p>
    <w:p w:rsidR="005E3562" w:rsidRPr="00FC6579" w:rsidRDefault="005E3562" w:rsidP="00E40B8B">
      <w:pPr>
        <w:pStyle w:val="Heading2"/>
      </w:pPr>
      <w:r w:rsidRPr="00FC6579">
        <w:t>Data sources</w:t>
      </w:r>
    </w:p>
    <w:p w:rsidR="004F4AE1" w:rsidRDefault="004F4AE1" w:rsidP="004F4AE1">
      <w:pPr>
        <w:pStyle w:val="Bullet1"/>
      </w:pPr>
      <w:r>
        <w:t>Australian Taxation Office</w:t>
      </w:r>
    </w:p>
    <w:p w:rsidR="004F4AE1" w:rsidRDefault="004F4AE1" w:rsidP="004F4AE1">
      <w:pPr>
        <w:pStyle w:val="Bullet2"/>
      </w:pPr>
      <w:r>
        <w:t>2013-14 Taxation Statistics</w:t>
      </w:r>
    </w:p>
    <w:p w:rsidR="004F4AE1" w:rsidRDefault="004F4AE1" w:rsidP="004F4AE1">
      <w:pPr>
        <w:pStyle w:val="Bullet1"/>
      </w:pPr>
      <w:r>
        <w:t xml:space="preserve">Department of </w:t>
      </w:r>
      <w:r w:rsidRPr="004F4AE1">
        <w:t>Education</w:t>
      </w:r>
      <w:r>
        <w:t xml:space="preserve"> and Training</w:t>
      </w:r>
    </w:p>
    <w:p w:rsidR="004F4AE1" w:rsidRPr="007A7320" w:rsidRDefault="004F4AE1" w:rsidP="004F4AE1">
      <w:pPr>
        <w:pStyle w:val="Bullet2"/>
      </w:pPr>
      <w:r>
        <w:t xml:space="preserve">HELP </w:t>
      </w:r>
      <w:r w:rsidRPr="004F4AE1">
        <w:t>forward</w:t>
      </w:r>
      <w:r>
        <w:t xml:space="preserve"> estimates model</w:t>
      </w:r>
    </w:p>
    <w:p w:rsidR="00FB2F79" w:rsidRPr="00FB2F79" w:rsidRDefault="00FB2F79" w:rsidP="00FB2F79">
      <w:pPr>
        <w:pStyle w:val="Bullet1"/>
        <w:sectPr w:rsidR="00FB2F79" w:rsidRPr="00FB2F79" w:rsidSect="00002D5D">
          <w:headerReference w:type="first" r:id="rId13"/>
          <w:footerReference w:type="first" r:id="rId14"/>
          <w:pgSz w:w="11906" w:h="16838"/>
          <w:pgMar w:top="1361" w:right="1797" w:bottom="1474" w:left="1797" w:header="709" w:footer="709" w:gutter="0"/>
          <w:cols w:space="708"/>
          <w:titlePg/>
          <w:docGrid w:linePitch="360"/>
        </w:sectPr>
      </w:pPr>
    </w:p>
    <w:p w:rsidR="001A02D1" w:rsidRPr="00FC6579" w:rsidRDefault="001A02D1" w:rsidP="004F4AE1">
      <w:pPr>
        <w:pStyle w:val="Heading1"/>
      </w:pPr>
      <w:r w:rsidRPr="00FC6579">
        <w:lastRenderedPageBreak/>
        <w:t>Attachment A</w:t>
      </w:r>
      <w:r w:rsidR="009E54B2" w:rsidRPr="00FC6579">
        <w:t xml:space="preserve">: </w:t>
      </w:r>
      <w:r w:rsidR="004F4AE1" w:rsidRPr="004F4AE1">
        <w:t>Investing in Early Childhood Educat</w:t>
      </w:r>
      <w:r w:rsidR="00016266">
        <w:t>ors</w:t>
      </w:r>
      <w:r w:rsidR="004F4AE1" w:rsidRPr="004F4AE1">
        <w:t xml:space="preserve"> </w:t>
      </w:r>
      <w:r w:rsidR="00440E32">
        <w:t>—</w:t>
      </w:r>
      <w:r w:rsidR="00AD6AE7">
        <w:t xml:space="preserve"> </w:t>
      </w:r>
      <w:r w:rsidR="00440E32">
        <w:t>financial implications</w:t>
      </w:r>
    </w:p>
    <w:p w:rsidR="00485374" w:rsidRPr="00FC6579" w:rsidRDefault="00485374" w:rsidP="00485374">
      <w:pPr>
        <w:pStyle w:val="Captionheading"/>
      </w:pPr>
      <w:r w:rsidRPr="00FC6579">
        <w:t xml:space="preserve">Table </w:t>
      </w:r>
      <w:r w:rsidR="00B61A58">
        <w:t>A1</w:t>
      </w:r>
      <w:r w:rsidRPr="00FC6579">
        <w:t xml:space="preserve">: </w:t>
      </w:r>
      <w:r w:rsidR="00397E4D" w:rsidRPr="00397E4D">
        <w:t>Investing in Early Childhood Educat</w:t>
      </w:r>
      <w:r w:rsidR="00016266">
        <w:t>ors</w:t>
      </w:r>
      <w:r w:rsidR="001C709D">
        <w:t>—</w:t>
      </w:r>
      <w:r w:rsidR="00397E4D">
        <w:t xml:space="preserve">Fiscal </w:t>
      </w:r>
      <w:proofErr w:type="gramStart"/>
      <w:r w:rsidR="00397E4D">
        <w:t>balance</w:t>
      </w:r>
      <w:r w:rsidR="00076476" w:rsidRPr="00076476">
        <w:rPr>
          <w:vertAlign w:val="superscript"/>
        </w:rPr>
        <w:t>(</w:t>
      </w:r>
      <w:proofErr w:type="gramEnd"/>
      <w:r w:rsidR="00076476" w:rsidRPr="00076476">
        <w:rPr>
          <w:vertAlign w:val="superscript"/>
        </w:rPr>
        <w:t>a)</w:t>
      </w:r>
      <w:r w:rsidR="00FA1091">
        <w:rPr>
          <w:vertAlign w:val="superscript"/>
        </w:rPr>
        <w:t>(b)</w:t>
      </w:r>
    </w:p>
    <w:tbl>
      <w:tblPr>
        <w:tblStyle w:val="TableGrid"/>
        <w:tblW w:w="5059" w:type="pct"/>
        <w:tblLook w:val="0680" w:firstRow="0" w:lastRow="0" w:firstColumn="1" w:lastColumn="0" w:noHBand="1" w:noVBand="1"/>
      </w:tblPr>
      <w:tblGrid>
        <w:gridCol w:w="2553"/>
        <w:gridCol w:w="894"/>
        <w:gridCol w:w="894"/>
        <w:gridCol w:w="896"/>
        <w:gridCol w:w="893"/>
        <w:gridCol w:w="893"/>
        <w:gridCol w:w="896"/>
        <w:gridCol w:w="893"/>
        <w:gridCol w:w="896"/>
        <w:gridCol w:w="893"/>
        <w:gridCol w:w="893"/>
        <w:gridCol w:w="896"/>
        <w:gridCol w:w="893"/>
        <w:gridCol w:w="896"/>
      </w:tblGrid>
      <w:tr w:rsidR="00500C1C" w:rsidRPr="009834AA" w:rsidTr="00720C54">
        <w:trPr>
          <w:cantSplit/>
          <w:tblHeader/>
        </w:trPr>
        <w:tc>
          <w:tcPr>
            <w:cnfStyle w:val="001000000000" w:firstRow="0" w:lastRow="0" w:firstColumn="1" w:lastColumn="0" w:oddVBand="0" w:evenVBand="0" w:oddHBand="0" w:evenHBand="0" w:firstRowFirstColumn="0" w:firstRowLastColumn="0" w:lastRowFirstColumn="0" w:lastRowLastColumn="0"/>
            <w:tcW w:w="900" w:type="pct"/>
            <w:shd w:val="clear" w:color="auto" w:fill="D7DDE9"/>
            <w:vAlign w:val="center"/>
          </w:tcPr>
          <w:p w:rsidR="00F5529D" w:rsidRPr="009834AA" w:rsidRDefault="00F5529D" w:rsidP="00720C54">
            <w:pPr>
              <w:keepNext/>
              <w:keepLines/>
              <w:spacing w:before="70" w:after="70" w:line="240" w:lineRule="auto"/>
              <w:ind w:left="57" w:right="57"/>
              <w:rPr>
                <w:sz w:val="20"/>
                <w:szCs w:val="20"/>
              </w:rPr>
            </w:pPr>
            <w:r w:rsidRPr="009834AA">
              <w:rPr>
                <w:sz w:val="20"/>
                <w:szCs w:val="20"/>
              </w:rPr>
              <w:t>($m)</w:t>
            </w:r>
          </w:p>
        </w:tc>
        <w:tc>
          <w:tcPr>
            <w:tcW w:w="315"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2016</w:t>
            </w:r>
            <w:r w:rsidR="00500C1C">
              <w:rPr>
                <w:szCs w:val="20"/>
              </w:rPr>
              <w:t>–</w:t>
            </w:r>
            <w:r w:rsidRPr="009834AA">
              <w:rPr>
                <w:szCs w:val="20"/>
              </w:rPr>
              <w:t>17</w:t>
            </w:r>
          </w:p>
        </w:tc>
        <w:tc>
          <w:tcPr>
            <w:tcW w:w="315"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2017</w:t>
            </w:r>
            <w:r w:rsidR="00500C1C">
              <w:rPr>
                <w:szCs w:val="20"/>
              </w:rPr>
              <w:t>–</w:t>
            </w:r>
            <w:r w:rsidRPr="009834AA">
              <w:rPr>
                <w:szCs w:val="20"/>
              </w:rPr>
              <w:t>18</w:t>
            </w:r>
          </w:p>
        </w:tc>
        <w:tc>
          <w:tcPr>
            <w:tcW w:w="316"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2018</w:t>
            </w:r>
            <w:r w:rsidR="00500C1C">
              <w:rPr>
                <w:szCs w:val="20"/>
              </w:rPr>
              <w:t>–</w:t>
            </w:r>
            <w:r w:rsidRPr="009834AA">
              <w:rPr>
                <w:szCs w:val="20"/>
              </w:rPr>
              <w:t>19</w:t>
            </w:r>
          </w:p>
        </w:tc>
        <w:tc>
          <w:tcPr>
            <w:tcW w:w="315"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2019</w:t>
            </w:r>
            <w:r w:rsidR="00500C1C">
              <w:rPr>
                <w:szCs w:val="20"/>
              </w:rPr>
              <w:t>–</w:t>
            </w:r>
            <w:r w:rsidRPr="009834AA">
              <w:rPr>
                <w:szCs w:val="20"/>
              </w:rPr>
              <w:t>20</w:t>
            </w:r>
          </w:p>
        </w:tc>
        <w:tc>
          <w:tcPr>
            <w:tcW w:w="315" w:type="pct"/>
            <w:shd w:val="clear" w:color="auto" w:fill="D7DDE9"/>
            <w:vAlign w:val="center"/>
          </w:tcPr>
          <w:p w:rsidR="00F5529D" w:rsidRPr="00770A3C"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770A3C">
              <w:rPr>
                <w:b/>
                <w:szCs w:val="20"/>
              </w:rPr>
              <w:t>Total to 2019</w:t>
            </w:r>
            <w:r w:rsidR="00500C1C">
              <w:rPr>
                <w:b/>
                <w:szCs w:val="20"/>
              </w:rPr>
              <w:t>–</w:t>
            </w:r>
            <w:r w:rsidRPr="00770A3C">
              <w:rPr>
                <w:b/>
                <w:szCs w:val="20"/>
              </w:rPr>
              <w:t>20</w:t>
            </w:r>
          </w:p>
        </w:tc>
        <w:tc>
          <w:tcPr>
            <w:tcW w:w="316"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2020</w:t>
            </w:r>
            <w:r w:rsidR="00500C1C">
              <w:rPr>
                <w:szCs w:val="20"/>
              </w:rPr>
              <w:t>–</w:t>
            </w:r>
            <w:r w:rsidRPr="009834AA">
              <w:rPr>
                <w:szCs w:val="20"/>
              </w:rPr>
              <w:t>21</w:t>
            </w:r>
          </w:p>
        </w:tc>
        <w:tc>
          <w:tcPr>
            <w:tcW w:w="315"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2021</w:t>
            </w:r>
            <w:r w:rsidR="00500C1C">
              <w:rPr>
                <w:szCs w:val="20"/>
              </w:rPr>
              <w:t>–</w:t>
            </w:r>
            <w:r w:rsidRPr="009834AA">
              <w:rPr>
                <w:szCs w:val="20"/>
              </w:rPr>
              <w:t>22</w:t>
            </w:r>
          </w:p>
        </w:tc>
        <w:tc>
          <w:tcPr>
            <w:tcW w:w="316"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2022</w:t>
            </w:r>
            <w:r w:rsidR="00500C1C">
              <w:rPr>
                <w:szCs w:val="20"/>
              </w:rPr>
              <w:t>–</w:t>
            </w:r>
            <w:r w:rsidRPr="009834AA">
              <w:rPr>
                <w:szCs w:val="20"/>
              </w:rPr>
              <w:t>23</w:t>
            </w:r>
          </w:p>
        </w:tc>
        <w:tc>
          <w:tcPr>
            <w:tcW w:w="315"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2023</w:t>
            </w:r>
            <w:r w:rsidR="00500C1C">
              <w:rPr>
                <w:szCs w:val="20"/>
              </w:rPr>
              <w:t>–</w:t>
            </w:r>
            <w:r w:rsidRPr="009834AA">
              <w:rPr>
                <w:szCs w:val="20"/>
              </w:rPr>
              <w:t>24</w:t>
            </w:r>
          </w:p>
        </w:tc>
        <w:tc>
          <w:tcPr>
            <w:tcW w:w="315"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2024</w:t>
            </w:r>
            <w:r w:rsidR="00500C1C">
              <w:rPr>
                <w:szCs w:val="20"/>
              </w:rPr>
              <w:t>–</w:t>
            </w:r>
            <w:r w:rsidRPr="009834AA">
              <w:rPr>
                <w:szCs w:val="20"/>
              </w:rPr>
              <w:t>25</w:t>
            </w:r>
          </w:p>
        </w:tc>
        <w:tc>
          <w:tcPr>
            <w:tcW w:w="316"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2025</w:t>
            </w:r>
            <w:r w:rsidR="00500C1C">
              <w:rPr>
                <w:szCs w:val="20"/>
              </w:rPr>
              <w:t>–</w:t>
            </w:r>
            <w:r w:rsidRPr="009834AA">
              <w:rPr>
                <w:szCs w:val="20"/>
              </w:rPr>
              <w:t>26</w:t>
            </w:r>
          </w:p>
        </w:tc>
        <w:tc>
          <w:tcPr>
            <w:tcW w:w="315" w:type="pct"/>
            <w:shd w:val="clear" w:color="auto" w:fill="D7DDE9"/>
            <w:vAlign w:val="center"/>
          </w:tcPr>
          <w:p w:rsidR="00F5529D" w:rsidRPr="009834AA"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2026</w:t>
            </w:r>
            <w:r w:rsidR="00500C1C">
              <w:rPr>
                <w:szCs w:val="20"/>
              </w:rPr>
              <w:t>–</w:t>
            </w:r>
            <w:r w:rsidRPr="009834AA">
              <w:rPr>
                <w:szCs w:val="20"/>
              </w:rPr>
              <w:t>27</w:t>
            </w:r>
          </w:p>
        </w:tc>
        <w:tc>
          <w:tcPr>
            <w:tcW w:w="316" w:type="pct"/>
            <w:shd w:val="clear" w:color="auto" w:fill="D7DDE9"/>
            <w:vAlign w:val="center"/>
          </w:tcPr>
          <w:p w:rsidR="00F5529D" w:rsidRPr="00770A3C" w:rsidRDefault="00F5529D" w:rsidP="00720C54">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770A3C">
              <w:rPr>
                <w:b/>
                <w:szCs w:val="20"/>
              </w:rPr>
              <w:t>Total to 2026</w:t>
            </w:r>
            <w:r w:rsidR="00500C1C">
              <w:rPr>
                <w:b/>
                <w:szCs w:val="20"/>
              </w:rPr>
              <w:t>–</w:t>
            </w:r>
            <w:r w:rsidRPr="00770A3C">
              <w:rPr>
                <w:b/>
                <w:szCs w:val="20"/>
              </w:rPr>
              <w:t>27</w:t>
            </w:r>
          </w:p>
        </w:tc>
      </w:tr>
      <w:tr w:rsidR="00EE6600" w:rsidRPr="009834AA" w:rsidTr="00720C54">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EF1F6"/>
            <w:vAlign w:val="center"/>
          </w:tcPr>
          <w:p w:rsidR="00EE6600" w:rsidRPr="009834AA" w:rsidRDefault="00396B5A" w:rsidP="00720C54">
            <w:pPr>
              <w:pStyle w:val="TableTextRight"/>
              <w:keepNext/>
              <w:spacing w:line="240" w:lineRule="auto"/>
              <w:ind w:left="57" w:right="57"/>
              <w:jc w:val="left"/>
              <w:rPr>
                <w:b/>
                <w:i w:val="0"/>
                <w:szCs w:val="20"/>
              </w:rPr>
            </w:pPr>
            <w:r>
              <w:rPr>
                <w:b/>
                <w:i w:val="0"/>
                <w:szCs w:val="20"/>
              </w:rPr>
              <w:t>Impact on f</w:t>
            </w:r>
            <w:r w:rsidR="00076476" w:rsidRPr="009834AA">
              <w:rPr>
                <w:b/>
                <w:i w:val="0"/>
                <w:szCs w:val="20"/>
              </w:rPr>
              <w:t xml:space="preserve">iscal </w:t>
            </w:r>
            <w:r>
              <w:rPr>
                <w:b/>
                <w:i w:val="0"/>
                <w:szCs w:val="20"/>
              </w:rPr>
              <w:t>balance</w:t>
            </w:r>
          </w:p>
        </w:tc>
      </w:tr>
      <w:tr w:rsidR="00500C1C" w:rsidRPr="009834AA" w:rsidTr="00720C54">
        <w:trPr>
          <w:cantSplit/>
        </w:trPr>
        <w:tc>
          <w:tcPr>
            <w:cnfStyle w:val="001000000000" w:firstRow="0" w:lastRow="0" w:firstColumn="1" w:lastColumn="0" w:oddVBand="0" w:evenVBand="0" w:oddHBand="0" w:evenHBand="0" w:firstRowFirstColumn="0" w:firstRowLastColumn="0" w:lastRowFirstColumn="0" w:lastRowLastColumn="0"/>
            <w:tcW w:w="900" w:type="pct"/>
            <w:vAlign w:val="center"/>
          </w:tcPr>
          <w:p w:rsidR="00397E4D" w:rsidRPr="009834AA" w:rsidRDefault="00397E4D" w:rsidP="00720C54">
            <w:pPr>
              <w:keepNext/>
              <w:spacing w:before="70" w:after="70" w:line="240" w:lineRule="auto"/>
              <w:ind w:left="57" w:right="57" w:firstLineChars="15" w:firstLine="30"/>
              <w:rPr>
                <w:color w:val="000000"/>
                <w:sz w:val="20"/>
                <w:szCs w:val="20"/>
              </w:rPr>
            </w:pPr>
            <w:r w:rsidRPr="009834AA">
              <w:rPr>
                <w:color w:val="000000"/>
                <w:sz w:val="20"/>
                <w:szCs w:val="20"/>
              </w:rPr>
              <w:t>Loan writedowns</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-8.0</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-9.0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-10.0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4E469F">
              <w:rPr>
                <w:b/>
                <w:bCs/>
                <w:i/>
                <w:color w:val="000000"/>
                <w:sz w:val="20"/>
              </w:rPr>
              <w:t>-28.0</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-11.0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-12.0</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-13.0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-14.0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-14.0</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-15.0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-16.0</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4E469F">
              <w:rPr>
                <w:b/>
                <w:bCs/>
                <w:i/>
                <w:color w:val="000000"/>
                <w:sz w:val="20"/>
              </w:rPr>
              <w:t>-124.0</w:t>
            </w:r>
          </w:p>
        </w:tc>
      </w:tr>
      <w:tr w:rsidR="00500C1C" w:rsidRPr="009834AA" w:rsidTr="00720C54">
        <w:trPr>
          <w:cantSplit/>
        </w:trPr>
        <w:tc>
          <w:tcPr>
            <w:cnfStyle w:val="001000000000" w:firstRow="0" w:lastRow="0" w:firstColumn="1" w:lastColumn="0" w:oddVBand="0" w:evenVBand="0" w:oddHBand="0" w:evenHBand="0" w:firstRowFirstColumn="0" w:firstRowLastColumn="0" w:lastRowFirstColumn="0" w:lastRowLastColumn="0"/>
            <w:tcW w:w="900" w:type="pct"/>
            <w:vAlign w:val="center"/>
          </w:tcPr>
          <w:p w:rsidR="00397E4D" w:rsidRPr="009834AA" w:rsidRDefault="00397E4D" w:rsidP="00720C54">
            <w:pPr>
              <w:keepNext/>
              <w:spacing w:before="70" w:after="70" w:line="240" w:lineRule="auto"/>
              <w:ind w:left="57" w:right="57" w:firstLineChars="15" w:firstLine="30"/>
              <w:rPr>
                <w:color w:val="000000"/>
                <w:sz w:val="20"/>
                <w:szCs w:val="20"/>
              </w:rPr>
            </w:pPr>
            <w:r w:rsidRPr="009834AA">
              <w:rPr>
                <w:color w:val="000000"/>
                <w:sz w:val="20"/>
                <w:szCs w:val="20"/>
              </w:rPr>
              <w:t>PDI</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4E469F">
              <w:rPr>
                <w:b/>
                <w:bCs/>
                <w:i/>
                <w:color w:val="000000"/>
                <w:sz w:val="20"/>
              </w:rPr>
              <w:t>-1.0</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-1.0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-2.0</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-3.0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-4.0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-5.0</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-6.0</w:t>
            </w:r>
          </w:p>
        </w:tc>
        <w:tc>
          <w:tcPr>
            <w:tcW w:w="315"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4E469F">
              <w:rPr>
                <w:i/>
                <w:color w:val="000000"/>
                <w:sz w:val="20"/>
              </w:rPr>
              <w:t>-8.0</w:t>
            </w:r>
          </w:p>
        </w:tc>
        <w:tc>
          <w:tcPr>
            <w:tcW w:w="316" w:type="pct"/>
            <w:vAlign w:val="center"/>
          </w:tcPr>
          <w:p w:rsidR="00397E4D" w:rsidRPr="004E469F"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4E469F">
              <w:rPr>
                <w:b/>
                <w:bCs/>
                <w:i/>
                <w:color w:val="000000"/>
                <w:sz w:val="20"/>
              </w:rPr>
              <w:t>-29.0</w:t>
            </w:r>
          </w:p>
        </w:tc>
      </w:tr>
      <w:tr w:rsidR="00500C1C" w:rsidRPr="009834AA" w:rsidTr="00720C54">
        <w:trPr>
          <w:cantSplit/>
        </w:trPr>
        <w:tc>
          <w:tcPr>
            <w:cnfStyle w:val="001000000000" w:firstRow="0" w:lastRow="0" w:firstColumn="1" w:lastColumn="0" w:oddVBand="0" w:evenVBand="0" w:oddHBand="0" w:evenHBand="0" w:firstRowFirstColumn="0" w:firstRowLastColumn="0" w:lastRowFirstColumn="0" w:lastRowLastColumn="0"/>
            <w:tcW w:w="900" w:type="pct"/>
            <w:shd w:val="clear" w:color="auto" w:fill="D7DDE9"/>
            <w:vAlign w:val="center"/>
          </w:tcPr>
          <w:p w:rsidR="00397E4D" w:rsidRPr="009834AA" w:rsidRDefault="00397E4D" w:rsidP="00720C54">
            <w:pPr>
              <w:keepNext/>
              <w:keepLines/>
              <w:spacing w:before="70" w:after="70" w:line="240" w:lineRule="auto"/>
              <w:ind w:left="57" w:right="57"/>
              <w:rPr>
                <w:b/>
                <w:sz w:val="20"/>
                <w:szCs w:val="20"/>
              </w:rPr>
            </w:pPr>
            <w:r w:rsidRPr="009834AA">
              <w:rPr>
                <w:b/>
                <w:sz w:val="20"/>
                <w:szCs w:val="20"/>
              </w:rPr>
              <w:t>Total fiscal balance impact</w:t>
            </w:r>
          </w:p>
        </w:tc>
        <w:tc>
          <w:tcPr>
            <w:tcW w:w="315"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w:t>
            </w:r>
          </w:p>
        </w:tc>
        <w:tc>
          <w:tcPr>
            <w:tcW w:w="315"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-9</w:t>
            </w:r>
            <w:r>
              <w:rPr>
                <w:b/>
                <w:bCs/>
                <w:color w:val="000000"/>
                <w:sz w:val="20"/>
              </w:rPr>
              <w:t>.0</w:t>
            </w:r>
          </w:p>
        </w:tc>
        <w:tc>
          <w:tcPr>
            <w:tcW w:w="316"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-10</w:t>
            </w:r>
            <w:r>
              <w:rPr>
                <w:b/>
                <w:bCs/>
                <w:color w:val="000000"/>
                <w:sz w:val="20"/>
              </w:rPr>
              <w:t>.0</w:t>
            </w:r>
          </w:p>
        </w:tc>
        <w:tc>
          <w:tcPr>
            <w:tcW w:w="315"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-11</w:t>
            </w:r>
            <w:r>
              <w:rPr>
                <w:b/>
                <w:bCs/>
                <w:color w:val="000000"/>
                <w:sz w:val="20"/>
              </w:rPr>
              <w:t>.0</w:t>
            </w:r>
          </w:p>
        </w:tc>
        <w:tc>
          <w:tcPr>
            <w:tcW w:w="315"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-29</w:t>
            </w:r>
            <w:r>
              <w:rPr>
                <w:b/>
                <w:bCs/>
                <w:color w:val="000000"/>
                <w:sz w:val="20"/>
              </w:rPr>
              <w:t>.0</w:t>
            </w:r>
          </w:p>
        </w:tc>
        <w:tc>
          <w:tcPr>
            <w:tcW w:w="316"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-12</w:t>
            </w:r>
            <w:r>
              <w:rPr>
                <w:b/>
                <w:bCs/>
                <w:color w:val="000000"/>
                <w:sz w:val="20"/>
              </w:rPr>
              <w:t>.0</w:t>
            </w:r>
          </w:p>
        </w:tc>
        <w:tc>
          <w:tcPr>
            <w:tcW w:w="315"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-14</w:t>
            </w:r>
            <w:r>
              <w:rPr>
                <w:b/>
                <w:bCs/>
                <w:color w:val="000000"/>
                <w:sz w:val="20"/>
              </w:rPr>
              <w:t>.0</w:t>
            </w:r>
          </w:p>
        </w:tc>
        <w:tc>
          <w:tcPr>
            <w:tcW w:w="316"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-16</w:t>
            </w:r>
            <w:r>
              <w:rPr>
                <w:b/>
                <w:bCs/>
                <w:color w:val="000000"/>
                <w:sz w:val="20"/>
              </w:rPr>
              <w:t>.0</w:t>
            </w:r>
          </w:p>
        </w:tc>
        <w:tc>
          <w:tcPr>
            <w:tcW w:w="315"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-17</w:t>
            </w:r>
            <w:r>
              <w:rPr>
                <w:b/>
                <w:bCs/>
                <w:color w:val="000000"/>
                <w:sz w:val="20"/>
              </w:rPr>
              <w:t>.0</w:t>
            </w:r>
          </w:p>
        </w:tc>
        <w:tc>
          <w:tcPr>
            <w:tcW w:w="315"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-19</w:t>
            </w:r>
            <w:r>
              <w:rPr>
                <w:b/>
                <w:bCs/>
                <w:color w:val="000000"/>
                <w:sz w:val="20"/>
              </w:rPr>
              <w:t>.0</w:t>
            </w:r>
          </w:p>
        </w:tc>
        <w:tc>
          <w:tcPr>
            <w:tcW w:w="316"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-22</w:t>
            </w:r>
            <w:r>
              <w:rPr>
                <w:b/>
                <w:bCs/>
                <w:color w:val="000000"/>
                <w:sz w:val="20"/>
              </w:rPr>
              <w:t>.0</w:t>
            </w:r>
          </w:p>
        </w:tc>
        <w:tc>
          <w:tcPr>
            <w:tcW w:w="315"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-24</w:t>
            </w:r>
            <w:r>
              <w:rPr>
                <w:b/>
                <w:bCs/>
                <w:color w:val="000000"/>
                <w:sz w:val="20"/>
              </w:rPr>
              <w:t>.0</w:t>
            </w:r>
          </w:p>
        </w:tc>
        <w:tc>
          <w:tcPr>
            <w:tcW w:w="316" w:type="pct"/>
            <w:shd w:val="clear" w:color="auto" w:fill="D7DDE9"/>
            <w:vAlign w:val="center"/>
          </w:tcPr>
          <w:p w:rsidR="00397E4D" w:rsidRPr="00397E4D" w:rsidRDefault="00397E4D" w:rsidP="00720C54">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-153</w:t>
            </w:r>
            <w:r>
              <w:rPr>
                <w:b/>
                <w:bCs/>
                <w:color w:val="000000"/>
                <w:sz w:val="20"/>
              </w:rPr>
              <w:t>.0</w:t>
            </w:r>
          </w:p>
        </w:tc>
      </w:tr>
    </w:tbl>
    <w:p w:rsidR="00FA1091" w:rsidRDefault="00016266" w:rsidP="00016266">
      <w:pPr>
        <w:pStyle w:val="Footnotes"/>
        <w:numPr>
          <w:ilvl w:val="0"/>
          <w:numId w:val="14"/>
        </w:numPr>
        <w:ind w:left="284" w:hanging="284"/>
      </w:pPr>
      <w:r w:rsidRPr="00016266">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r w:rsidR="00397E4D" w:rsidRPr="00D51DF9">
        <w:t xml:space="preserve">  </w:t>
      </w:r>
    </w:p>
    <w:p w:rsidR="00397E4D" w:rsidRDefault="00397E4D" w:rsidP="00397E4D">
      <w:pPr>
        <w:pStyle w:val="Footnotes"/>
        <w:numPr>
          <w:ilvl w:val="0"/>
          <w:numId w:val="14"/>
        </w:numPr>
        <w:ind w:left="284" w:hanging="284"/>
      </w:pPr>
      <w:r w:rsidRPr="00D51DF9">
        <w:t>Figures may not sum to total</w:t>
      </w:r>
      <w:r>
        <w:t>s</w:t>
      </w:r>
      <w:r w:rsidRPr="00D51DF9">
        <w:t xml:space="preserve"> due to rounding.</w:t>
      </w:r>
    </w:p>
    <w:p w:rsidR="00397E4D" w:rsidRDefault="00397E4D" w:rsidP="004E469F">
      <w:pPr>
        <w:pStyle w:val="Footnotes"/>
        <w:numPr>
          <w:ilvl w:val="0"/>
          <w:numId w:val="0"/>
        </w:numPr>
        <w:ind w:left="284" w:hanging="284"/>
      </w:pPr>
      <w:r>
        <w:t>..</w:t>
      </w:r>
      <w:r>
        <w:tab/>
        <w:t>Not zero but rounded to zero.</w:t>
      </w:r>
    </w:p>
    <w:p w:rsidR="00FA1091" w:rsidRPr="00FC6579" w:rsidRDefault="00FA1091" w:rsidP="004E469F">
      <w:pPr>
        <w:pStyle w:val="Footnotes"/>
        <w:numPr>
          <w:ilvl w:val="0"/>
          <w:numId w:val="22"/>
        </w:numPr>
        <w:ind w:left="284" w:hanging="284"/>
      </w:pPr>
      <w:r w:rsidRPr="00FA1091">
        <w:t>Indicates nil.</w:t>
      </w:r>
    </w:p>
    <w:p w:rsidR="00397E4D" w:rsidRDefault="00397E4D" w:rsidP="004F6803">
      <w:pPr>
        <w:pStyle w:val="Captionheading"/>
        <w:spacing w:before="240"/>
      </w:pPr>
      <w:r w:rsidRPr="00FC6579">
        <w:lastRenderedPageBreak/>
        <w:t xml:space="preserve">Table </w:t>
      </w:r>
      <w:r>
        <w:t>A2</w:t>
      </w:r>
      <w:r w:rsidRPr="00FC6579">
        <w:t xml:space="preserve">: </w:t>
      </w:r>
      <w:r w:rsidRPr="00397E4D">
        <w:t>Investing in Early Childhood Educat</w:t>
      </w:r>
      <w:r w:rsidR="00016266">
        <w:t>ors</w:t>
      </w:r>
      <w:r w:rsidRPr="00397E4D">
        <w:t xml:space="preserve"> </w:t>
      </w:r>
      <w:r>
        <w:t xml:space="preserve">– Underlying cash </w:t>
      </w:r>
      <w:proofErr w:type="gramStart"/>
      <w:r>
        <w:t>balance</w:t>
      </w:r>
      <w:r w:rsidRPr="00076476">
        <w:rPr>
          <w:vertAlign w:val="superscript"/>
        </w:rPr>
        <w:t>(</w:t>
      </w:r>
      <w:proofErr w:type="gramEnd"/>
      <w:r w:rsidRPr="00076476">
        <w:rPr>
          <w:vertAlign w:val="superscript"/>
        </w:rPr>
        <w:t>a)</w:t>
      </w:r>
      <w:r w:rsidR="00FA1091">
        <w:rPr>
          <w:vertAlign w:val="superscript"/>
        </w:rPr>
        <w:t>(b)</w:t>
      </w:r>
    </w:p>
    <w:tbl>
      <w:tblPr>
        <w:tblStyle w:val="TableGrid"/>
        <w:tblW w:w="5120" w:type="pct"/>
        <w:tblLook w:val="0680" w:firstRow="0" w:lastRow="0" w:firstColumn="1" w:lastColumn="0" w:noHBand="1" w:noVBand="1"/>
      </w:tblPr>
      <w:tblGrid>
        <w:gridCol w:w="2556"/>
        <w:gridCol w:w="907"/>
        <w:gridCol w:w="907"/>
        <w:gridCol w:w="907"/>
        <w:gridCol w:w="907"/>
        <w:gridCol w:w="907"/>
        <w:gridCol w:w="907"/>
        <w:gridCol w:w="907"/>
        <w:gridCol w:w="907"/>
        <w:gridCol w:w="907"/>
        <w:gridCol w:w="907"/>
        <w:gridCol w:w="907"/>
        <w:gridCol w:w="907"/>
        <w:gridCol w:w="910"/>
      </w:tblGrid>
      <w:tr w:rsidR="00500C1C" w:rsidRPr="00770A3C" w:rsidTr="00AE5919">
        <w:trPr>
          <w:cantSplit/>
          <w:tblHeader/>
        </w:trPr>
        <w:tc>
          <w:tcPr>
            <w:cnfStyle w:val="001000000000" w:firstRow="0" w:lastRow="0" w:firstColumn="1" w:lastColumn="0" w:oddVBand="0" w:evenVBand="0" w:oddHBand="0" w:evenHBand="0" w:firstRowFirstColumn="0" w:firstRowLastColumn="0" w:lastRowFirstColumn="0" w:lastRowLastColumn="0"/>
            <w:tcW w:w="891" w:type="pct"/>
            <w:shd w:val="clear" w:color="auto" w:fill="D7DDE9"/>
            <w:vAlign w:val="center"/>
          </w:tcPr>
          <w:p w:rsidR="00397E4D" w:rsidRPr="009834AA" w:rsidRDefault="00397E4D" w:rsidP="00AE5919">
            <w:pPr>
              <w:keepNext/>
              <w:keepLines/>
              <w:spacing w:before="70" w:after="70" w:line="240" w:lineRule="auto"/>
              <w:ind w:left="57" w:right="57"/>
              <w:rPr>
                <w:sz w:val="20"/>
                <w:szCs w:val="20"/>
              </w:rPr>
            </w:pPr>
            <w:r w:rsidRPr="009834AA">
              <w:rPr>
                <w:sz w:val="20"/>
                <w:szCs w:val="20"/>
              </w:rPr>
              <w:t>($m)</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2016</w:t>
            </w:r>
            <w:r w:rsidR="00500C1C">
              <w:rPr>
                <w:szCs w:val="20"/>
              </w:rPr>
              <w:t>–</w:t>
            </w:r>
            <w:r w:rsidRPr="009834AA">
              <w:rPr>
                <w:szCs w:val="20"/>
              </w:rPr>
              <w:t>17</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2017</w:t>
            </w:r>
            <w:r w:rsidR="00500C1C">
              <w:rPr>
                <w:szCs w:val="20"/>
              </w:rPr>
              <w:t>–</w:t>
            </w:r>
            <w:r w:rsidRPr="009834AA">
              <w:rPr>
                <w:szCs w:val="20"/>
              </w:rPr>
              <w:t>18</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2018</w:t>
            </w:r>
            <w:r w:rsidR="00500C1C">
              <w:rPr>
                <w:szCs w:val="20"/>
              </w:rPr>
              <w:t>–</w:t>
            </w:r>
            <w:r w:rsidRPr="009834AA">
              <w:rPr>
                <w:szCs w:val="20"/>
              </w:rPr>
              <w:t>19</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2019</w:t>
            </w:r>
            <w:r w:rsidR="00500C1C">
              <w:rPr>
                <w:szCs w:val="20"/>
              </w:rPr>
              <w:t>–</w:t>
            </w:r>
            <w:r w:rsidRPr="009834AA">
              <w:rPr>
                <w:szCs w:val="20"/>
              </w:rPr>
              <w:t>20</w:t>
            </w:r>
          </w:p>
        </w:tc>
        <w:tc>
          <w:tcPr>
            <w:tcW w:w="316" w:type="pct"/>
            <w:shd w:val="clear" w:color="auto" w:fill="D7DDE9"/>
            <w:vAlign w:val="center"/>
          </w:tcPr>
          <w:p w:rsidR="00397E4D" w:rsidRPr="00770A3C"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770A3C">
              <w:rPr>
                <w:b/>
                <w:szCs w:val="20"/>
              </w:rPr>
              <w:t>Total to 2019</w:t>
            </w:r>
            <w:r w:rsidR="00500C1C">
              <w:rPr>
                <w:b/>
                <w:szCs w:val="20"/>
              </w:rPr>
              <w:t>–</w:t>
            </w:r>
            <w:r w:rsidRPr="00770A3C">
              <w:rPr>
                <w:b/>
                <w:szCs w:val="20"/>
              </w:rPr>
              <w:t>20</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2020</w:t>
            </w:r>
            <w:r w:rsidR="00500C1C">
              <w:rPr>
                <w:szCs w:val="20"/>
              </w:rPr>
              <w:t>–</w:t>
            </w:r>
            <w:r w:rsidRPr="009834AA">
              <w:rPr>
                <w:szCs w:val="20"/>
              </w:rPr>
              <w:t>21</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2021</w:t>
            </w:r>
            <w:r w:rsidR="00500C1C">
              <w:rPr>
                <w:szCs w:val="20"/>
              </w:rPr>
              <w:t>–</w:t>
            </w:r>
            <w:r w:rsidRPr="009834AA">
              <w:rPr>
                <w:szCs w:val="20"/>
              </w:rPr>
              <w:t>22</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2022</w:t>
            </w:r>
            <w:r w:rsidR="00500C1C">
              <w:rPr>
                <w:szCs w:val="20"/>
              </w:rPr>
              <w:t>–</w:t>
            </w:r>
            <w:r w:rsidRPr="009834AA">
              <w:rPr>
                <w:szCs w:val="20"/>
              </w:rPr>
              <w:t>23</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2023</w:t>
            </w:r>
            <w:r w:rsidR="00500C1C">
              <w:rPr>
                <w:szCs w:val="20"/>
              </w:rPr>
              <w:t>–</w:t>
            </w:r>
            <w:r w:rsidRPr="009834AA">
              <w:rPr>
                <w:szCs w:val="20"/>
              </w:rPr>
              <w:t>24</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2024</w:t>
            </w:r>
            <w:r w:rsidR="00500C1C">
              <w:rPr>
                <w:szCs w:val="20"/>
              </w:rPr>
              <w:t>–</w:t>
            </w:r>
            <w:r w:rsidRPr="009834AA">
              <w:rPr>
                <w:szCs w:val="20"/>
              </w:rPr>
              <w:t>25</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2025</w:t>
            </w:r>
            <w:r w:rsidR="00500C1C">
              <w:rPr>
                <w:szCs w:val="20"/>
              </w:rPr>
              <w:t>–</w:t>
            </w:r>
            <w:r w:rsidRPr="009834AA">
              <w:rPr>
                <w:szCs w:val="20"/>
              </w:rPr>
              <w:t>26</w:t>
            </w:r>
          </w:p>
        </w:tc>
        <w:tc>
          <w:tcPr>
            <w:tcW w:w="316" w:type="pct"/>
            <w:shd w:val="clear" w:color="auto" w:fill="D7DDE9"/>
            <w:vAlign w:val="center"/>
          </w:tcPr>
          <w:p w:rsidR="00397E4D" w:rsidRPr="009834AA"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2026</w:t>
            </w:r>
            <w:r w:rsidR="00500C1C">
              <w:rPr>
                <w:szCs w:val="20"/>
              </w:rPr>
              <w:t>–</w:t>
            </w:r>
            <w:r w:rsidRPr="009834AA">
              <w:rPr>
                <w:szCs w:val="20"/>
              </w:rPr>
              <w:t>27</w:t>
            </w:r>
          </w:p>
        </w:tc>
        <w:tc>
          <w:tcPr>
            <w:tcW w:w="316" w:type="pct"/>
            <w:shd w:val="clear" w:color="auto" w:fill="D7DDE9"/>
            <w:vAlign w:val="center"/>
          </w:tcPr>
          <w:p w:rsidR="00397E4D" w:rsidRPr="00770A3C" w:rsidRDefault="00397E4D" w:rsidP="00AE591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770A3C">
              <w:rPr>
                <w:b/>
                <w:szCs w:val="20"/>
              </w:rPr>
              <w:t>Total to 2026</w:t>
            </w:r>
            <w:r w:rsidR="00500C1C">
              <w:rPr>
                <w:b/>
                <w:szCs w:val="20"/>
              </w:rPr>
              <w:t>–</w:t>
            </w:r>
            <w:r w:rsidRPr="00770A3C">
              <w:rPr>
                <w:b/>
                <w:szCs w:val="20"/>
              </w:rPr>
              <w:t>27</w:t>
            </w:r>
          </w:p>
        </w:tc>
      </w:tr>
      <w:tr w:rsidR="00A65EA3" w:rsidRPr="009834AA" w:rsidTr="00AE5919">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EF1F6"/>
            <w:vAlign w:val="center"/>
          </w:tcPr>
          <w:p w:rsidR="00A65EA3" w:rsidRPr="009834AA" w:rsidRDefault="00396B5A" w:rsidP="00AE5919">
            <w:pPr>
              <w:pStyle w:val="TableTextRight"/>
              <w:keepNext/>
              <w:spacing w:line="240" w:lineRule="auto"/>
              <w:ind w:left="57" w:right="57"/>
              <w:jc w:val="left"/>
              <w:rPr>
                <w:b/>
                <w:i w:val="0"/>
                <w:szCs w:val="20"/>
              </w:rPr>
            </w:pPr>
            <w:r>
              <w:rPr>
                <w:b/>
                <w:i w:val="0"/>
                <w:szCs w:val="20"/>
              </w:rPr>
              <w:t>Impact on underlying cash balance</w:t>
            </w:r>
          </w:p>
        </w:tc>
      </w:tr>
      <w:tr w:rsidR="00500C1C" w:rsidRPr="009834AA" w:rsidTr="00AE5919">
        <w:trPr>
          <w:cantSplit/>
        </w:trPr>
        <w:tc>
          <w:tcPr>
            <w:cnfStyle w:val="001000000000" w:firstRow="0" w:lastRow="0" w:firstColumn="1" w:lastColumn="0" w:oddVBand="0" w:evenVBand="0" w:oddHBand="0" w:evenHBand="0" w:firstRowFirstColumn="0" w:firstRowLastColumn="0" w:lastRowFirstColumn="0" w:lastRowLastColumn="0"/>
            <w:tcW w:w="891" w:type="pct"/>
            <w:vAlign w:val="center"/>
          </w:tcPr>
          <w:p w:rsidR="00397E4D" w:rsidRPr="009834AA" w:rsidRDefault="00397E4D" w:rsidP="00AE5919">
            <w:pPr>
              <w:keepNext/>
              <w:spacing w:before="70" w:after="70" w:line="240" w:lineRule="auto"/>
              <w:ind w:left="57" w:right="57" w:firstLine="30"/>
              <w:rPr>
                <w:color w:val="000000"/>
                <w:sz w:val="20"/>
                <w:szCs w:val="20"/>
              </w:rPr>
            </w:pPr>
            <w:r w:rsidRPr="009834AA">
              <w:rPr>
                <w:color w:val="000000"/>
                <w:sz w:val="20"/>
                <w:szCs w:val="20"/>
              </w:rPr>
              <w:t>Interest received</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-2</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-2</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-2</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AE5919">
              <w:rPr>
                <w:b/>
                <w:bCs/>
                <w:i/>
                <w:color w:val="000000"/>
                <w:sz w:val="20"/>
              </w:rPr>
              <w:t>-6</w:t>
            </w:r>
            <w:r w:rsidR="0052459C" w:rsidRPr="00AE5919">
              <w:rPr>
                <w:b/>
                <w:bCs/>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-3</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-3</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-3</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-3</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-3</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-3</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-4</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AE5919">
              <w:rPr>
                <w:b/>
                <w:bCs/>
                <w:i/>
                <w:color w:val="000000"/>
                <w:sz w:val="20"/>
              </w:rPr>
              <w:t>-28</w:t>
            </w:r>
            <w:r w:rsidR="0052459C" w:rsidRPr="00AE5919">
              <w:rPr>
                <w:b/>
                <w:bCs/>
                <w:i/>
                <w:color w:val="000000"/>
                <w:sz w:val="20"/>
              </w:rPr>
              <w:t>.0</w:t>
            </w:r>
          </w:p>
        </w:tc>
      </w:tr>
      <w:tr w:rsidR="00500C1C" w:rsidRPr="009834AA" w:rsidTr="00AE5919">
        <w:trPr>
          <w:cantSplit/>
        </w:trPr>
        <w:tc>
          <w:tcPr>
            <w:cnfStyle w:val="001000000000" w:firstRow="0" w:lastRow="0" w:firstColumn="1" w:lastColumn="0" w:oddVBand="0" w:evenVBand="0" w:oddHBand="0" w:evenHBand="0" w:firstRowFirstColumn="0" w:firstRowLastColumn="0" w:lastRowFirstColumn="0" w:lastRowLastColumn="0"/>
            <w:tcW w:w="891" w:type="pct"/>
            <w:vAlign w:val="center"/>
          </w:tcPr>
          <w:p w:rsidR="00397E4D" w:rsidRPr="009834AA" w:rsidRDefault="00397E4D" w:rsidP="00AE5919">
            <w:pPr>
              <w:keepNext/>
              <w:spacing w:before="70" w:after="70" w:line="240" w:lineRule="auto"/>
              <w:ind w:left="57" w:right="57" w:firstLine="30"/>
              <w:rPr>
                <w:color w:val="000000"/>
                <w:sz w:val="20"/>
                <w:szCs w:val="20"/>
              </w:rPr>
            </w:pPr>
            <w:r w:rsidRPr="009834AA">
              <w:rPr>
                <w:color w:val="000000"/>
                <w:sz w:val="20"/>
                <w:szCs w:val="20"/>
              </w:rPr>
              <w:t>PDI</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-1</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AE5919">
              <w:rPr>
                <w:b/>
                <w:bCs/>
                <w:i/>
                <w:color w:val="000000"/>
                <w:sz w:val="20"/>
              </w:rPr>
              <w:t>-1</w:t>
            </w:r>
            <w:r w:rsidR="0052459C" w:rsidRPr="00AE5919">
              <w:rPr>
                <w:b/>
                <w:bCs/>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-1</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-2</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-3</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-4</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-5</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-6</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AE5919">
              <w:rPr>
                <w:i/>
                <w:color w:val="000000"/>
                <w:sz w:val="20"/>
              </w:rPr>
              <w:t>-8</w:t>
            </w:r>
            <w:r w:rsidR="0052459C" w:rsidRPr="00AE5919">
              <w:rPr>
                <w:i/>
                <w:color w:val="000000"/>
                <w:sz w:val="20"/>
              </w:rPr>
              <w:t>.0</w:t>
            </w:r>
          </w:p>
        </w:tc>
        <w:tc>
          <w:tcPr>
            <w:tcW w:w="316" w:type="pct"/>
            <w:vAlign w:val="center"/>
          </w:tcPr>
          <w:p w:rsidR="00397E4D" w:rsidRPr="00AE5919"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AE5919">
              <w:rPr>
                <w:b/>
                <w:bCs/>
                <w:i/>
                <w:color w:val="000000"/>
                <w:sz w:val="20"/>
              </w:rPr>
              <w:t>-29</w:t>
            </w:r>
            <w:r w:rsidR="0052459C" w:rsidRPr="00AE5919">
              <w:rPr>
                <w:b/>
                <w:bCs/>
                <w:i/>
                <w:color w:val="000000"/>
                <w:sz w:val="20"/>
              </w:rPr>
              <w:t>.0</w:t>
            </w:r>
          </w:p>
        </w:tc>
      </w:tr>
      <w:tr w:rsidR="00500C1C" w:rsidRPr="009834AA" w:rsidTr="00AE5919">
        <w:trPr>
          <w:cantSplit/>
        </w:trPr>
        <w:tc>
          <w:tcPr>
            <w:cnfStyle w:val="001000000000" w:firstRow="0" w:lastRow="0" w:firstColumn="1" w:lastColumn="0" w:oddVBand="0" w:evenVBand="0" w:oddHBand="0" w:evenHBand="0" w:firstRowFirstColumn="0" w:firstRowLastColumn="0" w:lastRowFirstColumn="0" w:lastRowLastColumn="0"/>
            <w:tcW w:w="891" w:type="pct"/>
            <w:shd w:val="clear" w:color="auto" w:fill="D7DDE9"/>
            <w:vAlign w:val="center"/>
          </w:tcPr>
          <w:p w:rsidR="00397E4D" w:rsidRPr="009834AA" w:rsidRDefault="00397E4D" w:rsidP="00AE5919">
            <w:pPr>
              <w:keepNext/>
              <w:keepLines/>
              <w:spacing w:before="70" w:after="70" w:line="240" w:lineRule="auto"/>
              <w:ind w:left="57" w:right="57"/>
              <w:rPr>
                <w:b/>
                <w:sz w:val="20"/>
                <w:szCs w:val="20"/>
              </w:rPr>
            </w:pPr>
            <w:r w:rsidRPr="009834AA">
              <w:rPr>
                <w:b/>
                <w:sz w:val="20"/>
                <w:szCs w:val="20"/>
              </w:rPr>
              <w:t xml:space="preserve">Total </w:t>
            </w:r>
            <w:r>
              <w:rPr>
                <w:b/>
                <w:sz w:val="20"/>
                <w:szCs w:val="20"/>
              </w:rPr>
              <w:t>underlying cash</w:t>
            </w:r>
            <w:r w:rsidRPr="009834AA">
              <w:rPr>
                <w:b/>
                <w:sz w:val="20"/>
                <w:szCs w:val="20"/>
              </w:rPr>
              <w:t xml:space="preserve"> balance impact</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-2</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-2</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-3</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-7</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-4</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-5</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-6</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-7</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-8</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-10</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-11</w:t>
            </w:r>
            <w:r w:rsidR="0052459C">
              <w:rPr>
                <w:b/>
                <w:bCs/>
                <w:color w:val="000000"/>
                <w:sz w:val="20"/>
              </w:rPr>
              <w:t>.0</w:t>
            </w:r>
          </w:p>
        </w:tc>
        <w:tc>
          <w:tcPr>
            <w:tcW w:w="316" w:type="pct"/>
            <w:shd w:val="clear" w:color="auto" w:fill="D7DDE9"/>
            <w:vAlign w:val="center"/>
          </w:tcPr>
          <w:p w:rsidR="00397E4D" w:rsidRPr="00397E4D" w:rsidRDefault="00397E4D" w:rsidP="00AE591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397E4D">
              <w:rPr>
                <w:b/>
                <w:bCs/>
                <w:color w:val="000000"/>
                <w:sz w:val="20"/>
              </w:rPr>
              <w:t>-57</w:t>
            </w:r>
            <w:r w:rsidR="0052459C">
              <w:rPr>
                <w:b/>
                <w:bCs/>
                <w:color w:val="000000"/>
                <w:sz w:val="20"/>
              </w:rPr>
              <w:t>.0</w:t>
            </w:r>
          </w:p>
        </w:tc>
      </w:tr>
    </w:tbl>
    <w:p w:rsidR="00FA1091" w:rsidRDefault="00016266" w:rsidP="00016266">
      <w:pPr>
        <w:pStyle w:val="Footnotes"/>
        <w:numPr>
          <w:ilvl w:val="0"/>
          <w:numId w:val="20"/>
        </w:numPr>
        <w:ind w:left="284" w:hanging="284"/>
      </w:pPr>
      <w:r w:rsidRPr="00016266">
        <w:t>A positive number for the underlying cash balance indicates an increase in receipts or a decrease in outlays or net capital investment in cash terms. A negative number for the fiscal balance indicates a decrease in receipts or an increase in outlays or net capital investment in cash terms</w:t>
      </w:r>
      <w:r w:rsidR="00397E4D" w:rsidRPr="00D51DF9">
        <w:t xml:space="preserve">.  </w:t>
      </w:r>
    </w:p>
    <w:p w:rsidR="00397E4D" w:rsidRDefault="00397E4D" w:rsidP="00397E4D">
      <w:pPr>
        <w:pStyle w:val="Footnotes"/>
        <w:numPr>
          <w:ilvl w:val="0"/>
          <w:numId w:val="20"/>
        </w:numPr>
        <w:ind w:left="284" w:hanging="284"/>
      </w:pPr>
      <w:r w:rsidRPr="00D51DF9">
        <w:t>Figures may not sum to total</w:t>
      </w:r>
      <w:r>
        <w:t>s</w:t>
      </w:r>
      <w:r w:rsidRPr="00D51DF9">
        <w:t xml:space="preserve"> due to rounding.</w:t>
      </w:r>
    </w:p>
    <w:p w:rsidR="0052459C" w:rsidRDefault="0052459C" w:rsidP="00AE5919">
      <w:pPr>
        <w:pStyle w:val="Footnotes"/>
        <w:numPr>
          <w:ilvl w:val="0"/>
          <w:numId w:val="0"/>
        </w:numPr>
        <w:ind w:left="284" w:hanging="284"/>
      </w:pPr>
      <w:r>
        <w:t>..</w:t>
      </w:r>
      <w:r>
        <w:tab/>
        <w:t>Not zero but rounded to zero.</w:t>
      </w:r>
    </w:p>
    <w:p w:rsidR="00FA1091" w:rsidRPr="00FC6579" w:rsidRDefault="00FA1091" w:rsidP="00AE5919">
      <w:pPr>
        <w:pStyle w:val="Footnotes"/>
        <w:numPr>
          <w:ilvl w:val="0"/>
          <w:numId w:val="22"/>
        </w:numPr>
        <w:ind w:left="284" w:hanging="284"/>
      </w:pPr>
      <w:r w:rsidRPr="00FA1091">
        <w:t>Indicates nil.</w:t>
      </w:r>
    </w:p>
    <w:p w:rsidR="00397E4D" w:rsidRDefault="00397E4D" w:rsidP="004F6803">
      <w:pPr>
        <w:pStyle w:val="Captionheading"/>
        <w:spacing w:before="240"/>
      </w:pPr>
      <w:r w:rsidRPr="00FC6579">
        <w:lastRenderedPageBreak/>
        <w:t xml:space="preserve">Table </w:t>
      </w:r>
      <w:r>
        <w:t>A3</w:t>
      </w:r>
      <w:r w:rsidRPr="00FC6579">
        <w:t xml:space="preserve">: </w:t>
      </w:r>
      <w:r w:rsidRPr="00397E4D">
        <w:t>Investing in Early Childhood Educat</w:t>
      </w:r>
      <w:r w:rsidR="00016266">
        <w:t>ors</w:t>
      </w:r>
      <w:r w:rsidRPr="00397E4D">
        <w:t xml:space="preserve"> </w:t>
      </w:r>
      <w:r>
        <w:t xml:space="preserve">– Headline cash </w:t>
      </w:r>
      <w:proofErr w:type="gramStart"/>
      <w:r>
        <w:t>balance</w:t>
      </w:r>
      <w:r w:rsidRPr="00076476">
        <w:rPr>
          <w:vertAlign w:val="superscript"/>
        </w:rPr>
        <w:t>(</w:t>
      </w:r>
      <w:proofErr w:type="gramEnd"/>
      <w:r w:rsidRPr="00076476">
        <w:rPr>
          <w:vertAlign w:val="superscript"/>
        </w:rPr>
        <w:t>a)</w:t>
      </w:r>
      <w:r w:rsidR="00FA1091">
        <w:rPr>
          <w:vertAlign w:val="superscript"/>
        </w:rPr>
        <w:t>(b)</w:t>
      </w:r>
    </w:p>
    <w:tbl>
      <w:tblPr>
        <w:tblStyle w:val="TableGrid"/>
        <w:tblW w:w="5110" w:type="pct"/>
        <w:tblLook w:val="0680" w:firstRow="0" w:lastRow="0" w:firstColumn="1" w:lastColumn="0" w:noHBand="1" w:noVBand="1"/>
      </w:tblPr>
      <w:tblGrid>
        <w:gridCol w:w="2501"/>
        <w:gridCol w:w="908"/>
        <w:gridCol w:w="908"/>
        <w:gridCol w:w="908"/>
        <w:gridCol w:w="908"/>
        <w:gridCol w:w="911"/>
        <w:gridCol w:w="908"/>
        <w:gridCol w:w="908"/>
        <w:gridCol w:w="908"/>
        <w:gridCol w:w="911"/>
        <w:gridCol w:w="908"/>
        <w:gridCol w:w="908"/>
        <w:gridCol w:w="908"/>
        <w:gridCol w:w="919"/>
      </w:tblGrid>
      <w:tr w:rsidR="00500C1C" w:rsidRPr="00770A3C" w:rsidTr="00FC7187">
        <w:trPr>
          <w:cantSplit/>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D7DDE9"/>
            <w:vAlign w:val="center"/>
          </w:tcPr>
          <w:p w:rsidR="00397E4D" w:rsidRPr="009834AA" w:rsidRDefault="00397E4D" w:rsidP="00642EEA">
            <w:pPr>
              <w:keepNext/>
              <w:keepLines/>
              <w:spacing w:before="70" w:after="70" w:line="240" w:lineRule="auto"/>
              <w:ind w:left="57" w:right="57"/>
              <w:rPr>
                <w:sz w:val="20"/>
                <w:szCs w:val="20"/>
              </w:rPr>
            </w:pPr>
            <w:r w:rsidRPr="009834AA">
              <w:rPr>
                <w:sz w:val="20"/>
                <w:szCs w:val="20"/>
              </w:rPr>
              <w:t>($m)</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2016</w:t>
            </w:r>
            <w:r w:rsidR="00500C1C">
              <w:rPr>
                <w:szCs w:val="20"/>
              </w:rPr>
              <w:t>–</w:t>
            </w:r>
            <w:r w:rsidRPr="009834AA">
              <w:rPr>
                <w:szCs w:val="20"/>
              </w:rPr>
              <w:t>17</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2017</w:t>
            </w:r>
            <w:r w:rsidR="00500C1C">
              <w:rPr>
                <w:szCs w:val="20"/>
              </w:rPr>
              <w:t>–</w:t>
            </w:r>
            <w:r w:rsidRPr="009834AA">
              <w:rPr>
                <w:szCs w:val="20"/>
              </w:rPr>
              <w:t>18</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2018</w:t>
            </w:r>
            <w:r w:rsidR="00500C1C">
              <w:rPr>
                <w:szCs w:val="20"/>
              </w:rPr>
              <w:t>–</w:t>
            </w:r>
            <w:r w:rsidRPr="009834AA">
              <w:rPr>
                <w:szCs w:val="20"/>
              </w:rPr>
              <w:t>19</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2019</w:t>
            </w:r>
            <w:r w:rsidR="00500C1C">
              <w:rPr>
                <w:szCs w:val="20"/>
              </w:rPr>
              <w:t>–</w:t>
            </w:r>
            <w:r w:rsidRPr="009834AA">
              <w:rPr>
                <w:szCs w:val="20"/>
              </w:rPr>
              <w:t>20</w:t>
            </w:r>
          </w:p>
        </w:tc>
        <w:tc>
          <w:tcPr>
            <w:tcW w:w="318" w:type="pct"/>
            <w:shd w:val="clear" w:color="auto" w:fill="D7DDE9"/>
            <w:vAlign w:val="center"/>
          </w:tcPr>
          <w:p w:rsidR="00397E4D" w:rsidRPr="00770A3C"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770A3C">
              <w:rPr>
                <w:b/>
                <w:szCs w:val="20"/>
              </w:rPr>
              <w:t>Total to 2019</w:t>
            </w:r>
            <w:r w:rsidR="00500C1C">
              <w:rPr>
                <w:b/>
                <w:szCs w:val="20"/>
              </w:rPr>
              <w:t>–</w:t>
            </w:r>
            <w:r w:rsidRPr="00770A3C">
              <w:rPr>
                <w:b/>
                <w:szCs w:val="20"/>
              </w:rPr>
              <w:t>20</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2020</w:t>
            </w:r>
            <w:r w:rsidR="00500C1C">
              <w:rPr>
                <w:szCs w:val="20"/>
              </w:rPr>
              <w:t>–</w:t>
            </w:r>
            <w:r w:rsidRPr="009834AA">
              <w:rPr>
                <w:szCs w:val="20"/>
              </w:rPr>
              <w:t>21</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2021</w:t>
            </w:r>
            <w:r w:rsidR="00500C1C">
              <w:rPr>
                <w:szCs w:val="20"/>
              </w:rPr>
              <w:t>–</w:t>
            </w:r>
            <w:r w:rsidRPr="009834AA">
              <w:rPr>
                <w:szCs w:val="20"/>
              </w:rPr>
              <w:t>22</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2022</w:t>
            </w:r>
            <w:r w:rsidR="00500C1C">
              <w:rPr>
                <w:szCs w:val="20"/>
              </w:rPr>
              <w:t>–</w:t>
            </w:r>
            <w:r w:rsidRPr="009834AA">
              <w:rPr>
                <w:szCs w:val="20"/>
              </w:rPr>
              <w:t>23</w:t>
            </w:r>
          </w:p>
        </w:tc>
        <w:tc>
          <w:tcPr>
            <w:tcW w:w="318"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2023</w:t>
            </w:r>
            <w:r w:rsidR="00500C1C">
              <w:rPr>
                <w:szCs w:val="20"/>
              </w:rPr>
              <w:t>–</w:t>
            </w:r>
            <w:r w:rsidRPr="009834AA">
              <w:rPr>
                <w:szCs w:val="20"/>
              </w:rPr>
              <w:t>24</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2024</w:t>
            </w:r>
            <w:r w:rsidR="00500C1C">
              <w:rPr>
                <w:szCs w:val="20"/>
              </w:rPr>
              <w:t>–</w:t>
            </w:r>
            <w:r w:rsidRPr="009834AA">
              <w:rPr>
                <w:szCs w:val="20"/>
              </w:rPr>
              <w:t>25</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2025</w:t>
            </w:r>
            <w:r w:rsidR="00500C1C">
              <w:rPr>
                <w:szCs w:val="20"/>
              </w:rPr>
              <w:t>–</w:t>
            </w:r>
            <w:r w:rsidRPr="009834AA">
              <w:rPr>
                <w:szCs w:val="20"/>
              </w:rPr>
              <w:t>26</w:t>
            </w:r>
          </w:p>
        </w:tc>
        <w:tc>
          <w:tcPr>
            <w:tcW w:w="317" w:type="pct"/>
            <w:shd w:val="clear" w:color="auto" w:fill="D7DDE9"/>
            <w:vAlign w:val="center"/>
          </w:tcPr>
          <w:p w:rsidR="00397E4D" w:rsidRPr="009834AA"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9834AA">
              <w:rPr>
                <w:szCs w:val="20"/>
              </w:rPr>
              <w:t>2026</w:t>
            </w:r>
            <w:r w:rsidR="00500C1C">
              <w:rPr>
                <w:szCs w:val="20"/>
              </w:rPr>
              <w:t>–</w:t>
            </w:r>
            <w:r w:rsidRPr="009834AA">
              <w:rPr>
                <w:szCs w:val="20"/>
              </w:rPr>
              <w:t>27</w:t>
            </w:r>
          </w:p>
        </w:tc>
        <w:tc>
          <w:tcPr>
            <w:tcW w:w="318" w:type="pct"/>
            <w:shd w:val="clear" w:color="auto" w:fill="D7DDE9"/>
            <w:vAlign w:val="center"/>
          </w:tcPr>
          <w:p w:rsidR="00397E4D" w:rsidRPr="00770A3C" w:rsidRDefault="00397E4D" w:rsidP="00642EEA">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770A3C">
              <w:rPr>
                <w:b/>
                <w:szCs w:val="20"/>
              </w:rPr>
              <w:t>Total to 2026</w:t>
            </w:r>
            <w:r w:rsidR="00500C1C">
              <w:rPr>
                <w:b/>
                <w:szCs w:val="20"/>
              </w:rPr>
              <w:t>–</w:t>
            </w:r>
            <w:r w:rsidRPr="00770A3C">
              <w:rPr>
                <w:b/>
                <w:szCs w:val="20"/>
              </w:rPr>
              <w:t>27</w:t>
            </w:r>
          </w:p>
        </w:tc>
      </w:tr>
      <w:tr w:rsidR="00076476" w:rsidRPr="009834AA" w:rsidTr="00FC7187">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EF1F6"/>
            <w:vAlign w:val="center"/>
          </w:tcPr>
          <w:p w:rsidR="00076476" w:rsidRPr="009834AA" w:rsidRDefault="00396B5A" w:rsidP="00642EEA">
            <w:pPr>
              <w:pStyle w:val="TableTextRight"/>
              <w:keepNext/>
              <w:keepLines/>
              <w:spacing w:line="240" w:lineRule="auto"/>
              <w:ind w:left="57" w:right="57"/>
              <w:jc w:val="left"/>
              <w:rPr>
                <w:b/>
                <w:i w:val="0"/>
                <w:szCs w:val="20"/>
              </w:rPr>
            </w:pPr>
            <w:r>
              <w:rPr>
                <w:b/>
                <w:i w:val="0"/>
                <w:szCs w:val="20"/>
              </w:rPr>
              <w:t>Impact on headline cash balance</w:t>
            </w:r>
          </w:p>
        </w:tc>
      </w:tr>
      <w:tr w:rsidR="00500C1C" w:rsidRPr="009834AA" w:rsidTr="00FC7187">
        <w:trPr>
          <w:cantSplit/>
        </w:trPr>
        <w:tc>
          <w:tcPr>
            <w:cnfStyle w:val="001000000000" w:firstRow="0" w:lastRow="0" w:firstColumn="1" w:lastColumn="0" w:oddVBand="0" w:evenVBand="0" w:oddHBand="0" w:evenHBand="0" w:firstRowFirstColumn="0" w:firstRowLastColumn="0" w:lastRowFirstColumn="0" w:lastRowLastColumn="0"/>
            <w:tcW w:w="873" w:type="pct"/>
            <w:vAlign w:val="center"/>
          </w:tcPr>
          <w:p w:rsidR="0052459C" w:rsidRPr="009834AA" w:rsidRDefault="0052459C" w:rsidP="00642EEA">
            <w:pPr>
              <w:keepNext/>
              <w:keepLines/>
              <w:spacing w:before="70" w:after="70" w:line="240" w:lineRule="auto"/>
              <w:ind w:left="57" w:right="57"/>
              <w:rPr>
                <w:color w:val="000000"/>
                <w:sz w:val="20"/>
                <w:szCs w:val="20"/>
              </w:rPr>
            </w:pPr>
            <w:r w:rsidRPr="00397E4D">
              <w:rPr>
                <w:color w:val="000000"/>
                <w:sz w:val="20"/>
                <w:szCs w:val="20"/>
              </w:rPr>
              <w:t>Repayments and interest received</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-8.0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-9.0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-10.0</w:t>
            </w:r>
          </w:p>
        </w:tc>
        <w:tc>
          <w:tcPr>
            <w:tcW w:w="318"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176B80">
              <w:rPr>
                <w:b/>
                <w:bCs/>
                <w:i/>
                <w:color w:val="000000"/>
                <w:sz w:val="20"/>
              </w:rPr>
              <w:t>-28.0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-11.0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-12.0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-13.0</w:t>
            </w:r>
          </w:p>
        </w:tc>
        <w:tc>
          <w:tcPr>
            <w:tcW w:w="318"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-14.0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-14.0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-15.0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-16.0</w:t>
            </w:r>
          </w:p>
        </w:tc>
        <w:tc>
          <w:tcPr>
            <w:tcW w:w="318"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176B80">
              <w:rPr>
                <w:b/>
                <w:bCs/>
                <w:i/>
                <w:color w:val="000000"/>
                <w:sz w:val="20"/>
              </w:rPr>
              <w:t>-124.0</w:t>
            </w:r>
          </w:p>
        </w:tc>
      </w:tr>
      <w:tr w:rsidR="00500C1C" w:rsidRPr="009834AA" w:rsidTr="00FC7187">
        <w:trPr>
          <w:cantSplit/>
        </w:trPr>
        <w:tc>
          <w:tcPr>
            <w:cnfStyle w:val="001000000000" w:firstRow="0" w:lastRow="0" w:firstColumn="1" w:lastColumn="0" w:oddVBand="0" w:evenVBand="0" w:oddHBand="0" w:evenHBand="0" w:firstRowFirstColumn="0" w:firstRowLastColumn="0" w:lastRowFirstColumn="0" w:lastRowLastColumn="0"/>
            <w:tcW w:w="873" w:type="pct"/>
            <w:vAlign w:val="center"/>
          </w:tcPr>
          <w:p w:rsidR="0052459C" w:rsidRPr="009834AA" w:rsidRDefault="0052459C" w:rsidP="00642EEA">
            <w:pPr>
              <w:keepNext/>
              <w:keepLines/>
              <w:spacing w:before="70" w:after="70" w:line="240" w:lineRule="auto"/>
              <w:ind w:left="57" w:right="57"/>
              <w:rPr>
                <w:color w:val="000000"/>
                <w:sz w:val="20"/>
                <w:szCs w:val="20"/>
              </w:rPr>
            </w:pPr>
            <w:r w:rsidRPr="009834AA">
              <w:rPr>
                <w:color w:val="000000"/>
                <w:sz w:val="20"/>
                <w:szCs w:val="20"/>
              </w:rPr>
              <w:t>PDI</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-1.0</w:t>
            </w:r>
          </w:p>
        </w:tc>
        <w:tc>
          <w:tcPr>
            <w:tcW w:w="318"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176B80">
              <w:rPr>
                <w:b/>
                <w:bCs/>
                <w:i/>
                <w:color w:val="000000"/>
                <w:sz w:val="20"/>
              </w:rPr>
              <w:t>-1.0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-1.0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-2.0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-3.0</w:t>
            </w:r>
          </w:p>
        </w:tc>
        <w:tc>
          <w:tcPr>
            <w:tcW w:w="318"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-4.0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-5.0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-6.0</w:t>
            </w:r>
          </w:p>
        </w:tc>
        <w:tc>
          <w:tcPr>
            <w:tcW w:w="317"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color w:val="000000"/>
                <w:sz w:val="20"/>
              </w:rPr>
            </w:pPr>
            <w:r w:rsidRPr="00176B80">
              <w:rPr>
                <w:i/>
                <w:color w:val="000000"/>
                <w:sz w:val="20"/>
              </w:rPr>
              <w:t>-8.0</w:t>
            </w:r>
          </w:p>
        </w:tc>
        <w:tc>
          <w:tcPr>
            <w:tcW w:w="318" w:type="pct"/>
            <w:vAlign w:val="center"/>
          </w:tcPr>
          <w:p w:rsidR="0052459C" w:rsidRPr="00176B80"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i/>
                <w:color w:val="000000"/>
                <w:sz w:val="20"/>
              </w:rPr>
            </w:pPr>
            <w:r w:rsidRPr="00176B80">
              <w:rPr>
                <w:b/>
                <w:bCs/>
                <w:i/>
                <w:color w:val="000000"/>
                <w:sz w:val="20"/>
              </w:rPr>
              <w:t>-29.0</w:t>
            </w:r>
          </w:p>
        </w:tc>
      </w:tr>
      <w:tr w:rsidR="00500C1C" w:rsidRPr="009834AA" w:rsidTr="00FC7187">
        <w:trPr>
          <w:cantSplit/>
        </w:trPr>
        <w:tc>
          <w:tcPr>
            <w:cnfStyle w:val="001000000000" w:firstRow="0" w:lastRow="0" w:firstColumn="1" w:lastColumn="0" w:oddVBand="0" w:evenVBand="0" w:oddHBand="0" w:evenHBand="0" w:firstRowFirstColumn="0" w:firstRowLastColumn="0" w:lastRowFirstColumn="0" w:lastRowLastColumn="0"/>
            <w:tcW w:w="873" w:type="pct"/>
            <w:shd w:val="clear" w:color="auto" w:fill="D7DDE9"/>
            <w:vAlign w:val="center"/>
          </w:tcPr>
          <w:p w:rsidR="0052459C" w:rsidRPr="009834AA" w:rsidRDefault="0052459C" w:rsidP="00642EEA">
            <w:pPr>
              <w:keepNext/>
              <w:keepLines/>
              <w:spacing w:before="70" w:after="70" w:line="240" w:lineRule="auto"/>
              <w:ind w:left="57" w:right="57"/>
              <w:rPr>
                <w:color w:val="000000"/>
                <w:sz w:val="20"/>
                <w:szCs w:val="20"/>
              </w:rPr>
            </w:pPr>
            <w:r w:rsidRPr="009834AA">
              <w:rPr>
                <w:b/>
                <w:sz w:val="20"/>
                <w:szCs w:val="20"/>
              </w:rPr>
              <w:t xml:space="preserve">Total </w:t>
            </w:r>
            <w:r>
              <w:rPr>
                <w:b/>
                <w:sz w:val="20"/>
                <w:szCs w:val="20"/>
              </w:rPr>
              <w:t>headline cash</w:t>
            </w:r>
            <w:r w:rsidRPr="009834AA">
              <w:rPr>
                <w:b/>
                <w:sz w:val="20"/>
                <w:szCs w:val="20"/>
              </w:rPr>
              <w:t xml:space="preserve"> balance impact</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-8</w:t>
            </w:r>
            <w:r>
              <w:rPr>
                <w:b/>
                <w:bCs/>
                <w:color w:val="000000"/>
                <w:sz w:val="20"/>
              </w:rPr>
              <w:t>.0</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-10</w:t>
            </w:r>
            <w:r>
              <w:rPr>
                <w:b/>
                <w:bCs/>
                <w:color w:val="000000"/>
                <w:sz w:val="20"/>
              </w:rPr>
              <w:t>.0</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-11</w:t>
            </w:r>
            <w:r>
              <w:rPr>
                <w:b/>
                <w:bCs/>
                <w:color w:val="000000"/>
                <w:sz w:val="20"/>
              </w:rPr>
              <w:t>.0</w:t>
            </w:r>
          </w:p>
        </w:tc>
        <w:tc>
          <w:tcPr>
            <w:tcW w:w="318"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-29</w:t>
            </w:r>
            <w:r>
              <w:rPr>
                <w:b/>
                <w:bCs/>
                <w:color w:val="000000"/>
                <w:sz w:val="20"/>
              </w:rPr>
              <w:t>.0</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-12</w:t>
            </w:r>
            <w:r>
              <w:rPr>
                <w:b/>
                <w:bCs/>
                <w:color w:val="000000"/>
                <w:sz w:val="20"/>
              </w:rPr>
              <w:t>.0</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-14</w:t>
            </w:r>
            <w:r>
              <w:rPr>
                <w:b/>
                <w:bCs/>
                <w:color w:val="000000"/>
                <w:sz w:val="20"/>
              </w:rPr>
              <w:t>.0</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-16</w:t>
            </w:r>
            <w:r>
              <w:rPr>
                <w:b/>
                <w:bCs/>
                <w:color w:val="000000"/>
                <w:sz w:val="20"/>
              </w:rPr>
              <w:t>.0</w:t>
            </w:r>
          </w:p>
        </w:tc>
        <w:tc>
          <w:tcPr>
            <w:tcW w:w="318"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-17</w:t>
            </w:r>
            <w:r>
              <w:rPr>
                <w:b/>
                <w:bCs/>
                <w:color w:val="000000"/>
                <w:sz w:val="20"/>
              </w:rPr>
              <w:t>.0</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-19</w:t>
            </w:r>
            <w:r>
              <w:rPr>
                <w:b/>
                <w:bCs/>
                <w:color w:val="000000"/>
                <w:sz w:val="20"/>
              </w:rPr>
              <w:t>.0</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-21</w:t>
            </w:r>
            <w:r>
              <w:rPr>
                <w:b/>
                <w:bCs/>
                <w:color w:val="000000"/>
                <w:sz w:val="20"/>
              </w:rPr>
              <w:t>.0</w:t>
            </w:r>
          </w:p>
        </w:tc>
        <w:tc>
          <w:tcPr>
            <w:tcW w:w="317"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-24</w:t>
            </w:r>
            <w:r>
              <w:rPr>
                <w:b/>
                <w:bCs/>
                <w:color w:val="000000"/>
                <w:sz w:val="20"/>
              </w:rPr>
              <w:t>.0</w:t>
            </w:r>
          </w:p>
        </w:tc>
        <w:tc>
          <w:tcPr>
            <w:tcW w:w="318" w:type="pct"/>
            <w:shd w:val="clear" w:color="auto" w:fill="D7DDE9"/>
            <w:vAlign w:val="center"/>
          </w:tcPr>
          <w:p w:rsidR="0052459C" w:rsidRPr="0052459C" w:rsidRDefault="0052459C" w:rsidP="00642EEA">
            <w:pPr>
              <w:keepNext/>
              <w:keepLines/>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bCs/>
                <w:color w:val="000000"/>
                <w:sz w:val="20"/>
              </w:rPr>
            </w:pPr>
            <w:r w:rsidRPr="0052459C">
              <w:rPr>
                <w:b/>
                <w:bCs/>
                <w:color w:val="000000"/>
                <w:sz w:val="20"/>
              </w:rPr>
              <w:t>-153</w:t>
            </w:r>
            <w:r>
              <w:rPr>
                <w:b/>
                <w:bCs/>
                <w:color w:val="000000"/>
                <w:sz w:val="20"/>
              </w:rPr>
              <w:t>.0</w:t>
            </w:r>
          </w:p>
        </w:tc>
      </w:tr>
    </w:tbl>
    <w:p w:rsidR="00FA1091" w:rsidRDefault="00016266" w:rsidP="00642EEA">
      <w:pPr>
        <w:pStyle w:val="Footnotes"/>
        <w:keepNext/>
        <w:keepLines/>
        <w:numPr>
          <w:ilvl w:val="0"/>
          <w:numId w:val="21"/>
        </w:numPr>
        <w:ind w:left="284" w:hanging="284"/>
      </w:pPr>
      <w:r>
        <w:t xml:space="preserve">A positive number for the headline cash balance indicates an increase in cashflow.  </w:t>
      </w:r>
      <w:r w:rsidR="00D51DF9" w:rsidRPr="00D51DF9">
        <w:t xml:space="preserve">A negative number </w:t>
      </w:r>
      <w:r w:rsidR="004F6803">
        <w:t>for the</w:t>
      </w:r>
      <w:r w:rsidR="00D51DF9" w:rsidRPr="00D51DF9">
        <w:t xml:space="preserve"> headline cash balance indicates a decrease in cashflow. </w:t>
      </w:r>
    </w:p>
    <w:p w:rsidR="00F5529D" w:rsidRPr="00FC6579" w:rsidRDefault="00D51DF9" w:rsidP="0052459C">
      <w:pPr>
        <w:pStyle w:val="Footnotes"/>
        <w:numPr>
          <w:ilvl w:val="0"/>
          <w:numId w:val="21"/>
        </w:numPr>
        <w:ind w:left="284" w:hanging="284"/>
      </w:pPr>
      <w:r w:rsidRPr="00D51DF9">
        <w:t>Figures may not sum to total</w:t>
      </w:r>
      <w:r w:rsidR="00397E4D">
        <w:t>s</w:t>
      </w:r>
      <w:r w:rsidRPr="00D51DF9">
        <w:t xml:space="preserve"> due to rounding.</w:t>
      </w:r>
    </w:p>
    <w:p w:rsidR="00FA1091" w:rsidRDefault="0018533D" w:rsidP="0096089E">
      <w:pPr>
        <w:pStyle w:val="Footnotes"/>
        <w:numPr>
          <w:ilvl w:val="0"/>
          <w:numId w:val="0"/>
        </w:numPr>
        <w:ind w:left="284" w:hanging="284"/>
      </w:pPr>
      <w:r>
        <w:t>..</w:t>
      </w:r>
      <w:r>
        <w:tab/>
        <w:t>Not zero but rounded to zero.</w:t>
      </w:r>
    </w:p>
    <w:p w:rsidR="009E54B2" w:rsidRDefault="00FA1091" w:rsidP="0096089E">
      <w:pPr>
        <w:pStyle w:val="Footnotes"/>
        <w:numPr>
          <w:ilvl w:val="0"/>
          <w:numId w:val="22"/>
        </w:numPr>
        <w:ind w:left="284" w:hanging="284"/>
        <w:sectPr w:rsidR="009E54B2" w:rsidSect="004F6803">
          <w:headerReference w:type="first" r:id="rId15"/>
          <w:footerReference w:type="first" r:id="rId16"/>
          <w:pgSz w:w="16839" w:h="11907" w:orient="landscape" w:code="9"/>
          <w:pgMar w:top="1560" w:right="1361" w:bottom="1797" w:left="1474" w:header="709" w:footer="709" w:gutter="0"/>
          <w:cols w:space="708"/>
          <w:titlePg/>
          <w:docGrid w:linePitch="360"/>
        </w:sectPr>
      </w:pPr>
      <w:r w:rsidRPr="00FA1091">
        <w:t>Indicates nil.</w:t>
      </w:r>
    </w:p>
    <w:p w:rsidR="009E54B2" w:rsidRDefault="009E54B2" w:rsidP="009E54B2">
      <w:pPr>
        <w:pStyle w:val="Heading1"/>
        <w:spacing w:before="0" w:after="120"/>
      </w:pPr>
      <w:r>
        <w:lastRenderedPageBreak/>
        <w:t xml:space="preserve">Attachment B: </w:t>
      </w:r>
      <w:r w:rsidRPr="00E651A0">
        <w:t>Accounting Treatment of Income Contingent Loans</w:t>
      </w:r>
    </w:p>
    <w:p w:rsidR="009E54B2" w:rsidRDefault="009E54B2" w:rsidP="006C1E67">
      <w:r>
        <w:t xml:space="preserve">In accordance with PBO Guidance 02/2015 and the </w:t>
      </w:r>
      <w:r w:rsidRPr="007368A6">
        <w:rPr>
          <w:i/>
        </w:rPr>
        <w:t>Charter of Budget Honesty Policy Costing Guidelines</w:t>
      </w:r>
      <w:r>
        <w:t>, proposals that “involve transactions of financial assets” would need to take into account the impact of Public Debt Interest (PDI) payments.  When estimating the proposal’s impact on PDI payments, the net headline cash balance impact is used.  The net headline cash balance impact includes not only the income contingent loan component of the proposal, but all associated components that are considered integral to the overall proposal.  The most widely known example of an income contingent loan is a loan under the Higher Education Loan Program (HELP).</w:t>
      </w:r>
    </w:p>
    <w:p w:rsidR="009E54B2" w:rsidRPr="00E651A0" w:rsidRDefault="009E54B2" w:rsidP="006C1E67">
      <w:r>
        <w:t xml:space="preserve">The issuing of income contingent loans and repayments of principal themselves do not have an impact on </w:t>
      </w:r>
      <w:r w:rsidRPr="00E651A0">
        <w:t>the underlying cash or fiscal balance</w:t>
      </w:r>
      <w:r>
        <w:t>s</w:t>
      </w:r>
      <w:r w:rsidRPr="00E651A0">
        <w:t xml:space="preserve"> as they are treated as investments</w:t>
      </w:r>
      <w:r>
        <w:t>, while the associated PDI payments impact on all three budget balances.  The PDI impact is a result of the change in Government’s borrowing requirements to fund these loans.</w:t>
      </w:r>
    </w:p>
    <w:p w:rsidR="009E54B2" w:rsidRPr="00E651A0" w:rsidRDefault="009E54B2" w:rsidP="006C1E67">
      <w:r>
        <w:t>T</w:t>
      </w:r>
      <w:r w:rsidRPr="00E651A0">
        <w:t xml:space="preserve">he component of repayments that is considered interest is included as revenue in underlying cash balance terms.  As repayment amounts are linked to income levels, it is difficult to separate interest repayments from principal repayments.  In the forward estimates, a fixed proportion of all repayments </w:t>
      </w:r>
      <w:proofErr w:type="gramStart"/>
      <w:r w:rsidRPr="00E651A0">
        <w:t>is</w:t>
      </w:r>
      <w:proofErr w:type="gramEnd"/>
      <w:r w:rsidRPr="00E651A0">
        <w:t xml:space="preserve"> taken to be interest repayments.</w:t>
      </w:r>
      <w:r w:rsidR="006C1E67">
        <w:t xml:space="preserve"> </w:t>
      </w:r>
      <w:r w:rsidRPr="00E651A0">
        <w:t xml:space="preserve"> This is based on the average amount of interest paid over the life of </w:t>
      </w:r>
      <w:r>
        <w:t>the</w:t>
      </w:r>
      <w:r w:rsidRPr="00E651A0">
        <w:t xml:space="preserve"> loan</w:t>
      </w:r>
      <w:r>
        <w:t>, and is based on the approach used for</w:t>
      </w:r>
      <w:r w:rsidRPr="00E651A0">
        <w:t xml:space="preserve"> HELP</w:t>
      </w:r>
      <w:r>
        <w:t xml:space="preserve"> loans</w:t>
      </w:r>
      <w:r w:rsidRPr="00E651A0">
        <w:t>.</w:t>
      </w:r>
    </w:p>
    <w:p w:rsidR="009E54B2" w:rsidRPr="00E651A0" w:rsidRDefault="009E54B2" w:rsidP="006C1E67">
      <w:r w:rsidRPr="00E651A0">
        <w:t xml:space="preserve">Interest is also accounted for in fiscal balance terms.  This is the increase in the value of the debt due to </w:t>
      </w:r>
      <w:r>
        <w:t>the debiting of the interest on the outstanding balance of the loan</w:t>
      </w:r>
      <w:r w:rsidRPr="00E651A0">
        <w:t xml:space="preserve"> each financial year.  Fiscal balance interest income is assessed on the “fair value” of the debt, consistent with relevant accounting standards, as it is unreasonable to claim interest income on a debt that is not expected to be repaid. </w:t>
      </w:r>
      <w:r w:rsidR="006C1E67">
        <w:t xml:space="preserve"> </w:t>
      </w:r>
      <w:r>
        <w:t xml:space="preserve">For HELP loans, the interest rate of the loan is the rate of the increase in the </w:t>
      </w:r>
      <w:r w:rsidR="006C1E67">
        <w:t>Consumer Price Index (</w:t>
      </w:r>
      <w:r>
        <w:t>CPI</w:t>
      </w:r>
      <w:r w:rsidR="006C1E67">
        <w:t>)</w:t>
      </w:r>
      <w:r>
        <w:t>.</w:t>
      </w:r>
    </w:p>
    <w:p w:rsidR="009E54B2" w:rsidRPr="00E651A0" w:rsidRDefault="009E54B2" w:rsidP="006C1E67">
      <w:r w:rsidRPr="00E651A0">
        <w:t xml:space="preserve">Furthermore, </w:t>
      </w:r>
      <w:r>
        <w:t xml:space="preserve">income contingent loans may be concessional to the extent that interest rate on the loan is less than the market interest rate that would be charged to the borrowers.  For budget purposes, the concession is estimated based on the difference between the Government bond rate and the interest rate on the concession loan.  </w:t>
      </w:r>
      <w:r w:rsidRPr="00E651A0">
        <w:t xml:space="preserve">The Budget accounts for </w:t>
      </w:r>
      <w:r>
        <w:t>the net present value of this concession</w:t>
      </w:r>
      <w:r w:rsidRPr="00E651A0">
        <w:t xml:space="preserve"> as an expense in fiscal balance terms.  As loans are repaid, the amount of foregone interest income reduces, so this expense is “unwound”, having a positive impact on the fiscal balance.  </w:t>
      </w:r>
      <w:r>
        <w:t xml:space="preserve">For example, HELP </w:t>
      </w:r>
      <w:r w:rsidRPr="00E651A0">
        <w:t>loans are concessional as they are indexed to</w:t>
      </w:r>
      <w:r>
        <w:t xml:space="preserve"> CPI</w:t>
      </w:r>
      <w:r w:rsidR="00CF3B8E">
        <w:t>.</w:t>
      </w:r>
    </w:p>
    <w:p w:rsidR="009E54B2" w:rsidRPr="00E651A0" w:rsidRDefault="009E54B2" w:rsidP="006C1E67">
      <w:r w:rsidRPr="00E651A0">
        <w:t>When the Commonwealth agrees to forgo the repayment of some or all of a debtor’s debt, this also has a negative impact on Budget aggregates.  Mutually agreed writedowns or write</w:t>
      </w:r>
      <w:r w:rsidR="00720C54">
        <w:noBreakHyphen/>
      </w:r>
      <w:r w:rsidRPr="00E651A0">
        <w:t>offs (for example in the case of death of the borrower) have no impact on the underlying cash balance, but are an expense in fiscal balance terms.</w:t>
      </w:r>
    </w:p>
    <w:p w:rsidR="009E54B2" w:rsidRPr="00E651A0" w:rsidRDefault="009E54B2" w:rsidP="006C1E67">
      <w:r w:rsidRPr="00E651A0">
        <w:t>The headline cash balance is tracked in Budget papers, and is normally reported in policy costings when it differs from the underlying cash balance.</w:t>
      </w:r>
    </w:p>
    <w:p w:rsidR="00485374" w:rsidRPr="00FC6579" w:rsidRDefault="009E54B2" w:rsidP="006C1E67">
      <w:r w:rsidRPr="009E54B2">
        <w:t>The fair value of the debt is a positive contributor to the Government’s net financial worth.</w:t>
      </w:r>
    </w:p>
    <w:sectPr w:rsidR="00485374" w:rsidRPr="00FC6579" w:rsidSect="009E54B2">
      <w:pgSz w:w="11907" w:h="16839"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F79" w:rsidRDefault="00FB2F79" w:rsidP="008F588A">
      <w:pPr>
        <w:spacing w:line="240" w:lineRule="auto"/>
      </w:pPr>
      <w:r>
        <w:separator/>
      </w:r>
    </w:p>
    <w:p w:rsidR="00FB2F79" w:rsidRDefault="00FB2F79"/>
  </w:endnote>
  <w:endnote w:type="continuationSeparator" w:id="0">
    <w:p w:rsidR="00FB2F79" w:rsidRDefault="00FB2F79" w:rsidP="008F588A">
      <w:pPr>
        <w:spacing w:line="240" w:lineRule="auto"/>
      </w:pPr>
      <w:r>
        <w:continuationSeparator/>
      </w:r>
    </w:p>
    <w:p w:rsidR="00FB2F79" w:rsidRDefault="00FB2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24267" w:rsidRDefault="00FB2F79"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C069A">
      <w:rPr>
        <w:noProof/>
      </w:rPr>
      <w:t>3</w:t>
    </w:r>
    <w:r w:rsidRPr="00C24267">
      <w:fldChar w:fldCharType="end"/>
    </w:r>
    <w:r w:rsidRPr="00C24267">
      <w:t xml:space="preserve"> of </w:t>
    </w:r>
    <w:r w:rsidR="00CC069A">
      <w:fldChar w:fldCharType="begin"/>
    </w:r>
    <w:r w:rsidR="00CC069A">
      <w:instrText xml:space="preserve"> NUMPAGES  \* Arabic  \* MERGEFORMAT </w:instrText>
    </w:r>
    <w:r w:rsidR="00CC069A">
      <w:fldChar w:fldCharType="separate"/>
    </w:r>
    <w:r w:rsidR="00CC069A">
      <w:rPr>
        <w:noProof/>
      </w:rPr>
      <w:t>8</w:t>
    </w:r>
    <w:r w:rsidR="00CC069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24267" w:rsidRDefault="00FB2F79" w:rsidP="00C24267">
    <w:pPr>
      <w:pStyle w:val="Letterfooter"/>
    </w:pPr>
    <w:r w:rsidRPr="00C24267">
      <w:t>Parliamentary Budget Office   PO Box 6010   Parliament House   Canberra ACT 2600</w:t>
    </w:r>
  </w:p>
  <w:p w:rsidR="00FB2F79" w:rsidRPr="00C24267" w:rsidRDefault="00FB2F79"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24267" w:rsidRDefault="00FB2F79"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C069A">
      <w:rPr>
        <w:noProof/>
      </w:rPr>
      <w:t>2</w:t>
    </w:r>
    <w:r w:rsidRPr="00C24267">
      <w:fldChar w:fldCharType="end"/>
    </w:r>
    <w:r w:rsidRPr="00C24267">
      <w:t xml:space="preserve"> of </w:t>
    </w:r>
    <w:r w:rsidR="00CC069A">
      <w:fldChar w:fldCharType="begin"/>
    </w:r>
    <w:r w:rsidR="00CC069A">
      <w:instrText xml:space="preserve"> NUMPAGES  \* Arabic  \* MERGEFORMAT </w:instrText>
    </w:r>
    <w:r w:rsidR="00CC069A">
      <w:fldChar w:fldCharType="separate"/>
    </w:r>
    <w:r w:rsidR="00CC069A">
      <w:rPr>
        <w:noProof/>
      </w:rPr>
      <w:t>8</w:t>
    </w:r>
    <w:r w:rsidR="00CC069A">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24267" w:rsidRDefault="00FB2F79"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C069A">
      <w:rPr>
        <w:noProof/>
      </w:rPr>
      <w:t>8</w:t>
    </w:r>
    <w:r w:rsidRPr="00C24267">
      <w:fldChar w:fldCharType="end"/>
    </w:r>
    <w:r w:rsidRPr="00C24267">
      <w:t xml:space="preserve"> of </w:t>
    </w:r>
    <w:r w:rsidR="00CC069A">
      <w:fldChar w:fldCharType="begin"/>
    </w:r>
    <w:r w:rsidR="00CC069A">
      <w:instrText xml:space="preserve"> NUMPAGES  \* Arabic  \* MERGEFORMAT </w:instrText>
    </w:r>
    <w:r w:rsidR="00CC069A">
      <w:fldChar w:fldCharType="separate"/>
    </w:r>
    <w:r w:rsidR="00CC069A">
      <w:rPr>
        <w:noProof/>
      </w:rPr>
      <w:t>8</w:t>
    </w:r>
    <w:r w:rsidR="00CC069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F79" w:rsidRDefault="00FB2F79" w:rsidP="008F588A">
      <w:pPr>
        <w:spacing w:line="240" w:lineRule="auto"/>
      </w:pPr>
      <w:r>
        <w:separator/>
      </w:r>
    </w:p>
    <w:p w:rsidR="00FB2F79" w:rsidRDefault="00FB2F79"/>
  </w:footnote>
  <w:footnote w:type="continuationSeparator" w:id="0">
    <w:p w:rsidR="00FB2F79" w:rsidRDefault="00FB2F79" w:rsidP="008F588A">
      <w:pPr>
        <w:spacing w:line="240" w:lineRule="auto"/>
      </w:pPr>
      <w:r>
        <w:continuationSeparator/>
      </w:r>
    </w:p>
    <w:p w:rsidR="00FB2F79" w:rsidRDefault="00FB2F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Default="00FB2F79" w:rsidP="00CB40E1">
    <w:pPr>
      <w:pStyle w:val="Header"/>
    </w:pPr>
    <w:r>
      <w:rPr>
        <w:noProof/>
        <w:lang w:eastAsia="en-AU"/>
      </w:rPr>
      <w:drawing>
        <wp:inline distT="0" distB="0" distL="0" distR="0" wp14:anchorId="51ED27F5" wp14:editId="1222C1B1">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FB2F79" w:rsidRPr="00DA1C8A" w:rsidRDefault="00FB2F79"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C17112" w:rsidRDefault="00FB2F79" w:rsidP="00C17112">
    <w:pPr>
      <w:pStyle w:val="Header"/>
    </w:pPr>
    <w:r>
      <w:rPr>
        <w:noProof/>
        <w:lang w:eastAsia="en-AU"/>
      </w:rPr>
      <w:drawing>
        <wp:inline distT="0" distB="0" distL="0" distR="0" wp14:anchorId="124D29CD" wp14:editId="35495D63">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79" w:rsidRPr="00476D4E" w:rsidRDefault="00FB2F79" w:rsidP="00476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FF4CC9"/>
    <w:multiLevelType w:val="hybridMultilevel"/>
    <w:tmpl w:val="16C4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5">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7">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8">
    <w:nsid w:val="219913AE"/>
    <w:multiLevelType w:val="hybridMultilevel"/>
    <w:tmpl w:val="6B343D88"/>
    <w:lvl w:ilvl="0" w:tplc="D3E0B312">
      <w:start w:val="2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E45E35"/>
    <w:multiLevelType w:val="hybridMultilevel"/>
    <w:tmpl w:val="60A06D20"/>
    <w:lvl w:ilvl="0" w:tplc="EE46B378">
      <w:start w:val="1"/>
      <w:numFmt w:val="lowerLetter"/>
      <w:pStyle w:val="Footnotes"/>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A42452E"/>
    <w:multiLevelType w:val="hybridMultilevel"/>
    <w:tmpl w:val="EA86CD2C"/>
    <w:lvl w:ilvl="0" w:tplc="A31E4EA4">
      <w:start w:val="1"/>
      <w:numFmt w:val="bullet"/>
      <w:pStyle w:val="PBObullet"/>
      <w:lvlText w:val=""/>
      <w:lvlJc w:val="left"/>
      <w:pPr>
        <w:ind w:left="92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665E7B5A"/>
    <w:multiLevelType w:val="hybridMultilevel"/>
    <w:tmpl w:val="F2C28104"/>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3">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12"/>
  </w:num>
  <w:num w:numId="6">
    <w:abstractNumId w:val="9"/>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1"/>
  </w:num>
  <w:num w:numId="12">
    <w:abstractNumId w:val="0"/>
  </w:num>
  <w:num w:numId="13">
    <w:abstractNumId w:val="9"/>
    <w:lvlOverride w:ilvl="0">
      <w:startOverride w:val="1"/>
    </w:lvlOverride>
  </w:num>
  <w:num w:numId="14">
    <w:abstractNumId w:val="9"/>
    <w:lvlOverride w:ilvl="0">
      <w:startOverride w:val="1"/>
    </w:lvlOverride>
  </w:num>
  <w:num w:numId="15">
    <w:abstractNumId w:val="2"/>
  </w:num>
  <w:num w:numId="16">
    <w:abstractNumId w:val="13"/>
  </w:num>
  <w:num w:numId="17">
    <w:abstractNumId w:val="3"/>
  </w:num>
  <w:num w:numId="18">
    <w:abstractNumId w:val="11"/>
  </w:num>
  <w:num w:numId="19">
    <w:abstractNumId w:val="10"/>
  </w:num>
  <w:num w:numId="20">
    <w:abstractNumId w:val="9"/>
    <w:lvlOverride w:ilvl="0">
      <w:startOverride w:val="1"/>
    </w:lvlOverride>
  </w:num>
  <w:num w:numId="21">
    <w:abstractNumId w:val="9"/>
    <w:lvlOverride w:ilvl="0">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DA"/>
    <w:rsid w:val="00002D5D"/>
    <w:rsid w:val="00016266"/>
    <w:rsid w:val="00040DCE"/>
    <w:rsid w:val="000670B2"/>
    <w:rsid w:val="000675A9"/>
    <w:rsid w:val="00076476"/>
    <w:rsid w:val="00084FF3"/>
    <w:rsid w:val="00096F3A"/>
    <w:rsid w:val="000B2E68"/>
    <w:rsid w:val="000C1A75"/>
    <w:rsid w:val="001278D0"/>
    <w:rsid w:val="0014239B"/>
    <w:rsid w:val="00176B80"/>
    <w:rsid w:val="0018533D"/>
    <w:rsid w:val="001A02D1"/>
    <w:rsid w:val="001C709D"/>
    <w:rsid w:val="00220BE5"/>
    <w:rsid w:val="00232048"/>
    <w:rsid w:val="002422A3"/>
    <w:rsid w:val="002A5382"/>
    <w:rsid w:val="00315E34"/>
    <w:rsid w:val="00326DE2"/>
    <w:rsid w:val="0034293B"/>
    <w:rsid w:val="00396B5A"/>
    <w:rsid w:val="00397E4D"/>
    <w:rsid w:val="003F73CA"/>
    <w:rsid w:val="0043430F"/>
    <w:rsid w:val="00440E32"/>
    <w:rsid w:val="00461597"/>
    <w:rsid w:val="00476D4E"/>
    <w:rsid w:val="00485374"/>
    <w:rsid w:val="004C283B"/>
    <w:rsid w:val="004D13ED"/>
    <w:rsid w:val="004D5525"/>
    <w:rsid w:val="004E469F"/>
    <w:rsid w:val="004F3B2D"/>
    <w:rsid w:val="004F4AE1"/>
    <w:rsid w:val="004F6803"/>
    <w:rsid w:val="00500C1C"/>
    <w:rsid w:val="005035DA"/>
    <w:rsid w:val="00507897"/>
    <w:rsid w:val="00515A85"/>
    <w:rsid w:val="0052459C"/>
    <w:rsid w:val="00545F24"/>
    <w:rsid w:val="0055581F"/>
    <w:rsid w:val="0056229A"/>
    <w:rsid w:val="00570154"/>
    <w:rsid w:val="00570B5A"/>
    <w:rsid w:val="005C6967"/>
    <w:rsid w:val="005E3562"/>
    <w:rsid w:val="005F7DE0"/>
    <w:rsid w:val="00640346"/>
    <w:rsid w:val="00642EEA"/>
    <w:rsid w:val="00643452"/>
    <w:rsid w:val="00660385"/>
    <w:rsid w:val="00662E65"/>
    <w:rsid w:val="0066665A"/>
    <w:rsid w:val="00692DD8"/>
    <w:rsid w:val="006C1E67"/>
    <w:rsid w:val="006C444A"/>
    <w:rsid w:val="006D5AA8"/>
    <w:rsid w:val="006F0CE9"/>
    <w:rsid w:val="007202A8"/>
    <w:rsid w:val="00720C54"/>
    <w:rsid w:val="00770A3C"/>
    <w:rsid w:val="007918CF"/>
    <w:rsid w:val="007B029A"/>
    <w:rsid w:val="007C02AA"/>
    <w:rsid w:val="007D33AA"/>
    <w:rsid w:val="007F7BCF"/>
    <w:rsid w:val="008030EC"/>
    <w:rsid w:val="00811D6D"/>
    <w:rsid w:val="00815206"/>
    <w:rsid w:val="00844776"/>
    <w:rsid w:val="008850D9"/>
    <w:rsid w:val="008A4578"/>
    <w:rsid w:val="008B4CC6"/>
    <w:rsid w:val="008B6DED"/>
    <w:rsid w:val="008C03C3"/>
    <w:rsid w:val="008D3909"/>
    <w:rsid w:val="008F588A"/>
    <w:rsid w:val="00902D2D"/>
    <w:rsid w:val="00915804"/>
    <w:rsid w:val="00957285"/>
    <w:rsid w:val="009573AF"/>
    <w:rsid w:val="0096089E"/>
    <w:rsid w:val="009834AA"/>
    <w:rsid w:val="009963ED"/>
    <w:rsid w:val="009D4063"/>
    <w:rsid w:val="009E54B2"/>
    <w:rsid w:val="00A15E3D"/>
    <w:rsid w:val="00A41BD3"/>
    <w:rsid w:val="00A449C2"/>
    <w:rsid w:val="00A65EA3"/>
    <w:rsid w:val="00AA3D6F"/>
    <w:rsid w:val="00AB6F7D"/>
    <w:rsid w:val="00AC7878"/>
    <w:rsid w:val="00AD493E"/>
    <w:rsid w:val="00AD6AE7"/>
    <w:rsid w:val="00AE5919"/>
    <w:rsid w:val="00AF40E2"/>
    <w:rsid w:val="00B044A7"/>
    <w:rsid w:val="00B06055"/>
    <w:rsid w:val="00B202BC"/>
    <w:rsid w:val="00B4115D"/>
    <w:rsid w:val="00B44D8A"/>
    <w:rsid w:val="00B531DD"/>
    <w:rsid w:val="00B61A58"/>
    <w:rsid w:val="00B73AC8"/>
    <w:rsid w:val="00B747A7"/>
    <w:rsid w:val="00BC2F27"/>
    <w:rsid w:val="00BC559C"/>
    <w:rsid w:val="00BF5BEA"/>
    <w:rsid w:val="00C17112"/>
    <w:rsid w:val="00C24267"/>
    <w:rsid w:val="00C778B3"/>
    <w:rsid w:val="00C942B4"/>
    <w:rsid w:val="00C96CC7"/>
    <w:rsid w:val="00CA5D42"/>
    <w:rsid w:val="00CB40E1"/>
    <w:rsid w:val="00CC069A"/>
    <w:rsid w:val="00CF3B8E"/>
    <w:rsid w:val="00CF6DB6"/>
    <w:rsid w:val="00D134CA"/>
    <w:rsid w:val="00D15CE5"/>
    <w:rsid w:val="00D51DF9"/>
    <w:rsid w:val="00D90853"/>
    <w:rsid w:val="00DA1C8A"/>
    <w:rsid w:val="00DB44F0"/>
    <w:rsid w:val="00DC368B"/>
    <w:rsid w:val="00DD109E"/>
    <w:rsid w:val="00DD3E18"/>
    <w:rsid w:val="00E12103"/>
    <w:rsid w:val="00E15AAE"/>
    <w:rsid w:val="00E21184"/>
    <w:rsid w:val="00E40B8B"/>
    <w:rsid w:val="00E5742E"/>
    <w:rsid w:val="00EA265F"/>
    <w:rsid w:val="00ED43FF"/>
    <w:rsid w:val="00EE065F"/>
    <w:rsid w:val="00EE6600"/>
    <w:rsid w:val="00EF1D6A"/>
    <w:rsid w:val="00EF2698"/>
    <w:rsid w:val="00EF2E51"/>
    <w:rsid w:val="00F17C00"/>
    <w:rsid w:val="00F30774"/>
    <w:rsid w:val="00F31E24"/>
    <w:rsid w:val="00F52474"/>
    <w:rsid w:val="00F5529D"/>
    <w:rsid w:val="00F5669E"/>
    <w:rsid w:val="00F75D33"/>
    <w:rsid w:val="00F954CF"/>
    <w:rsid w:val="00FA1091"/>
    <w:rsid w:val="00FB2F79"/>
    <w:rsid w:val="00FC6579"/>
    <w:rsid w:val="00FC7187"/>
    <w:rsid w:val="00FD3FB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paragraph" w:styleId="Heading7">
    <w:name w:val="heading 7"/>
    <w:basedOn w:val="Normal"/>
    <w:next w:val="Normal"/>
    <w:link w:val="Heading7Char"/>
    <w:uiPriority w:val="9"/>
    <w:unhideWhenUsed/>
    <w:rsid w:val="00FB2F79"/>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815206"/>
    <w:rPr>
      <w:rFonts w:eastAsia="Times New Roman" w:cs="Times New Roman"/>
      <w:spacing w:val="0"/>
      <w:lang w:eastAsia="en-AU"/>
    </w:rPr>
  </w:style>
  <w:style w:type="paragraph" w:customStyle="1" w:styleId="Bullet2">
    <w:name w:val="Bullet 2"/>
    <w:basedOn w:val="ListBullet2"/>
    <w:link w:val="Bullet2Char"/>
    <w:qFormat/>
    <w:rsid w:val="00815206"/>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815206"/>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15206"/>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FootnoteText">
    <w:name w:val="footnote text"/>
    <w:basedOn w:val="Normal"/>
    <w:link w:val="FootnoteTextChar"/>
    <w:uiPriority w:val="99"/>
    <w:semiHidden/>
    <w:unhideWhenUsed/>
    <w:rsid w:val="00B61A58"/>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61A5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1A58"/>
    <w:rPr>
      <w:vertAlign w:val="superscript"/>
    </w:rPr>
  </w:style>
  <w:style w:type="paragraph" w:customStyle="1" w:styleId="Bullet4">
    <w:name w:val="Bullet 4"/>
    <w:basedOn w:val="Normal"/>
    <w:qFormat/>
    <w:rsid w:val="00B61A58"/>
    <w:pPr>
      <w:spacing w:before="120" w:after="0" w:line="240" w:lineRule="auto"/>
      <w:ind w:left="1135" w:hanging="284"/>
    </w:pPr>
    <w:rPr>
      <w:rFonts w:ascii="Times New Roman" w:eastAsia="Times New Roman" w:hAnsi="Times New Roman" w:cs="Times New Roman"/>
      <w:sz w:val="24"/>
      <w:szCs w:val="20"/>
      <w:lang w:eastAsia="en-AU"/>
    </w:rPr>
  </w:style>
  <w:style w:type="paragraph" w:styleId="Quote">
    <w:name w:val="Quote"/>
    <w:basedOn w:val="Normal"/>
    <w:next w:val="Normal"/>
    <w:link w:val="QuoteChar"/>
    <w:uiPriority w:val="29"/>
    <w:rsid w:val="009E54B2"/>
    <w:pPr>
      <w:spacing w:before="240" w:after="0" w:line="240" w:lineRule="auto"/>
    </w:pPr>
    <w:rPr>
      <w:rFonts w:ascii="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9E54B2"/>
    <w:rPr>
      <w:rFonts w:ascii="Times New Roman" w:hAnsi="Times New Roman" w:cs="Times New Roman"/>
      <w:i/>
      <w:iCs/>
      <w:color w:val="000000" w:themeColor="text1"/>
      <w:sz w:val="24"/>
      <w:szCs w:val="24"/>
    </w:rPr>
  </w:style>
  <w:style w:type="character" w:customStyle="1" w:styleId="Heading7Char">
    <w:name w:val="Heading 7 Char"/>
    <w:basedOn w:val="DefaultParagraphFont"/>
    <w:link w:val="Heading7"/>
    <w:uiPriority w:val="9"/>
    <w:rsid w:val="00FB2F79"/>
    <w:rPr>
      <w:rFonts w:asciiTheme="majorHAnsi" w:eastAsiaTheme="majorEastAsia" w:hAnsiTheme="majorHAnsi" w:cstheme="majorBidi"/>
      <w:i/>
      <w:iCs/>
      <w:color w:val="404040" w:themeColor="text1" w:themeTint="BF"/>
      <w:sz w:val="24"/>
      <w:szCs w:val="24"/>
    </w:rPr>
  </w:style>
  <w:style w:type="paragraph" w:customStyle="1" w:styleId="PBObullet">
    <w:name w:val="PBO bullet"/>
    <w:basedOn w:val="Normal"/>
    <w:rsid w:val="00FB2F79"/>
    <w:pPr>
      <w:numPr>
        <w:numId w:val="19"/>
      </w:numPr>
      <w:spacing w:before="240" w:after="0" w:line="240" w:lineRule="auto"/>
    </w:pPr>
    <w:rPr>
      <w:rFonts w:ascii="Times New Roman" w:hAnsi="Times New Roman" w:cs="Times New Roman"/>
      <w:sz w:val="24"/>
      <w:szCs w:val="24"/>
    </w:rPr>
  </w:style>
  <w:style w:type="paragraph" w:customStyle="1" w:styleId="Proformatext">
    <w:name w:val="Pro forma text"/>
    <w:basedOn w:val="Normal"/>
    <w:rsid w:val="0043430F"/>
    <w:pPr>
      <w:spacing w:before="80" w:after="80" w:line="260" w:lineRule="exact"/>
    </w:pPr>
    <w:rPr>
      <w:rFonts w:ascii="Book Antiqua" w:eastAsia="Times New Roman" w:hAnsi="Book Antiqu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paragraph" w:styleId="Heading7">
    <w:name w:val="heading 7"/>
    <w:basedOn w:val="Normal"/>
    <w:next w:val="Normal"/>
    <w:link w:val="Heading7Char"/>
    <w:uiPriority w:val="9"/>
    <w:unhideWhenUsed/>
    <w:rsid w:val="00FB2F79"/>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815206"/>
    <w:rPr>
      <w:rFonts w:eastAsia="Times New Roman" w:cs="Times New Roman"/>
      <w:spacing w:val="0"/>
      <w:lang w:eastAsia="en-AU"/>
    </w:rPr>
  </w:style>
  <w:style w:type="paragraph" w:customStyle="1" w:styleId="Bullet2">
    <w:name w:val="Bullet 2"/>
    <w:basedOn w:val="ListBullet2"/>
    <w:link w:val="Bullet2Char"/>
    <w:qFormat/>
    <w:rsid w:val="00815206"/>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815206"/>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15206"/>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FootnoteText">
    <w:name w:val="footnote text"/>
    <w:basedOn w:val="Normal"/>
    <w:link w:val="FootnoteTextChar"/>
    <w:uiPriority w:val="99"/>
    <w:semiHidden/>
    <w:unhideWhenUsed/>
    <w:rsid w:val="00B61A58"/>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61A5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1A58"/>
    <w:rPr>
      <w:vertAlign w:val="superscript"/>
    </w:rPr>
  </w:style>
  <w:style w:type="paragraph" w:customStyle="1" w:styleId="Bullet4">
    <w:name w:val="Bullet 4"/>
    <w:basedOn w:val="Normal"/>
    <w:qFormat/>
    <w:rsid w:val="00B61A58"/>
    <w:pPr>
      <w:spacing w:before="120" w:after="0" w:line="240" w:lineRule="auto"/>
      <w:ind w:left="1135" w:hanging="284"/>
    </w:pPr>
    <w:rPr>
      <w:rFonts w:ascii="Times New Roman" w:eastAsia="Times New Roman" w:hAnsi="Times New Roman" w:cs="Times New Roman"/>
      <w:sz w:val="24"/>
      <w:szCs w:val="20"/>
      <w:lang w:eastAsia="en-AU"/>
    </w:rPr>
  </w:style>
  <w:style w:type="paragraph" w:styleId="Quote">
    <w:name w:val="Quote"/>
    <w:basedOn w:val="Normal"/>
    <w:next w:val="Normal"/>
    <w:link w:val="QuoteChar"/>
    <w:uiPriority w:val="29"/>
    <w:rsid w:val="009E54B2"/>
    <w:pPr>
      <w:spacing w:before="240" w:after="0" w:line="240" w:lineRule="auto"/>
    </w:pPr>
    <w:rPr>
      <w:rFonts w:ascii="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9E54B2"/>
    <w:rPr>
      <w:rFonts w:ascii="Times New Roman" w:hAnsi="Times New Roman" w:cs="Times New Roman"/>
      <w:i/>
      <w:iCs/>
      <w:color w:val="000000" w:themeColor="text1"/>
      <w:sz w:val="24"/>
      <w:szCs w:val="24"/>
    </w:rPr>
  </w:style>
  <w:style w:type="character" w:customStyle="1" w:styleId="Heading7Char">
    <w:name w:val="Heading 7 Char"/>
    <w:basedOn w:val="DefaultParagraphFont"/>
    <w:link w:val="Heading7"/>
    <w:uiPriority w:val="9"/>
    <w:rsid w:val="00FB2F79"/>
    <w:rPr>
      <w:rFonts w:asciiTheme="majorHAnsi" w:eastAsiaTheme="majorEastAsia" w:hAnsiTheme="majorHAnsi" w:cstheme="majorBidi"/>
      <w:i/>
      <w:iCs/>
      <w:color w:val="404040" w:themeColor="text1" w:themeTint="BF"/>
      <w:sz w:val="24"/>
      <w:szCs w:val="24"/>
    </w:rPr>
  </w:style>
  <w:style w:type="paragraph" w:customStyle="1" w:styleId="PBObullet">
    <w:name w:val="PBO bullet"/>
    <w:basedOn w:val="Normal"/>
    <w:rsid w:val="00FB2F79"/>
    <w:pPr>
      <w:numPr>
        <w:numId w:val="19"/>
      </w:numPr>
      <w:spacing w:before="240" w:after="0" w:line="240" w:lineRule="auto"/>
    </w:pPr>
    <w:rPr>
      <w:rFonts w:ascii="Times New Roman" w:hAnsi="Times New Roman" w:cs="Times New Roman"/>
      <w:sz w:val="24"/>
      <w:szCs w:val="24"/>
    </w:rPr>
  </w:style>
  <w:style w:type="paragraph" w:customStyle="1" w:styleId="Proformatext">
    <w:name w:val="Pro forma text"/>
    <w:basedOn w:val="Normal"/>
    <w:rsid w:val="0043430F"/>
    <w:pPr>
      <w:spacing w:before="80" w:after="80" w:line="260" w:lineRule="exact"/>
    </w:pPr>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3E58952-EFD7-483F-A502-ACECE059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8</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PBO - GRN031 - Investing in Early Childhood Educators - 29 June 2016</vt:lpstr>
    </vt:vector>
  </TitlesOfParts>
  <Company>Parliament of Australia</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GRN031 - Investing in Early Childhood Educators - 29 June 2016</dc:title>
  <dc:creator>Parliamentary Budget Office</dc:creator>
  <cp:lastModifiedBy>Milligan, Louise (PBO)</cp:lastModifiedBy>
  <cp:revision>44</cp:revision>
  <cp:lastPrinted>2016-06-21T05:06:00Z</cp:lastPrinted>
  <dcterms:created xsi:type="dcterms:W3CDTF">2016-06-22T05:33:00Z</dcterms:created>
  <dcterms:modified xsi:type="dcterms:W3CDTF">2016-06-29T05:43:00Z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