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CE" w:rsidRDefault="006B163D" w:rsidP="00C17112">
      <w:pPr>
        <w:spacing w:before="15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Richard Di Natale </w:t>
      </w:r>
    </w:p>
    <w:p w:rsidR="00040DCE" w:rsidRPr="00002D5D" w:rsidRDefault="006B163D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 of the Australian Greens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Parliament House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CANBERRA  ACT  2600</w:t>
      </w:r>
    </w:p>
    <w:p w:rsidR="006B163D" w:rsidRPr="00002D5D" w:rsidRDefault="006B163D" w:rsidP="006B163D">
      <w:pPr>
        <w:spacing w:before="48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 xml:space="preserve">Dear </w:t>
      </w:r>
      <w:r w:rsidRPr="00177F24">
        <w:rPr>
          <w:rFonts w:ascii="Times New Roman" w:hAnsi="Times New Roman" w:cs="Times New Roman"/>
          <w:sz w:val="24"/>
          <w:szCs w:val="24"/>
        </w:rPr>
        <w:t>Senator Di Natale</w:t>
      </w:r>
    </w:p>
    <w:p w:rsidR="00040DCE" w:rsidRPr="00002D5D" w:rsidRDefault="00040DCE" w:rsidP="00C17112">
      <w:pPr>
        <w:pStyle w:val="Lettertext"/>
      </w:pPr>
      <w:r w:rsidRPr="00002D5D">
        <w:t>Please find attached a re</w:t>
      </w:r>
      <w:r w:rsidR="008E222D">
        <w:t xml:space="preserve">sponse to your costing request, </w:t>
      </w:r>
      <w:proofErr w:type="gramStart"/>
      <w:r w:rsidR="006B163D" w:rsidRPr="008E222D">
        <w:rPr>
          <w:i/>
        </w:rPr>
        <w:t>Investing</w:t>
      </w:r>
      <w:proofErr w:type="gramEnd"/>
      <w:r w:rsidR="006B163D" w:rsidRPr="008E222D">
        <w:rPr>
          <w:i/>
        </w:rPr>
        <w:t xml:space="preserve"> in </w:t>
      </w:r>
      <w:r w:rsidR="000C6475">
        <w:rPr>
          <w:i/>
        </w:rPr>
        <w:t>P</w:t>
      </w:r>
      <w:r w:rsidR="006B163D" w:rsidRPr="008E222D">
        <w:rPr>
          <w:i/>
        </w:rPr>
        <w:t>re-</w:t>
      </w:r>
      <w:r w:rsidR="000C6475">
        <w:rPr>
          <w:i/>
        </w:rPr>
        <w:t>S</w:t>
      </w:r>
      <w:r w:rsidR="006B163D" w:rsidRPr="008E222D">
        <w:rPr>
          <w:i/>
        </w:rPr>
        <w:t>chool</w:t>
      </w:r>
      <w:r w:rsidR="00C84861">
        <w:t xml:space="preserve"> (letter </w:t>
      </w:r>
      <w:r w:rsidRPr="00002D5D">
        <w:t xml:space="preserve">of </w:t>
      </w:r>
      <w:r w:rsidR="006B163D">
        <w:t>2</w:t>
      </w:r>
      <w:r w:rsidR="00DE2FF2">
        <w:t>8</w:t>
      </w:r>
      <w:r w:rsidR="006B163D">
        <w:t xml:space="preserve"> June</w:t>
      </w:r>
      <w:r w:rsidRPr="00002D5D">
        <w:t xml:space="preserve"> 2016).</w:t>
      </w:r>
    </w:p>
    <w:p w:rsidR="00040DCE" w:rsidRPr="00002D5D" w:rsidRDefault="00040DCE" w:rsidP="00C17112">
      <w:pPr>
        <w:pStyle w:val="Lettertext"/>
      </w:pPr>
      <w:r w:rsidRPr="00002D5D">
        <w:t>The response to this request will be released on the PBO website (</w:t>
      </w:r>
      <w:hyperlink r:id="rId9" w:history="1">
        <w:r w:rsidRPr="00002D5D">
          <w:rPr>
            <w:rStyle w:val="Hyperlink"/>
          </w:rPr>
          <w:t>www.</w:t>
        </w:r>
        <w:r w:rsidR="00B44D8A">
          <w:rPr>
            <w:rStyle w:val="Hyperlink"/>
          </w:rPr>
          <w:t>pbo.gov.au</w:t>
        </w:r>
      </w:hyperlink>
      <w:r w:rsidRPr="00002D5D">
        <w:t>).</w:t>
      </w:r>
    </w:p>
    <w:p w:rsidR="00040DCE" w:rsidRPr="00002D5D" w:rsidRDefault="00040DCE" w:rsidP="00C17112">
      <w:pPr>
        <w:pStyle w:val="Lettertext"/>
      </w:pPr>
      <w:r w:rsidRPr="00002D5D">
        <w:t xml:space="preserve">If you have any queries about this costing, please </w:t>
      </w:r>
      <w:r w:rsidR="00F75D33">
        <w:t>contact Colin </w:t>
      </w:r>
      <w:r w:rsidR="003D7744">
        <w:t>Brown on (02) </w:t>
      </w:r>
      <w:r w:rsidRPr="00002D5D">
        <w:t>6277</w:t>
      </w:r>
      <w:r w:rsidR="003D7744">
        <w:t> </w:t>
      </w:r>
      <w:r w:rsidRPr="00002D5D">
        <w:t>9530.</w:t>
      </w:r>
    </w:p>
    <w:p w:rsidR="00040DCE" w:rsidRPr="00002D5D" w:rsidRDefault="00040DCE" w:rsidP="00C17112">
      <w:pPr>
        <w:pStyle w:val="Lettertext"/>
      </w:pPr>
      <w:r w:rsidRPr="00002D5D">
        <w:t>Yours sincerely</w:t>
      </w:r>
    </w:p>
    <w:p w:rsidR="00040DCE" w:rsidRPr="00002D5D" w:rsidRDefault="00DA1C8A" w:rsidP="00C17112">
      <w:pPr>
        <w:spacing w:before="960" w:after="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>Phil Bowen</w:t>
      </w:r>
    </w:p>
    <w:p w:rsidR="00096F3A" w:rsidRPr="00002D5D" w:rsidRDefault="00607B2C" w:rsidP="00607B2C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</w:t>
      </w:r>
      <w:r w:rsidR="006B163D">
        <w:rPr>
          <w:rFonts w:ascii="Times New Roman" w:hAnsi="Times New Roman" w:cs="Times New Roman"/>
          <w:sz w:val="24"/>
          <w:szCs w:val="24"/>
        </w:rPr>
        <w:t>June</w:t>
      </w:r>
      <w:r w:rsidR="00040DCE" w:rsidRPr="00002D5D">
        <w:rPr>
          <w:rFonts w:ascii="Times New Roman" w:hAnsi="Times New Roman" w:cs="Times New Roman"/>
          <w:sz w:val="24"/>
          <w:szCs w:val="24"/>
        </w:rPr>
        <w:t xml:space="preserve"> </w:t>
      </w:r>
      <w:r w:rsidR="00DA1C8A" w:rsidRPr="00002D5D">
        <w:rPr>
          <w:rFonts w:ascii="Times New Roman" w:hAnsi="Times New Roman" w:cs="Times New Roman"/>
          <w:sz w:val="24"/>
          <w:szCs w:val="24"/>
        </w:rPr>
        <w:t>2016</w:t>
      </w: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  <w:sectPr w:rsidR="00040DCE" w:rsidRPr="00002D5D" w:rsidSect="00002D5D">
          <w:footerReference w:type="default" r:id="rId10"/>
          <w:headerReference w:type="first" r:id="rId11"/>
          <w:footerReference w:type="first" r:id="rId12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8F588A" w:rsidRDefault="008F588A" w:rsidP="00002D5D">
      <w:pPr>
        <w:pStyle w:val="Heading1"/>
      </w:pPr>
      <w:r w:rsidRPr="00002D5D">
        <w:lastRenderedPageBreak/>
        <w:t xml:space="preserve">Policy costing—during the caretaker period for </w:t>
      </w:r>
      <w:r w:rsidR="007D33AA" w:rsidRPr="00002D5D">
        <w:t>the 2016</w:t>
      </w:r>
      <w:r w:rsidR="00002D5D" w:rsidRPr="00002D5D">
        <w:t> </w:t>
      </w:r>
      <w:r w:rsidRPr="00002D5D">
        <w:t>general election</w:t>
      </w:r>
    </w:p>
    <w:tbl>
      <w:tblPr>
        <w:tblStyle w:val="Style1"/>
        <w:tblW w:w="8340" w:type="dxa"/>
        <w:tblLook w:val="04A0" w:firstRow="1" w:lastRow="0" w:firstColumn="1" w:lastColumn="0" w:noHBand="0" w:noVBand="1"/>
      </w:tblPr>
      <w:tblGrid>
        <w:gridCol w:w="3005"/>
        <w:gridCol w:w="5335"/>
      </w:tblGrid>
      <w:tr w:rsidR="004D5525" w:rsidRPr="00F13587" w:rsidTr="00D52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5" w:type="dxa"/>
          </w:tcPr>
          <w:p w:rsidR="004D5525" w:rsidRPr="00F13587" w:rsidRDefault="004D5525" w:rsidP="004D5525">
            <w:pPr>
              <w:pStyle w:val="BodyText"/>
              <w:rPr>
                <w:sz w:val="22"/>
              </w:rPr>
            </w:pPr>
            <w:r w:rsidRPr="00F13587">
              <w:rPr>
                <w:sz w:val="22"/>
              </w:rPr>
              <w:t>Name of proposal:</w:t>
            </w:r>
          </w:p>
        </w:tc>
        <w:tc>
          <w:tcPr>
            <w:tcW w:w="5335" w:type="dxa"/>
          </w:tcPr>
          <w:p w:rsidR="004D5525" w:rsidRPr="00F13587" w:rsidRDefault="006B163D" w:rsidP="000C6475">
            <w:pPr>
              <w:pStyle w:val="BodyText"/>
              <w:rPr>
                <w:sz w:val="22"/>
              </w:rPr>
            </w:pPr>
            <w:r w:rsidRPr="00F13587">
              <w:rPr>
                <w:sz w:val="22"/>
              </w:rPr>
              <w:t xml:space="preserve">Investing in </w:t>
            </w:r>
            <w:r w:rsidR="000C6475" w:rsidRPr="00F13587">
              <w:rPr>
                <w:sz w:val="22"/>
              </w:rPr>
              <w:t>P</w:t>
            </w:r>
            <w:r w:rsidRPr="00F13587">
              <w:rPr>
                <w:sz w:val="22"/>
              </w:rPr>
              <w:t>re-</w:t>
            </w:r>
            <w:r w:rsidR="000C6475" w:rsidRPr="00F13587">
              <w:rPr>
                <w:sz w:val="22"/>
              </w:rPr>
              <w:t>S</w:t>
            </w:r>
            <w:r w:rsidRPr="00F13587">
              <w:rPr>
                <w:sz w:val="22"/>
              </w:rPr>
              <w:t>chool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Summary of proposal:</w:t>
            </w:r>
          </w:p>
        </w:tc>
        <w:tc>
          <w:tcPr>
            <w:tcW w:w="5335" w:type="dxa"/>
          </w:tcPr>
          <w:p w:rsidR="006B163D" w:rsidRDefault="004D5525" w:rsidP="004D5525">
            <w:r w:rsidRPr="008848D3">
              <w:t xml:space="preserve">The proposal would </w:t>
            </w:r>
            <w:r w:rsidR="006B163D" w:rsidRPr="008848D3">
              <w:t>extend the existing National Partnership Agreement on Universal Access to Early Childhood Education from 1 July 2017 to 30 June 2020.</w:t>
            </w:r>
          </w:p>
          <w:p w:rsidR="004D5525" w:rsidRDefault="004D5525" w:rsidP="006B163D">
            <w:pPr>
              <w:pStyle w:val="BodyText"/>
            </w:pPr>
            <w:r w:rsidRPr="008848D3">
              <w:t xml:space="preserve">The proposal would have effect from </w:t>
            </w:r>
            <w:r w:rsidR="006B163D" w:rsidRPr="008848D3">
              <w:t>1 July 2017.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Person/party requesting costing:</w:t>
            </w:r>
          </w:p>
        </w:tc>
        <w:tc>
          <w:tcPr>
            <w:tcW w:w="5335" w:type="dxa"/>
          </w:tcPr>
          <w:p w:rsidR="004D5525" w:rsidRDefault="006B163D" w:rsidP="004D5525">
            <w:pPr>
              <w:pStyle w:val="BodyText"/>
            </w:pPr>
            <w:r w:rsidRPr="00E36690">
              <w:t>Senator Richard Di Natale, Australian Greens</w:t>
            </w:r>
          </w:p>
        </w:tc>
      </w:tr>
      <w:tr w:rsidR="007D3577" w:rsidTr="00060F22">
        <w:tc>
          <w:tcPr>
            <w:tcW w:w="3005" w:type="dxa"/>
          </w:tcPr>
          <w:p w:rsidR="007D3577" w:rsidRDefault="007D3577" w:rsidP="00060F22">
            <w:pPr>
              <w:pStyle w:val="BodyText"/>
            </w:pPr>
            <w:r>
              <w:t>Date of public release of policy:</w:t>
            </w:r>
          </w:p>
        </w:tc>
        <w:tc>
          <w:tcPr>
            <w:tcW w:w="5335" w:type="dxa"/>
          </w:tcPr>
          <w:p w:rsidR="00CB316F" w:rsidRDefault="00CB316F" w:rsidP="00060F22">
            <w:pPr>
              <w:pStyle w:val="BodyText"/>
            </w:pPr>
            <w:r>
              <w:t>21 June 2016</w:t>
            </w:r>
          </w:p>
          <w:p w:rsidR="007D3577" w:rsidRPr="00C17112" w:rsidRDefault="00277E82" w:rsidP="00F9172D">
            <w:pPr>
              <w:pStyle w:val="BodyText"/>
            </w:pPr>
            <w:hyperlink r:id="rId13" w:history="1">
              <w:r w:rsidR="000370A8" w:rsidRPr="000370A8">
                <w:rPr>
                  <w:rStyle w:val="Hyperlink"/>
                </w:rPr>
                <w:t>http://greens.org.au/childcare</w:t>
              </w:r>
            </w:hyperlink>
          </w:p>
        </w:tc>
      </w:tr>
      <w:tr w:rsidR="006B163D" w:rsidTr="00D52D5F">
        <w:tc>
          <w:tcPr>
            <w:tcW w:w="3005" w:type="dxa"/>
          </w:tcPr>
          <w:p w:rsidR="006B163D" w:rsidRDefault="006B163D" w:rsidP="004D5525">
            <w:pPr>
              <w:pStyle w:val="BodyText"/>
            </w:pPr>
            <w:r>
              <w:t>Date costing request received:</w:t>
            </w:r>
          </w:p>
        </w:tc>
        <w:tc>
          <w:tcPr>
            <w:tcW w:w="5335" w:type="dxa"/>
          </w:tcPr>
          <w:p w:rsidR="006B163D" w:rsidRDefault="006B163D" w:rsidP="001607AC">
            <w:r w:rsidRPr="005F3684">
              <w:t>2</w:t>
            </w:r>
            <w:r w:rsidR="001607AC">
              <w:t>8</w:t>
            </w:r>
            <w:r w:rsidRPr="005F3684">
              <w:t xml:space="preserve"> June 2016</w:t>
            </w:r>
          </w:p>
        </w:tc>
      </w:tr>
      <w:tr w:rsidR="006B163D" w:rsidTr="00D52D5F">
        <w:tc>
          <w:tcPr>
            <w:tcW w:w="3005" w:type="dxa"/>
          </w:tcPr>
          <w:p w:rsidR="006B163D" w:rsidRDefault="006B163D" w:rsidP="004D5525">
            <w:pPr>
              <w:pStyle w:val="BodyText"/>
            </w:pPr>
            <w:r>
              <w:t>Date costing completed</w:t>
            </w:r>
          </w:p>
        </w:tc>
        <w:tc>
          <w:tcPr>
            <w:tcW w:w="5335" w:type="dxa"/>
          </w:tcPr>
          <w:p w:rsidR="006B163D" w:rsidRDefault="006B163D" w:rsidP="00EC778E">
            <w:r w:rsidRPr="005F3684">
              <w:t>2</w:t>
            </w:r>
            <w:r w:rsidR="00EC778E">
              <w:t>8</w:t>
            </w:r>
            <w:r w:rsidRPr="005F3684">
              <w:t xml:space="preserve"> June 2016</w:t>
            </w:r>
          </w:p>
        </w:tc>
      </w:tr>
      <w:tr w:rsidR="004D5525" w:rsidTr="00D52D5F">
        <w:tc>
          <w:tcPr>
            <w:tcW w:w="3005" w:type="dxa"/>
          </w:tcPr>
          <w:p w:rsidR="004D5525" w:rsidRPr="00220BE5" w:rsidRDefault="004D5525" w:rsidP="004D5525">
            <w:pPr>
              <w:pStyle w:val="BodyText"/>
            </w:pPr>
            <w:r w:rsidRPr="00220BE5">
              <w:t>Expiry date for the costing:</w:t>
            </w:r>
          </w:p>
        </w:tc>
        <w:tc>
          <w:tcPr>
            <w:tcW w:w="5335" w:type="dxa"/>
          </w:tcPr>
          <w:p w:rsidR="004D5525" w:rsidRPr="00220BE5" w:rsidRDefault="00F4535C" w:rsidP="00220BE5">
            <w:pPr>
              <w:pStyle w:val="BodyText"/>
            </w:pPr>
            <w:r>
              <w:t>Release of the next economic and fiscal outlook report</w:t>
            </w:r>
          </w:p>
        </w:tc>
      </w:tr>
    </w:tbl>
    <w:p w:rsidR="0055581F" w:rsidRPr="00002D5D" w:rsidRDefault="008030EC" w:rsidP="00FC6579">
      <w:pPr>
        <w:pStyle w:val="Heading2"/>
      </w:pPr>
      <w:r w:rsidRPr="00002D5D">
        <w:t>Costing overview</w:t>
      </w:r>
    </w:p>
    <w:p w:rsidR="00054CEE" w:rsidRDefault="008848D3" w:rsidP="00054CEE">
      <w:r w:rsidRPr="008848D3">
        <w:t xml:space="preserve">This proposal would be expected to decrease </w:t>
      </w:r>
      <w:r w:rsidR="00087331">
        <w:t xml:space="preserve">both </w:t>
      </w:r>
      <w:r w:rsidRPr="008848D3">
        <w:t xml:space="preserve">the fiscal </w:t>
      </w:r>
      <w:r w:rsidR="00087331">
        <w:t xml:space="preserve">and underlying cash </w:t>
      </w:r>
      <w:r w:rsidRPr="008848D3">
        <w:t>balance</w:t>
      </w:r>
      <w:r w:rsidR="00087331">
        <w:t>s</w:t>
      </w:r>
      <w:r w:rsidRPr="008848D3">
        <w:t xml:space="preserve"> by $</w:t>
      </w:r>
      <w:r w:rsidR="009B0265">
        <w:t>1</w:t>
      </w:r>
      <w:r w:rsidR="00876CA8">
        <w:t>,</w:t>
      </w:r>
      <w:bookmarkStart w:id="0" w:name="_GoBack"/>
      <w:bookmarkEnd w:id="0"/>
      <w:r w:rsidR="009B0265">
        <w:t>010.0 </w:t>
      </w:r>
      <w:r w:rsidRPr="008848D3">
        <w:t>million over the 2016-17 Budget forward estimates period.</w:t>
      </w:r>
      <w:r w:rsidR="00087331">
        <w:t xml:space="preserve">  </w:t>
      </w:r>
      <w:r w:rsidR="00087331" w:rsidRPr="00362C45">
        <w:t xml:space="preserve">The financial implications </w:t>
      </w:r>
      <w:r w:rsidR="00087331">
        <w:t>entirely reflect administered expenses related to the continuation of the National Partnership</w:t>
      </w:r>
      <w:r w:rsidR="00677BDD">
        <w:t xml:space="preserve"> </w:t>
      </w:r>
      <w:r w:rsidR="00677BDD" w:rsidRPr="008848D3">
        <w:t>Agreement on Universal Access to Early Childhood Education</w:t>
      </w:r>
      <w:r w:rsidR="00CB316F">
        <w:t xml:space="preserve"> (the Agreement)</w:t>
      </w:r>
      <w:r w:rsidR="00087331">
        <w:t>.</w:t>
      </w:r>
    </w:p>
    <w:p w:rsidR="00054CEE" w:rsidRDefault="00054CEE" w:rsidP="00087331">
      <w:r w:rsidRPr="00054CEE">
        <w:rPr>
          <w:bCs/>
          <w:iCs/>
        </w:rPr>
        <w:t xml:space="preserve">Consistent with the current arrangements, the proposed extension of the </w:t>
      </w:r>
      <w:r w:rsidR="00F1738E">
        <w:rPr>
          <w:bCs/>
          <w:iCs/>
        </w:rPr>
        <w:t>A</w:t>
      </w:r>
      <w:r w:rsidR="00F1738E" w:rsidRPr="00054CEE">
        <w:rPr>
          <w:bCs/>
          <w:iCs/>
        </w:rPr>
        <w:t xml:space="preserve">greement </w:t>
      </w:r>
      <w:r>
        <w:rPr>
          <w:bCs/>
          <w:iCs/>
        </w:rPr>
        <w:t xml:space="preserve">would not be </w:t>
      </w:r>
      <w:r w:rsidRPr="00054CEE">
        <w:rPr>
          <w:bCs/>
          <w:iCs/>
        </w:rPr>
        <w:t xml:space="preserve">expected to involve any </w:t>
      </w:r>
      <w:r w:rsidR="00677BDD">
        <w:rPr>
          <w:bCs/>
          <w:iCs/>
        </w:rPr>
        <w:t xml:space="preserve">Commonwealth </w:t>
      </w:r>
      <w:r w:rsidRPr="00054CEE">
        <w:rPr>
          <w:bCs/>
          <w:iCs/>
        </w:rPr>
        <w:t>departmental costs</w:t>
      </w:r>
      <w:r w:rsidR="00D00E86">
        <w:rPr>
          <w:bCs/>
          <w:iCs/>
        </w:rPr>
        <w:t xml:space="preserve"> as the services being funded are delivered by states and territories</w:t>
      </w:r>
      <w:r w:rsidRPr="00054CEE">
        <w:rPr>
          <w:bCs/>
          <w:iCs/>
        </w:rPr>
        <w:t>.</w:t>
      </w:r>
    </w:p>
    <w:p w:rsidR="00087331" w:rsidRDefault="00677BDD" w:rsidP="00087331">
      <w:r>
        <w:t>As specified, t</w:t>
      </w:r>
      <w:r w:rsidR="00087331">
        <w:t xml:space="preserve">he proposal would not have </w:t>
      </w:r>
      <w:r>
        <w:t xml:space="preserve">ongoing </w:t>
      </w:r>
      <w:r w:rsidR="00087331">
        <w:t xml:space="preserve">financial </w:t>
      </w:r>
      <w:r w:rsidR="00612040">
        <w:t>implications beyond the 2016</w:t>
      </w:r>
      <w:r w:rsidR="00612040">
        <w:noBreakHyphen/>
        <w:t>17 </w:t>
      </w:r>
      <w:r w:rsidR="00087331">
        <w:t>Budget forward estimates period</w:t>
      </w:r>
      <w:r w:rsidR="00D00E86">
        <w:t xml:space="preserve"> as the proposed extension to the Agreement would cease on 30 June 2020</w:t>
      </w:r>
      <w:r w:rsidR="00793F24">
        <w:t>.</w:t>
      </w:r>
    </w:p>
    <w:p w:rsidR="00087331" w:rsidRPr="00E26F7C" w:rsidRDefault="00087331" w:rsidP="00087331">
      <w:r>
        <w:t>This costing is considered to be of medium</w:t>
      </w:r>
      <w:r w:rsidRPr="00FD6A12">
        <w:t xml:space="preserve"> </w:t>
      </w:r>
      <w:r w:rsidR="00054CEE">
        <w:t xml:space="preserve">reliability as it is based on </w:t>
      </w:r>
      <w:r w:rsidR="00054CEE">
        <w:rPr>
          <w:lang w:eastAsia="en-AU"/>
        </w:rPr>
        <w:t>assumptions regarding levels of enrolment and attendance targets.</w:t>
      </w:r>
    </w:p>
    <w:p w:rsidR="005E3562" w:rsidRPr="00FC6579" w:rsidRDefault="005E3562" w:rsidP="00FC6579">
      <w:pPr>
        <w:pStyle w:val="Captionheading"/>
      </w:pPr>
      <w:r w:rsidRPr="00FC6579">
        <w:lastRenderedPageBreak/>
        <w:t xml:space="preserve">Table </w:t>
      </w:r>
      <w:r w:rsidR="001A02D1" w:rsidRPr="00FC6579">
        <w:t>1</w:t>
      </w:r>
      <w:r w:rsidRPr="00FC6579">
        <w:t>: Financial implications (outturn prices</w:t>
      </w:r>
      <w:proofErr w:type="gramStart"/>
      <w:r w:rsidRPr="00FC6579">
        <w:t>)</w:t>
      </w:r>
      <w:r w:rsidRPr="00844776">
        <w:rPr>
          <w:vertAlign w:val="superscript"/>
        </w:rPr>
        <w:t>(</w:t>
      </w:r>
      <w:proofErr w:type="gramEnd"/>
      <w:r w:rsidRPr="00844776">
        <w:rPr>
          <w:vertAlign w:val="superscript"/>
        </w:rPr>
        <w:t>a)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5"/>
        <w:gridCol w:w="1134"/>
        <w:gridCol w:w="1133"/>
        <w:gridCol w:w="1133"/>
        <w:gridCol w:w="1133"/>
        <w:gridCol w:w="1132"/>
      </w:tblGrid>
      <w:tr w:rsidR="00692DD8" w:rsidRPr="00B73AC8" w:rsidTr="00793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  <w:vAlign w:val="center"/>
          </w:tcPr>
          <w:p w:rsidR="00CA5D42" w:rsidRPr="00B73AC8" w:rsidRDefault="00CA5D42" w:rsidP="00793F24">
            <w:pPr>
              <w:pStyle w:val="TableText"/>
              <w:keepNext/>
              <w:keepLines/>
              <w:spacing w:line="240" w:lineRule="auto"/>
              <w:ind w:left="57" w:right="57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Impact on</w:t>
            </w:r>
            <w:r w:rsidR="00461597">
              <w:rPr>
                <w:rFonts w:ascii="Calibri" w:hAnsi="Calibri"/>
                <w:szCs w:val="20"/>
              </w:rPr>
              <w:t xml:space="preserve"> ($m)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793F24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2016–17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793F24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2017–18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793F24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2018–19</w:t>
            </w:r>
          </w:p>
        </w:tc>
        <w:tc>
          <w:tcPr>
            <w:tcW w:w="682" w:type="pct"/>
            <w:vAlign w:val="center"/>
          </w:tcPr>
          <w:p w:rsidR="00CA5D42" w:rsidRPr="00793F24" w:rsidRDefault="00CA5D42" w:rsidP="00793F24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793F24">
              <w:rPr>
                <w:rFonts w:ascii="Calibri" w:hAnsi="Calibri"/>
                <w:szCs w:val="20"/>
              </w:rPr>
              <w:t>2019–20</w:t>
            </w:r>
          </w:p>
        </w:tc>
        <w:tc>
          <w:tcPr>
            <w:tcW w:w="681" w:type="pct"/>
            <w:vAlign w:val="center"/>
          </w:tcPr>
          <w:p w:rsidR="00CA5D42" w:rsidRPr="00F97DFF" w:rsidRDefault="00CA5D42" w:rsidP="00793F24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F97DFF">
              <w:rPr>
                <w:rFonts w:ascii="Calibri" w:hAnsi="Calibri"/>
                <w:b/>
                <w:szCs w:val="20"/>
              </w:rPr>
              <w:t>Total</w:t>
            </w:r>
          </w:p>
        </w:tc>
      </w:tr>
      <w:tr w:rsidR="008848D3" w:rsidRPr="00B73AC8" w:rsidTr="00793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8848D3" w:rsidRPr="00B73AC8" w:rsidRDefault="008848D3" w:rsidP="00793F24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Fiscal balance</w:t>
            </w:r>
          </w:p>
        </w:tc>
        <w:tc>
          <w:tcPr>
            <w:tcW w:w="682" w:type="pct"/>
          </w:tcPr>
          <w:p w:rsidR="008848D3" w:rsidRPr="00B73AC8" w:rsidRDefault="008848D3" w:rsidP="00793F24">
            <w:pPr>
              <w:pStyle w:val="TableTextCentred"/>
              <w:keepNext/>
              <w:keepLines/>
              <w:spacing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</w:p>
        </w:tc>
        <w:tc>
          <w:tcPr>
            <w:tcW w:w="682" w:type="pct"/>
          </w:tcPr>
          <w:p w:rsidR="008848D3" w:rsidRPr="008848D3" w:rsidRDefault="008848D3" w:rsidP="00793F24">
            <w:pPr>
              <w:pStyle w:val="TableTextCentred"/>
              <w:keepNext/>
              <w:keepLines/>
              <w:spacing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noProof/>
                <w:szCs w:val="20"/>
              </w:rPr>
            </w:pPr>
            <w:r w:rsidRPr="008848D3">
              <w:rPr>
                <w:rFonts w:ascii="Calibri" w:hAnsi="Calibri"/>
                <w:noProof/>
                <w:szCs w:val="20"/>
              </w:rPr>
              <w:t>-130</w:t>
            </w:r>
            <w:r w:rsidR="00B85D1D">
              <w:rPr>
                <w:rFonts w:ascii="Calibri" w:hAnsi="Calibri"/>
                <w:noProof/>
                <w:szCs w:val="20"/>
              </w:rPr>
              <w:t>.0</w:t>
            </w:r>
          </w:p>
        </w:tc>
        <w:tc>
          <w:tcPr>
            <w:tcW w:w="682" w:type="pct"/>
          </w:tcPr>
          <w:p w:rsidR="008848D3" w:rsidRPr="008848D3" w:rsidRDefault="008848D3" w:rsidP="00793F24">
            <w:pPr>
              <w:pStyle w:val="TableTextCentred"/>
              <w:keepNext/>
              <w:keepLines/>
              <w:spacing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noProof/>
                <w:szCs w:val="20"/>
              </w:rPr>
            </w:pPr>
            <w:r w:rsidRPr="008848D3">
              <w:rPr>
                <w:rFonts w:ascii="Calibri" w:hAnsi="Calibri"/>
                <w:noProof/>
                <w:szCs w:val="20"/>
              </w:rPr>
              <w:t>-435</w:t>
            </w:r>
            <w:r w:rsidR="00B85D1D">
              <w:rPr>
                <w:rFonts w:ascii="Calibri" w:hAnsi="Calibri"/>
                <w:noProof/>
                <w:szCs w:val="20"/>
              </w:rPr>
              <w:t>.0</w:t>
            </w:r>
          </w:p>
        </w:tc>
        <w:tc>
          <w:tcPr>
            <w:tcW w:w="682" w:type="pct"/>
          </w:tcPr>
          <w:p w:rsidR="008848D3" w:rsidRPr="00793F24" w:rsidRDefault="008848D3" w:rsidP="00793F24">
            <w:pPr>
              <w:pStyle w:val="TableTextCentred"/>
              <w:keepNext/>
              <w:keepLines/>
              <w:spacing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noProof/>
                <w:szCs w:val="20"/>
              </w:rPr>
            </w:pPr>
            <w:r w:rsidRPr="00793F24">
              <w:rPr>
                <w:rFonts w:ascii="Calibri" w:hAnsi="Calibri"/>
                <w:noProof/>
                <w:szCs w:val="20"/>
              </w:rPr>
              <w:t>-</w:t>
            </w:r>
            <w:r w:rsidR="0030090B" w:rsidRPr="00793F24">
              <w:rPr>
                <w:rFonts w:ascii="Calibri" w:hAnsi="Calibri"/>
                <w:noProof/>
                <w:szCs w:val="20"/>
              </w:rPr>
              <w:t>445</w:t>
            </w:r>
            <w:r w:rsidR="00B85D1D" w:rsidRPr="00793F24">
              <w:rPr>
                <w:rFonts w:ascii="Calibri" w:hAnsi="Calibri"/>
                <w:noProof/>
                <w:szCs w:val="20"/>
              </w:rPr>
              <w:t>.0</w:t>
            </w:r>
          </w:p>
        </w:tc>
        <w:tc>
          <w:tcPr>
            <w:tcW w:w="681" w:type="pct"/>
          </w:tcPr>
          <w:p w:rsidR="008848D3" w:rsidRPr="008848D3" w:rsidRDefault="008848D3" w:rsidP="00793F24">
            <w:pPr>
              <w:pStyle w:val="TableTextCentred"/>
              <w:keepNext/>
              <w:keepLines/>
              <w:spacing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noProof/>
                <w:szCs w:val="20"/>
              </w:rPr>
            </w:pPr>
            <w:r w:rsidRPr="008848D3">
              <w:rPr>
                <w:rFonts w:ascii="Calibri" w:hAnsi="Calibri"/>
                <w:b/>
                <w:noProof/>
                <w:szCs w:val="20"/>
              </w:rPr>
              <w:t>-</w:t>
            </w:r>
            <w:r w:rsidR="0030090B">
              <w:rPr>
                <w:rFonts w:ascii="Calibri" w:hAnsi="Calibri"/>
                <w:b/>
                <w:noProof/>
                <w:szCs w:val="20"/>
              </w:rPr>
              <w:t>1,010</w:t>
            </w:r>
            <w:r w:rsidR="00B85D1D">
              <w:rPr>
                <w:rFonts w:ascii="Calibri" w:hAnsi="Calibri"/>
                <w:b/>
                <w:noProof/>
                <w:szCs w:val="20"/>
              </w:rPr>
              <w:t>.0</w:t>
            </w:r>
          </w:p>
        </w:tc>
      </w:tr>
      <w:tr w:rsidR="0030090B" w:rsidRPr="00B73AC8" w:rsidTr="00793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30090B" w:rsidRPr="00B73AC8" w:rsidRDefault="0030090B" w:rsidP="00793F24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Underlying cash balance</w:t>
            </w:r>
          </w:p>
        </w:tc>
        <w:tc>
          <w:tcPr>
            <w:tcW w:w="682" w:type="pct"/>
          </w:tcPr>
          <w:p w:rsidR="0030090B" w:rsidRPr="00B73AC8" w:rsidRDefault="0030090B" w:rsidP="00793F24">
            <w:pPr>
              <w:pStyle w:val="TableTextCentred"/>
              <w:keepNext/>
              <w:keepLines/>
              <w:spacing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</w:p>
        </w:tc>
        <w:tc>
          <w:tcPr>
            <w:tcW w:w="682" w:type="pct"/>
          </w:tcPr>
          <w:p w:rsidR="0030090B" w:rsidRPr="008848D3" w:rsidRDefault="0030090B" w:rsidP="00793F24">
            <w:pPr>
              <w:pStyle w:val="TableTextCentred"/>
              <w:keepNext/>
              <w:keepLines/>
              <w:spacing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noProof/>
                <w:szCs w:val="20"/>
              </w:rPr>
            </w:pPr>
            <w:r w:rsidRPr="008848D3">
              <w:rPr>
                <w:rFonts w:ascii="Calibri" w:hAnsi="Calibri"/>
                <w:noProof/>
                <w:szCs w:val="20"/>
              </w:rPr>
              <w:t>-130</w:t>
            </w:r>
            <w:r>
              <w:rPr>
                <w:rFonts w:ascii="Calibri" w:hAnsi="Calibri"/>
                <w:noProof/>
                <w:szCs w:val="20"/>
              </w:rPr>
              <w:t>.0</w:t>
            </w:r>
          </w:p>
        </w:tc>
        <w:tc>
          <w:tcPr>
            <w:tcW w:w="682" w:type="pct"/>
          </w:tcPr>
          <w:p w:rsidR="0030090B" w:rsidRPr="008848D3" w:rsidRDefault="0030090B" w:rsidP="00793F24">
            <w:pPr>
              <w:pStyle w:val="TableTextCentred"/>
              <w:keepNext/>
              <w:keepLines/>
              <w:spacing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noProof/>
                <w:szCs w:val="20"/>
              </w:rPr>
            </w:pPr>
            <w:r w:rsidRPr="008848D3">
              <w:rPr>
                <w:rFonts w:ascii="Calibri" w:hAnsi="Calibri"/>
                <w:noProof/>
                <w:szCs w:val="20"/>
              </w:rPr>
              <w:t>-435</w:t>
            </w:r>
            <w:r>
              <w:rPr>
                <w:rFonts w:ascii="Calibri" w:hAnsi="Calibri"/>
                <w:noProof/>
                <w:szCs w:val="20"/>
              </w:rPr>
              <w:t>.0</w:t>
            </w:r>
          </w:p>
        </w:tc>
        <w:tc>
          <w:tcPr>
            <w:tcW w:w="682" w:type="pct"/>
          </w:tcPr>
          <w:p w:rsidR="0030090B" w:rsidRPr="00793F24" w:rsidRDefault="0030090B" w:rsidP="00793F24">
            <w:pPr>
              <w:pStyle w:val="TableTextCentred"/>
              <w:keepNext/>
              <w:keepLines/>
              <w:spacing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noProof/>
                <w:szCs w:val="20"/>
              </w:rPr>
            </w:pPr>
            <w:r w:rsidRPr="00793F24">
              <w:rPr>
                <w:rFonts w:ascii="Calibri" w:hAnsi="Calibri"/>
                <w:noProof/>
                <w:szCs w:val="20"/>
              </w:rPr>
              <w:t>-445.0</w:t>
            </w:r>
          </w:p>
        </w:tc>
        <w:tc>
          <w:tcPr>
            <w:tcW w:w="681" w:type="pct"/>
          </w:tcPr>
          <w:p w:rsidR="0030090B" w:rsidRPr="008848D3" w:rsidRDefault="0030090B" w:rsidP="00793F24">
            <w:pPr>
              <w:pStyle w:val="TableTextCentred"/>
              <w:keepNext/>
              <w:keepLines/>
              <w:spacing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noProof/>
                <w:szCs w:val="20"/>
              </w:rPr>
            </w:pPr>
            <w:r w:rsidRPr="008848D3">
              <w:rPr>
                <w:rFonts w:ascii="Calibri" w:hAnsi="Calibri"/>
                <w:b/>
                <w:noProof/>
                <w:szCs w:val="20"/>
              </w:rPr>
              <w:t>-</w:t>
            </w:r>
            <w:r>
              <w:rPr>
                <w:rFonts w:ascii="Calibri" w:hAnsi="Calibri"/>
                <w:b/>
                <w:noProof/>
                <w:szCs w:val="20"/>
              </w:rPr>
              <w:t>1,010.0</w:t>
            </w:r>
          </w:p>
        </w:tc>
      </w:tr>
    </w:tbl>
    <w:p w:rsidR="005F40F0" w:rsidRDefault="005F40F0" w:rsidP="002B7EDA">
      <w:pPr>
        <w:pStyle w:val="Footnotes"/>
        <w:numPr>
          <w:ilvl w:val="0"/>
          <w:numId w:val="20"/>
        </w:numPr>
        <w:ind w:left="284" w:hanging="284"/>
      </w:pPr>
      <w:r w:rsidRPr="00FF5D6B">
        <w:t>A positive number indicates an increase in the relevant budget balance, a negative number a decrease.</w:t>
      </w:r>
    </w:p>
    <w:p w:rsidR="00DC6635" w:rsidRPr="00FF5D6B" w:rsidRDefault="00DC6635" w:rsidP="002B7EDA">
      <w:pPr>
        <w:pStyle w:val="Footnotes"/>
        <w:numPr>
          <w:ilvl w:val="0"/>
          <w:numId w:val="22"/>
        </w:numPr>
        <w:ind w:left="284" w:hanging="284"/>
      </w:pPr>
      <w:r>
        <w:t>Indicates nil.</w:t>
      </w:r>
    </w:p>
    <w:p w:rsidR="008D3909" w:rsidRPr="00FC6579" w:rsidRDefault="005E3562" w:rsidP="00E40B8B">
      <w:pPr>
        <w:pStyle w:val="Heading2"/>
      </w:pPr>
      <w:r w:rsidRPr="00FC6579">
        <w:t>Key assumptions</w:t>
      </w:r>
    </w:p>
    <w:p w:rsidR="003323A9" w:rsidRDefault="00D00E86" w:rsidP="003323A9">
      <w:pPr>
        <w:pStyle w:val="Bullet1"/>
        <w:numPr>
          <w:ilvl w:val="0"/>
          <w:numId w:val="0"/>
        </w:numPr>
      </w:pPr>
      <w:r>
        <w:t>C</w:t>
      </w:r>
      <w:r w:rsidR="00054CEE" w:rsidRPr="00054CEE">
        <w:t xml:space="preserve">urrent enrolment and attendance </w:t>
      </w:r>
      <w:r w:rsidR="00677BDD" w:rsidRPr="00054CEE">
        <w:t xml:space="preserve">targets </w:t>
      </w:r>
      <w:r w:rsidR="00054CEE" w:rsidRPr="00054CEE">
        <w:t>would be maintained over the 2016-17 Budget forward estimates period.</w:t>
      </w:r>
    </w:p>
    <w:p w:rsidR="00FA2EB1" w:rsidRDefault="00D00E86" w:rsidP="003323A9">
      <w:pPr>
        <w:pStyle w:val="Bullet1"/>
        <w:numPr>
          <w:ilvl w:val="0"/>
          <w:numId w:val="0"/>
        </w:numPr>
      </w:pPr>
      <w:r>
        <w:t>S</w:t>
      </w:r>
      <w:r w:rsidR="003323A9">
        <w:t xml:space="preserve">tates and territories would </w:t>
      </w:r>
      <w:r w:rsidR="00FA2EB1">
        <w:t xml:space="preserve">remain signatories to the </w:t>
      </w:r>
      <w:r w:rsidR="00CB316F">
        <w:t xml:space="preserve">Agreement </w:t>
      </w:r>
      <w:r w:rsidR="00FA2EB1" w:rsidRPr="008848D3">
        <w:t>from 1 July 2017 to 30 June 2020</w:t>
      </w:r>
      <w:r w:rsidR="00FA2EB1">
        <w:t xml:space="preserve"> under this proposal.</w:t>
      </w:r>
    </w:p>
    <w:p w:rsidR="00054CEE" w:rsidRPr="00FC6579" w:rsidRDefault="00054CEE" w:rsidP="00054CEE">
      <w:pPr>
        <w:pStyle w:val="Heading2"/>
      </w:pPr>
      <w:r>
        <w:t>Methodology</w:t>
      </w:r>
    </w:p>
    <w:p w:rsidR="00054CEE" w:rsidRDefault="00054CEE" w:rsidP="00054CEE">
      <w:pPr>
        <w:pStyle w:val="Bullet1"/>
        <w:numPr>
          <w:ilvl w:val="0"/>
          <w:numId w:val="0"/>
        </w:numPr>
      </w:pPr>
      <w:r>
        <w:t xml:space="preserve">The financial implications of this proposal were estimated by extending the </w:t>
      </w:r>
      <w:r w:rsidR="00CB316F">
        <w:t xml:space="preserve">Agreement (accounting for relevant indexation factors) to cover the 2018 and 2019 school years and through to 30 June 2020. </w:t>
      </w:r>
      <w:r w:rsidR="00F9172D">
        <w:t xml:space="preserve"> </w:t>
      </w:r>
      <w:r w:rsidR="00CB316F">
        <w:t>These results were then</w:t>
      </w:r>
      <w:r w:rsidR="00322471">
        <w:t xml:space="preserve"> </w:t>
      </w:r>
      <w:r w:rsidR="003D51EC">
        <w:t>apportio</w:t>
      </w:r>
      <w:r w:rsidR="00CB316F">
        <w:t xml:space="preserve">ned to </w:t>
      </w:r>
      <w:r w:rsidR="00322471">
        <w:t>financial years.</w:t>
      </w:r>
    </w:p>
    <w:p w:rsidR="00054CEE" w:rsidRPr="00054CEE" w:rsidRDefault="00054CEE" w:rsidP="00054CEE">
      <w:r>
        <w:t xml:space="preserve">Estimates have </w:t>
      </w:r>
      <w:r w:rsidRPr="00D02F52">
        <w:t xml:space="preserve">been rounded to the nearest </w:t>
      </w:r>
      <w:r>
        <w:t>$5 </w:t>
      </w:r>
      <w:r w:rsidRPr="00D02F52">
        <w:t>million</w:t>
      </w:r>
      <w:r>
        <w:t>.</w:t>
      </w:r>
    </w:p>
    <w:p w:rsidR="005E3562" w:rsidRPr="00FC6579" w:rsidRDefault="005E3562" w:rsidP="00E40B8B">
      <w:pPr>
        <w:pStyle w:val="Heading2"/>
      </w:pPr>
      <w:r w:rsidRPr="00FC6579">
        <w:t>Data sources</w:t>
      </w:r>
    </w:p>
    <w:p w:rsidR="00054CEE" w:rsidRPr="00054CEE" w:rsidRDefault="00054CEE" w:rsidP="002B7EDA">
      <w:pPr>
        <w:pStyle w:val="Bullet1"/>
      </w:pPr>
      <w:r w:rsidRPr="00054CEE">
        <w:rPr>
          <w:rFonts w:eastAsiaTheme="minorHAnsi"/>
        </w:rPr>
        <w:t>2016-17 Budget Paper No. 3 Federal Financial Relations.</w:t>
      </w:r>
    </w:p>
    <w:p w:rsidR="00054CEE" w:rsidRPr="002551AC" w:rsidRDefault="00054CEE" w:rsidP="002B7EDA">
      <w:pPr>
        <w:pStyle w:val="Bullet1"/>
      </w:pPr>
      <w:r w:rsidRPr="00054CEE">
        <w:rPr>
          <w:rFonts w:eastAsiaTheme="minorHAnsi"/>
        </w:rPr>
        <w:t>Council of Australian Governments, National Partnership Agreement on Universal Access to Early Childhood Education.</w:t>
      </w:r>
    </w:p>
    <w:p w:rsidR="00054CEE" w:rsidRDefault="002551AC" w:rsidP="002B7EDA">
      <w:pPr>
        <w:pStyle w:val="Bullet1"/>
      </w:pPr>
      <w:r>
        <w:rPr>
          <w:rFonts w:eastAsiaTheme="minorHAnsi"/>
        </w:rPr>
        <w:t>Department of Finance provided inde</w:t>
      </w:r>
      <w:r w:rsidR="00624CDE">
        <w:rPr>
          <w:rFonts w:eastAsiaTheme="minorHAnsi"/>
        </w:rPr>
        <w:t>xation parameters.</w:t>
      </w:r>
    </w:p>
    <w:sectPr w:rsidR="00054CEE" w:rsidSect="001B0846">
      <w:headerReference w:type="first" r:id="rId14"/>
      <w:footerReference w:type="first" r:id="rId15"/>
      <w:pgSz w:w="11906" w:h="16838"/>
      <w:pgMar w:top="1361" w:right="1797" w:bottom="147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63D" w:rsidRDefault="006B163D" w:rsidP="008F588A">
      <w:pPr>
        <w:spacing w:line="240" w:lineRule="auto"/>
      </w:pPr>
      <w:r>
        <w:separator/>
      </w:r>
    </w:p>
    <w:p w:rsidR="006B163D" w:rsidRDefault="006B163D"/>
  </w:endnote>
  <w:endnote w:type="continuationSeparator" w:id="0">
    <w:p w:rsidR="006B163D" w:rsidRDefault="006B163D" w:rsidP="008F588A">
      <w:pPr>
        <w:spacing w:line="240" w:lineRule="auto"/>
      </w:pPr>
      <w:r>
        <w:continuationSeparator/>
      </w:r>
    </w:p>
    <w:p w:rsidR="006B163D" w:rsidRDefault="006B1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63D" w:rsidRPr="00C24267" w:rsidRDefault="006B163D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876CA8">
      <w:rPr>
        <w:noProof/>
      </w:rPr>
      <w:t>3</w:t>
    </w:r>
    <w:r w:rsidRPr="00C24267">
      <w:fldChar w:fldCharType="end"/>
    </w:r>
    <w:r w:rsidRPr="00C24267">
      <w:t xml:space="preserve"> of </w:t>
    </w:r>
    <w:r w:rsidR="00277E82">
      <w:fldChar w:fldCharType="begin"/>
    </w:r>
    <w:r w:rsidR="00277E82">
      <w:instrText xml:space="preserve"> NUMPAGES  \* Arabic  \* MERGEFORMAT </w:instrText>
    </w:r>
    <w:r w:rsidR="00277E82">
      <w:fldChar w:fldCharType="separate"/>
    </w:r>
    <w:r w:rsidR="00876CA8">
      <w:rPr>
        <w:noProof/>
      </w:rPr>
      <w:t>3</w:t>
    </w:r>
    <w:r w:rsidR="00277E8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63D" w:rsidRPr="00C24267" w:rsidRDefault="006B163D" w:rsidP="00C24267">
    <w:pPr>
      <w:pStyle w:val="Letterfooter"/>
    </w:pPr>
    <w:r w:rsidRPr="00C24267">
      <w:t>Parliamentary Budget Office   PO Box 6010   Parliament House   Canberra ACT 2600</w:t>
    </w:r>
  </w:p>
  <w:p w:rsidR="006B163D" w:rsidRPr="00C24267" w:rsidRDefault="006B163D" w:rsidP="00C24267">
    <w:pPr>
      <w:pStyle w:val="Letterfooter"/>
    </w:pPr>
    <w:r w:rsidRPr="00C24267">
      <w:t>Tel: 02 6277 9500   Web: www.pbo.gov.au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63D" w:rsidRPr="00C24267" w:rsidRDefault="006B163D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876CA8">
      <w:rPr>
        <w:noProof/>
      </w:rPr>
      <w:t>2</w:t>
    </w:r>
    <w:r w:rsidRPr="00C24267">
      <w:fldChar w:fldCharType="end"/>
    </w:r>
    <w:r w:rsidRPr="00C24267">
      <w:t xml:space="preserve"> of </w:t>
    </w:r>
    <w:r w:rsidR="00277E82">
      <w:fldChar w:fldCharType="begin"/>
    </w:r>
    <w:r w:rsidR="00277E82">
      <w:instrText xml:space="preserve"> NUMPAGES  \* Arabic  \* MERGEFORMAT </w:instrText>
    </w:r>
    <w:r w:rsidR="00277E82">
      <w:fldChar w:fldCharType="separate"/>
    </w:r>
    <w:r w:rsidR="00876CA8">
      <w:rPr>
        <w:noProof/>
      </w:rPr>
      <w:t>3</w:t>
    </w:r>
    <w:r w:rsidR="00277E8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63D" w:rsidRDefault="006B163D" w:rsidP="008F588A">
      <w:pPr>
        <w:spacing w:line="240" w:lineRule="auto"/>
      </w:pPr>
      <w:r>
        <w:separator/>
      </w:r>
    </w:p>
    <w:p w:rsidR="006B163D" w:rsidRDefault="006B163D"/>
  </w:footnote>
  <w:footnote w:type="continuationSeparator" w:id="0">
    <w:p w:rsidR="006B163D" w:rsidRDefault="006B163D" w:rsidP="008F588A">
      <w:pPr>
        <w:spacing w:line="240" w:lineRule="auto"/>
      </w:pPr>
      <w:r>
        <w:continuationSeparator/>
      </w:r>
    </w:p>
    <w:p w:rsidR="006B163D" w:rsidRDefault="006B16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63D" w:rsidRDefault="006B163D" w:rsidP="00CB40E1">
    <w:pPr>
      <w:pStyle w:val="Header"/>
    </w:pPr>
    <w:r>
      <w:rPr>
        <w:noProof/>
        <w:lang w:eastAsia="en-AU"/>
      </w:rPr>
      <w:drawing>
        <wp:inline distT="0" distB="0" distL="0" distR="0" wp14:anchorId="0528BB33" wp14:editId="06A25731">
          <wp:extent cx="2696845" cy="572135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163D" w:rsidRPr="00DA1C8A" w:rsidRDefault="006B163D" w:rsidP="00002D5D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46" w:rsidRPr="00C17112" w:rsidRDefault="001B0846" w:rsidP="001B0846">
    <w:pPr>
      <w:pStyle w:val="Header"/>
    </w:pPr>
    <w:r>
      <w:rPr>
        <w:noProof/>
        <w:lang w:eastAsia="en-AU"/>
      </w:rPr>
      <w:drawing>
        <wp:inline distT="0" distB="0" distL="0" distR="0" wp14:anchorId="01BD496B" wp14:editId="55B62E8A">
          <wp:extent cx="2696845" cy="57213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90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B37FE"/>
    <w:multiLevelType w:val="multilevel"/>
    <w:tmpl w:val="EB047CC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C5E12A0"/>
    <w:multiLevelType w:val="hybridMultilevel"/>
    <w:tmpl w:val="71E26D08"/>
    <w:lvl w:ilvl="0" w:tplc="003A2CD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03A2CD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F4CC9"/>
    <w:multiLevelType w:val="hybridMultilevel"/>
    <w:tmpl w:val="16C4DB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45448"/>
    <w:multiLevelType w:val="multilevel"/>
    <w:tmpl w:val="1CA8BD6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5">
    <w:nsid w:val="194A695C"/>
    <w:multiLevelType w:val="multilevel"/>
    <w:tmpl w:val="5E16FD12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6">
    <w:nsid w:val="19DE2101"/>
    <w:multiLevelType w:val="hybridMultilevel"/>
    <w:tmpl w:val="0030AC0C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8">
    <w:nsid w:val="30E45E35"/>
    <w:multiLevelType w:val="hybridMultilevel"/>
    <w:tmpl w:val="60A06D20"/>
    <w:lvl w:ilvl="0" w:tplc="EE46B378">
      <w:start w:val="1"/>
      <w:numFmt w:val="lowerLetter"/>
      <w:pStyle w:val="Footnotes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310F2"/>
    <w:multiLevelType w:val="hybridMultilevel"/>
    <w:tmpl w:val="8D1A898E"/>
    <w:lvl w:ilvl="0" w:tplc="4970B6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A315F"/>
    <w:multiLevelType w:val="hybridMultilevel"/>
    <w:tmpl w:val="FAEE3E04"/>
    <w:lvl w:ilvl="0" w:tplc="AE7430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CE2F93"/>
    <w:multiLevelType w:val="multilevel"/>
    <w:tmpl w:val="850CAC3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2">
    <w:nsid w:val="745C3AB2"/>
    <w:multiLevelType w:val="hybridMultilevel"/>
    <w:tmpl w:val="5EB0E89C"/>
    <w:lvl w:ilvl="0" w:tplc="661CA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EA63D9"/>
    <w:multiLevelType w:val="hybridMultilevel"/>
    <w:tmpl w:val="92E4AE7E"/>
    <w:lvl w:ilvl="0" w:tplc="CC7AE5C8">
      <w:start w:val="1"/>
      <w:numFmt w:val="lowerLetter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C090019">
      <w:start w:val="1"/>
      <w:numFmt w:val="lowerLetter"/>
      <w:lvlText w:val="%2."/>
      <w:lvlJc w:val="left"/>
      <w:pPr>
        <w:ind w:left="967" w:hanging="360"/>
      </w:pPr>
    </w:lvl>
    <w:lvl w:ilvl="2" w:tplc="0C09001B">
      <w:start w:val="1"/>
      <w:numFmt w:val="lowerRoman"/>
      <w:lvlText w:val="%3."/>
      <w:lvlJc w:val="right"/>
      <w:pPr>
        <w:ind w:left="1687" w:hanging="180"/>
      </w:pPr>
    </w:lvl>
    <w:lvl w:ilvl="3" w:tplc="0C09000F">
      <w:start w:val="1"/>
      <w:numFmt w:val="decimal"/>
      <w:lvlText w:val="%4."/>
      <w:lvlJc w:val="left"/>
      <w:pPr>
        <w:ind w:left="2407" w:hanging="360"/>
      </w:pPr>
    </w:lvl>
    <w:lvl w:ilvl="4" w:tplc="0C090019">
      <w:start w:val="1"/>
      <w:numFmt w:val="lowerLetter"/>
      <w:lvlText w:val="%5."/>
      <w:lvlJc w:val="left"/>
      <w:pPr>
        <w:ind w:left="3127" w:hanging="360"/>
      </w:pPr>
    </w:lvl>
    <w:lvl w:ilvl="5" w:tplc="0C09001B">
      <w:start w:val="1"/>
      <w:numFmt w:val="lowerRoman"/>
      <w:lvlText w:val="%6."/>
      <w:lvlJc w:val="right"/>
      <w:pPr>
        <w:ind w:left="3847" w:hanging="180"/>
      </w:pPr>
    </w:lvl>
    <w:lvl w:ilvl="6" w:tplc="0C09000F">
      <w:start w:val="1"/>
      <w:numFmt w:val="decimal"/>
      <w:lvlText w:val="%7."/>
      <w:lvlJc w:val="left"/>
      <w:pPr>
        <w:ind w:left="4567" w:hanging="360"/>
      </w:pPr>
    </w:lvl>
    <w:lvl w:ilvl="7" w:tplc="0C090019">
      <w:start w:val="1"/>
      <w:numFmt w:val="lowerLetter"/>
      <w:lvlText w:val="%8."/>
      <w:lvlJc w:val="left"/>
      <w:pPr>
        <w:ind w:left="5287" w:hanging="360"/>
      </w:pPr>
    </w:lvl>
    <w:lvl w:ilvl="8" w:tplc="0C09001B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3"/>
  </w:num>
  <w:num w:numId="18">
    <w:abstractNumId w:val="12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3D"/>
    <w:rsid w:val="00002D5D"/>
    <w:rsid w:val="00011C16"/>
    <w:rsid w:val="00015FB2"/>
    <w:rsid w:val="000211E6"/>
    <w:rsid w:val="000370A8"/>
    <w:rsid w:val="00040DCE"/>
    <w:rsid w:val="00054CEE"/>
    <w:rsid w:val="00060F22"/>
    <w:rsid w:val="00067853"/>
    <w:rsid w:val="00087331"/>
    <w:rsid w:val="00096F3A"/>
    <w:rsid w:val="000A7788"/>
    <w:rsid w:val="000C1A75"/>
    <w:rsid w:val="000C6475"/>
    <w:rsid w:val="000D7697"/>
    <w:rsid w:val="001278D0"/>
    <w:rsid w:val="0014239B"/>
    <w:rsid w:val="001607AC"/>
    <w:rsid w:val="00190658"/>
    <w:rsid w:val="001965A4"/>
    <w:rsid w:val="001A02D1"/>
    <w:rsid w:val="001A7D79"/>
    <w:rsid w:val="001B0846"/>
    <w:rsid w:val="001B50A6"/>
    <w:rsid w:val="001B715D"/>
    <w:rsid w:val="00220BE5"/>
    <w:rsid w:val="002422A3"/>
    <w:rsid w:val="002551AC"/>
    <w:rsid w:val="00265222"/>
    <w:rsid w:val="0028563C"/>
    <w:rsid w:val="002B7EDA"/>
    <w:rsid w:val="002D091A"/>
    <w:rsid w:val="002F4FFE"/>
    <w:rsid w:val="0030090B"/>
    <w:rsid w:val="00315E34"/>
    <w:rsid w:val="00322471"/>
    <w:rsid w:val="00326DE2"/>
    <w:rsid w:val="003323A9"/>
    <w:rsid w:val="003D51EC"/>
    <w:rsid w:val="003D7744"/>
    <w:rsid w:val="003E4F5F"/>
    <w:rsid w:val="003F73CA"/>
    <w:rsid w:val="00410A2C"/>
    <w:rsid w:val="00440E32"/>
    <w:rsid w:val="00461597"/>
    <w:rsid w:val="00485374"/>
    <w:rsid w:val="004C283B"/>
    <w:rsid w:val="004D13ED"/>
    <w:rsid w:val="004D5525"/>
    <w:rsid w:val="004F26A1"/>
    <w:rsid w:val="005035DA"/>
    <w:rsid w:val="00507897"/>
    <w:rsid w:val="00515A85"/>
    <w:rsid w:val="005202D0"/>
    <w:rsid w:val="005448A0"/>
    <w:rsid w:val="00545F24"/>
    <w:rsid w:val="0055581F"/>
    <w:rsid w:val="0056229A"/>
    <w:rsid w:val="00570154"/>
    <w:rsid w:val="00570937"/>
    <w:rsid w:val="00570B5A"/>
    <w:rsid w:val="00580F61"/>
    <w:rsid w:val="00587422"/>
    <w:rsid w:val="005B1A4A"/>
    <w:rsid w:val="005B7B75"/>
    <w:rsid w:val="005C4DFC"/>
    <w:rsid w:val="005C6967"/>
    <w:rsid w:val="005D70E0"/>
    <w:rsid w:val="005E2A9F"/>
    <w:rsid w:val="005E34FC"/>
    <w:rsid w:val="005E3562"/>
    <w:rsid w:val="005F40F0"/>
    <w:rsid w:val="005F7DE0"/>
    <w:rsid w:val="00607B2C"/>
    <w:rsid w:val="00612040"/>
    <w:rsid w:val="00624CDE"/>
    <w:rsid w:val="00640346"/>
    <w:rsid w:val="00660385"/>
    <w:rsid w:val="00662E65"/>
    <w:rsid w:val="0066665A"/>
    <w:rsid w:val="00677BDD"/>
    <w:rsid w:val="00692DD8"/>
    <w:rsid w:val="0069524D"/>
    <w:rsid w:val="006B163D"/>
    <w:rsid w:val="006D1634"/>
    <w:rsid w:val="006F0CE9"/>
    <w:rsid w:val="007202A8"/>
    <w:rsid w:val="007229A9"/>
    <w:rsid w:val="00793F24"/>
    <w:rsid w:val="007A13F4"/>
    <w:rsid w:val="007B0206"/>
    <w:rsid w:val="007B029A"/>
    <w:rsid w:val="007D33AA"/>
    <w:rsid w:val="007D3577"/>
    <w:rsid w:val="007F7BCF"/>
    <w:rsid w:val="0080016F"/>
    <w:rsid w:val="008030EC"/>
    <w:rsid w:val="00811D6D"/>
    <w:rsid w:val="00817E8E"/>
    <w:rsid w:val="00841C3A"/>
    <w:rsid w:val="00844776"/>
    <w:rsid w:val="00876CA8"/>
    <w:rsid w:val="0088471D"/>
    <w:rsid w:val="008848D3"/>
    <w:rsid w:val="008850D9"/>
    <w:rsid w:val="008A4578"/>
    <w:rsid w:val="008A4AF5"/>
    <w:rsid w:val="008C03C3"/>
    <w:rsid w:val="008D3909"/>
    <w:rsid w:val="008D6ECA"/>
    <w:rsid w:val="008E222D"/>
    <w:rsid w:val="008F588A"/>
    <w:rsid w:val="00902D2D"/>
    <w:rsid w:val="00915804"/>
    <w:rsid w:val="00957285"/>
    <w:rsid w:val="009573AF"/>
    <w:rsid w:val="00977D7B"/>
    <w:rsid w:val="009963ED"/>
    <w:rsid w:val="009B0265"/>
    <w:rsid w:val="009C5134"/>
    <w:rsid w:val="009D4063"/>
    <w:rsid w:val="009D57A3"/>
    <w:rsid w:val="00A41BD3"/>
    <w:rsid w:val="00A449C2"/>
    <w:rsid w:val="00A65EA3"/>
    <w:rsid w:val="00A74D57"/>
    <w:rsid w:val="00A76A05"/>
    <w:rsid w:val="00A82FC6"/>
    <w:rsid w:val="00AA3D6F"/>
    <w:rsid w:val="00AA4512"/>
    <w:rsid w:val="00AB4DFA"/>
    <w:rsid w:val="00AB55AE"/>
    <w:rsid w:val="00AB6F7D"/>
    <w:rsid w:val="00AC7878"/>
    <w:rsid w:val="00AD3638"/>
    <w:rsid w:val="00AD493E"/>
    <w:rsid w:val="00AE30B5"/>
    <w:rsid w:val="00AE5755"/>
    <w:rsid w:val="00B06055"/>
    <w:rsid w:val="00B44D8A"/>
    <w:rsid w:val="00B73AC8"/>
    <w:rsid w:val="00B747A7"/>
    <w:rsid w:val="00B85D1D"/>
    <w:rsid w:val="00B964B2"/>
    <w:rsid w:val="00BA2BBF"/>
    <w:rsid w:val="00BC559C"/>
    <w:rsid w:val="00BE15EF"/>
    <w:rsid w:val="00C17112"/>
    <w:rsid w:val="00C24267"/>
    <w:rsid w:val="00C26CC2"/>
    <w:rsid w:val="00C84861"/>
    <w:rsid w:val="00C87385"/>
    <w:rsid w:val="00C96D11"/>
    <w:rsid w:val="00CA12A0"/>
    <w:rsid w:val="00CA5D42"/>
    <w:rsid w:val="00CB316F"/>
    <w:rsid w:val="00CB40E1"/>
    <w:rsid w:val="00CF6DB6"/>
    <w:rsid w:val="00D00E86"/>
    <w:rsid w:val="00D03EC0"/>
    <w:rsid w:val="00D134CA"/>
    <w:rsid w:val="00D176BD"/>
    <w:rsid w:val="00D52D5F"/>
    <w:rsid w:val="00D949A3"/>
    <w:rsid w:val="00DA1C8A"/>
    <w:rsid w:val="00DA3B55"/>
    <w:rsid w:val="00DB44F0"/>
    <w:rsid w:val="00DC6635"/>
    <w:rsid w:val="00DD109E"/>
    <w:rsid w:val="00DD3E18"/>
    <w:rsid w:val="00DE2FF2"/>
    <w:rsid w:val="00DF10C9"/>
    <w:rsid w:val="00DF6D75"/>
    <w:rsid w:val="00E12103"/>
    <w:rsid w:val="00E14322"/>
    <w:rsid w:val="00E15AAE"/>
    <w:rsid w:val="00E21184"/>
    <w:rsid w:val="00E31F35"/>
    <w:rsid w:val="00E40B8B"/>
    <w:rsid w:val="00E5742E"/>
    <w:rsid w:val="00EA265F"/>
    <w:rsid w:val="00EA4CCC"/>
    <w:rsid w:val="00EA5685"/>
    <w:rsid w:val="00EC778E"/>
    <w:rsid w:val="00ED43FF"/>
    <w:rsid w:val="00ED7C32"/>
    <w:rsid w:val="00EE6600"/>
    <w:rsid w:val="00EF1D6A"/>
    <w:rsid w:val="00EF2E51"/>
    <w:rsid w:val="00F13587"/>
    <w:rsid w:val="00F1738E"/>
    <w:rsid w:val="00F21865"/>
    <w:rsid w:val="00F249E7"/>
    <w:rsid w:val="00F31E24"/>
    <w:rsid w:val="00F4535C"/>
    <w:rsid w:val="00F52474"/>
    <w:rsid w:val="00F5529D"/>
    <w:rsid w:val="00F5669E"/>
    <w:rsid w:val="00F62E4A"/>
    <w:rsid w:val="00F732BD"/>
    <w:rsid w:val="00F75D33"/>
    <w:rsid w:val="00F9172D"/>
    <w:rsid w:val="00F93DA6"/>
    <w:rsid w:val="00F954CF"/>
    <w:rsid w:val="00F97DFF"/>
    <w:rsid w:val="00FA2EB1"/>
    <w:rsid w:val="00FC6579"/>
    <w:rsid w:val="00FD3FB3"/>
    <w:rsid w:val="00FE1053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DA3B55"/>
    <w:pPr>
      <w:spacing w:before="70" w:after="70" w:line="260" w:lineRule="atLeast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88471D"/>
    <w:rPr>
      <w:rFonts w:eastAsia="Times New Roman" w:cs="Times New Roman"/>
      <w:spacing w:val="0"/>
      <w:lang w:eastAsia="en-AU"/>
    </w:rPr>
  </w:style>
  <w:style w:type="paragraph" w:customStyle="1" w:styleId="Bullet2">
    <w:name w:val="Bullet 2"/>
    <w:basedOn w:val="ListBullet2"/>
    <w:link w:val="Bullet2Char"/>
    <w:qFormat/>
    <w:rsid w:val="0088471D"/>
    <w:pPr>
      <w:ind w:left="908" w:hanging="454"/>
    </w:pPr>
    <w:rPr>
      <w:rFonts w:eastAsia="Times New Roman" w:cs="Times New Roman"/>
      <w:spacing w:val="0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88471D"/>
    <w:rPr>
      <w:rFonts w:eastAsia="Times New Roman" w:cs="Times New Roman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88471D"/>
    <w:rPr>
      <w:rFonts w:eastAsia="Times New Roman" w:cs="Times New Roman"/>
      <w:bCs w:val="0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F917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DA3B55"/>
    <w:pPr>
      <w:spacing w:before="70" w:after="70" w:line="260" w:lineRule="atLeast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88471D"/>
    <w:rPr>
      <w:rFonts w:eastAsia="Times New Roman" w:cs="Times New Roman"/>
      <w:spacing w:val="0"/>
      <w:lang w:eastAsia="en-AU"/>
    </w:rPr>
  </w:style>
  <w:style w:type="paragraph" w:customStyle="1" w:styleId="Bullet2">
    <w:name w:val="Bullet 2"/>
    <w:basedOn w:val="ListBullet2"/>
    <w:link w:val="Bullet2Char"/>
    <w:qFormat/>
    <w:rsid w:val="0088471D"/>
    <w:pPr>
      <w:ind w:left="908" w:hanging="454"/>
    </w:pPr>
    <w:rPr>
      <w:rFonts w:eastAsia="Times New Roman" w:cs="Times New Roman"/>
      <w:spacing w:val="0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88471D"/>
    <w:rPr>
      <w:rFonts w:eastAsia="Times New Roman" w:cs="Times New Roman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88471D"/>
    <w:rPr>
      <w:rFonts w:eastAsia="Times New Roman" w:cs="Times New Roman"/>
      <w:bCs w:val="0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F917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reens.org.au/childcar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ph.gov.au/pbo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M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4C1F617-9F5E-4F8C-A1D2-2C5714FA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 - Caretaker.dotm</Template>
  <TotalTime>223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PBO - GRN025 - Investing in Pre-School - 28 June 2016</vt:lpstr>
    </vt:vector>
  </TitlesOfParts>
  <Company>Parliament of Australia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- GRN025 - Investing in Pre-School - 28 June 2016</dc:title>
  <dc:creator>Parliamentary Budget Office</dc:creator>
  <cp:lastModifiedBy>Milligan, Louise (PBO)</cp:lastModifiedBy>
  <cp:revision>89</cp:revision>
  <cp:lastPrinted>2016-06-28T09:34:00Z</cp:lastPrinted>
  <dcterms:created xsi:type="dcterms:W3CDTF">2016-06-23T08:45:00Z</dcterms:created>
  <dcterms:modified xsi:type="dcterms:W3CDTF">2016-06-29T00:29:00Z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