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B36E5D" w:rsidP="00C17112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040DCE" w:rsidRPr="00002D5D" w:rsidRDefault="00B36E5D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B36E5D">
        <w:rPr>
          <w:rFonts w:ascii="Times New Roman" w:hAnsi="Times New Roman" w:cs="Times New Roman"/>
          <w:sz w:val="24"/>
          <w:szCs w:val="24"/>
        </w:rPr>
        <w:t>Senator</w:t>
      </w:r>
      <w:r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B36E5D">
        <w:rPr>
          <w:rFonts w:ascii="Times New Roman" w:hAnsi="Times New Roman" w:cs="Times New Roman"/>
          <w:sz w:val="24"/>
          <w:szCs w:val="24"/>
        </w:rPr>
        <w:t>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DC5400" w:rsidRPr="00DC5400">
        <w:rPr>
          <w:i/>
        </w:rPr>
        <w:t xml:space="preserve">National </w:t>
      </w:r>
      <w:r w:rsidR="00CD5652">
        <w:rPr>
          <w:i/>
        </w:rPr>
        <w:t>A</w:t>
      </w:r>
      <w:r w:rsidR="00DC5400" w:rsidRPr="00DC5400">
        <w:rPr>
          <w:i/>
        </w:rPr>
        <w:t>nti-</w:t>
      </w:r>
      <w:r w:rsidR="00CD5652">
        <w:rPr>
          <w:i/>
        </w:rPr>
        <w:t>C</w:t>
      </w:r>
      <w:r w:rsidR="00DC5400" w:rsidRPr="00DC5400">
        <w:rPr>
          <w:i/>
        </w:rPr>
        <w:t xml:space="preserve">orruption </w:t>
      </w:r>
      <w:r w:rsidR="00CD5652">
        <w:rPr>
          <w:i/>
        </w:rPr>
        <w:t>W</w:t>
      </w:r>
      <w:r w:rsidR="00DC5400" w:rsidRPr="00DC5400">
        <w:rPr>
          <w:i/>
        </w:rPr>
        <w:t>atchdog</w:t>
      </w:r>
      <w:r w:rsidRPr="00002D5D">
        <w:t xml:space="preserve"> (</w:t>
      </w:r>
      <w:r w:rsidRPr="004C4DD3">
        <w:t xml:space="preserve">letter of </w:t>
      </w:r>
      <w:r w:rsidR="004C4DD3" w:rsidRPr="004C4DD3">
        <w:t>24</w:t>
      </w:r>
      <w:r w:rsidR="00727A2F">
        <w:t> </w:t>
      </w:r>
      <w:r w:rsidR="00B36E5D">
        <w:t>June</w:t>
      </w:r>
      <w:r w:rsidR="00727A2F">
        <w:t> 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8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Pr="00002D5D">
        <w:t>Brown on (02)</w:t>
      </w:r>
      <w:r w:rsidR="00511806">
        <w:t> </w:t>
      </w:r>
      <w:r w:rsidRPr="00002D5D">
        <w:t>6277</w:t>
      </w:r>
      <w:r w:rsidR="00511806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28254A" w:rsidP="0028254A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C201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E5D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TableGrid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4D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4D5525" w:rsidRDefault="00DC5400" w:rsidP="00CD5652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5400">
              <w:t xml:space="preserve">National </w:t>
            </w:r>
            <w:r w:rsidR="00CD5652">
              <w:t>A</w:t>
            </w:r>
            <w:r w:rsidRPr="00DC5400">
              <w:t>nti-</w:t>
            </w:r>
            <w:r w:rsidR="00CD5652">
              <w:t>C</w:t>
            </w:r>
            <w:r w:rsidRPr="00DC5400">
              <w:t xml:space="preserve">orruption </w:t>
            </w:r>
            <w:r w:rsidR="00CD5652">
              <w:t>W</w:t>
            </w:r>
            <w:r w:rsidRPr="00DC5400">
              <w:t>atchdog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DC5400" w:rsidRPr="00496598" w:rsidRDefault="00DC5400" w:rsidP="00DC540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598">
              <w:t>The proposal would</w:t>
            </w:r>
            <w:r>
              <w:t xml:space="preserve"> establish</w:t>
            </w:r>
            <w:r w:rsidRPr="00496598">
              <w:t xml:space="preserve"> a standing independent commission against corruption </w:t>
            </w:r>
            <w:r>
              <w:t xml:space="preserve">(the </w:t>
            </w:r>
            <w:r w:rsidR="00CE56AC">
              <w:t>c</w:t>
            </w:r>
            <w:r>
              <w:t xml:space="preserve">ommission) </w:t>
            </w:r>
            <w:r w:rsidRPr="00496598">
              <w:t>to investigate matters relating to the federal public service and the Parliament.</w:t>
            </w:r>
          </w:p>
          <w:p w:rsidR="004D5525" w:rsidRDefault="00DC5400" w:rsidP="00A6084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598">
              <w:t xml:space="preserve">The proposal would have effect from 1 </w:t>
            </w:r>
            <w:r w:rsidR="00AB78C3">
              <w:t>September</w:t>
            </w:r>
            <w:r w:rsidRPr="00496598">
              <w:t xml:space="preserve"> </w:t>
            </w:r>
            <w:r w:rsidR="00A6084E" w:rsidRPr="00496598">
              <w:t>201</w:t>
            </w:r>
            <w:r w:rsidR="00A6084E">
              <w:t>6</w:t>
            </w:r>
            <w:r w:rsidRPr="00496598">
              <w:t>.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E355F6" w:rsidP="005B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F33">
              <w:t>Senator Richard Di Natale, Australian Greens</w:t>
            </w:r>
          </w:p>
        </w:tc>
      </w:tr>
      <w:tr w:rsidR="00511806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11806" w:rsidRDefault="00511806" w:rsidP="003A3050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511806" w:rsidRPr="00C17112" w:rsidRDefault="004C4DD3" w:rsidP="003A305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June 2016</w:t>
            </w:r>
          </w:p>
        </w:tc>
      </w:tr>
      <w:tr w:rsidR="00511806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11806" w:rsidRDefault="00511806" w:rsidP="003A3050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511806" w:rsidRDefault="004C4DD3" w:rsidP="003A30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June 2016</w:t>
            </w:r>
          </w:p>
        </w:tc>
      </w:tr>
      <w:tr w:rsidR="00511806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511806" w:rsidRDefault="00511806" w:rsidP="003A3050">
            <w:pPr>
              <w:pStyle w:val="BodyText"/>
            </w:pPr>
            <w:r>
              <w:t>Date costing completed</w:t>
            </w:r>
          </w:p>
        </w:tc>
        <w:tc>
          <w:tcPr>
            <w:tcW w:w="5335" w:type="dxa"/>
          </w:tcPr>
          <w:p w:rsidR="00511806" w:rsidRPr="00C17112" w:rsidRDefault="004C4DD3" w:rsidP="00CE56A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CE56AC">
              <w:t>5</w:t>
            </w:r>
            <w:r>
              <w:t xml:space="preserve"> June 2016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5B4FF0" w:rsidP="00220BE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4D5525" w:rsidRPr="00220BE5">
              <w:t xml:space="preserve">elease of </w:t>
            </w:r>
            <w:r w:rsidR="00220BE5">
              <w:t>the</w:t>
            </w:r>
            <w:r>
              <w:t xml:space="preserve">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A06940" w:rsidRDefault="00DC5400" w:rsidP="00DC5400">
      <w:r w:rsidRPr="001D00AD">
        <w:t xml:space="preserve">This proposal would be expected to </w:t>
      </w:r>
      <w:r>
        <w:t>decrease both</w:t>
      </w:r>
      <w:r w:rsidRPr="001D00AD">
        <w:t xml:space="preserve"> the </w:t>
      </w:r>
      <w:r w:rsidR="00F96D0B">
        <w:t xml:space="preserve">fiscal and underlying cash balances </w:t>
      </w:r>
      <w:r w:rsidRPr="001D00AD">
        <w:t>by $</w:t>
      </w:r>
      <w:r w:rsidR="000874AD">
        <w:t>109.0</w:t>
      </w:r>
      <w:r w:rsidRPr="001D00AD">
        <w:t xml:space="preserve"> million over the </w:t>
      </w:r>
      <w:r>
        <w:t>2016-17</w:t>
      </w:r>
      <w:r w:rsidRPr="001D00AD">
        <w:t xml:space="preserve"> Budget forward estimates period.  This reflects</w:t>
      </w:r>
      <w:r w:rsidR="004C4DD3">
        <w:t xml:space="preserve"> an increase in departmental expenses of</w:t>
      </w:r>
      <w:r w:rsidRPr="001D00AD">
        <w:t xml:space="preserve"> </w:t>
      </w:r>
      <w:r w:rsidR="00112C76">
        <w:t>$</w:t>
      </w:r>
      <w:r w:rsidR="000874AD">
        <w:t>100.0</w:t>
      </w:r>
      <w:r w:rsidR="004C4DD3">
        <w:t xml:space="preserve"> million and an </w:t>
      </w:r>
      <w:r w:rsidRPr="001D00AD">
        <w:t>in</w:t>
      </w:r>
      <w:r w:rsidR="004C4DD3">
        <w:t>crease in</w:t>
      </w:r>
      <w:r w:rsidR="00112C76">
        <w:t xml:space="preserve"> departmental</w:t>
      </w:r>
      <w:r w:rsidR="00ED60EE">
        <w:t xml:space="preserve"> related capital expenses </w:t>
      </w:r>
      <w:r w:rsidR="004C4DD3">
        <w:t>of $9</w:t>
      </w:r>
      <w:r w:rsidR="00112C76">
        <w:t>.0</w:t>
      </w:r>
      <w:r w:rsidR="004C4DD3">
        <w:t> million</w:t>
      </w:r>
      <w:r w:rsidR="00ED60EE">
        <w:t xml:space="preserve"> over the 2016-17</w:t>
      </w:r>
      <w:r w:rsidR="00ED60EE" w:rsidRPr="001D00AD">
        <w:t xml:space="preserve"> Budget forward estimates period</w:t>
      </w:r>
      <w:r w:rsidRPr="001D00AD">
        <w:t>.</w:t>
      </w:r>
    </w:p>
    <w:p w:rsidR="00DC5400" w:rsidRPr="00A72829" w:rsidRDefault="00DC5400" w:rsidP="00DC5400">
      <w:r>
        <w:t xml:space="preserve">The proposal would also have an ongoing impact, and </w:t>
      </w:r>
      <w:r w:rsidRPr="00262452">
        <w:t>financial implication</w:t>
      </w:r>
      <w:r>
        <w:t>s for the period 2016-17 to 2026-27</w:t>
      </w:r>
      <w:r w:rsidRPr="00262452">
        <w:t xml:space="preserve"> </w:t>
      </w:r>
      <w:r>
        <w:t xml:space="preserve">are </w:t>
      </w:r>
      <w:r w:rsidRPr="00262452">
        <w:t xml:space="preserve">provided at </w:t>
      </w:r>
      <w:r w:rsidRPr="00262452">
        <w:rPr>
          <w:u w:val="single"/>
        </w:rPr>
        <w:t>Attachment A</w:t>
      </w:r>
      <w:r w:rsidRPr="00262452">
        <w:t>.</w:t>
      </w:r>
      <w:r>
        <w:t xml:space="preserve">  </w:t>
      </w:r>
    </w:p>
    <w:p w:rsidR="00DC5400" w:rsidRPr="00E26F7C" w:rsidRDefault="00DC5400" w:rsidP="00DC5400">
      <w:r>
        <w:t>The costing is considered to be of medium reliability</w:t>
      </w:r>
      <w:r w:rsidR="00A06940">
        <w:t>.</w:t>
      </w:r>
      <w:r>
        <w:t xml:space="preserve">  </w:t>
      </w:r>
      <w:r w:rsidR="00A06940">
        <w:t>W</w:t>
      </w:r>
      <w:r>
        <w:t xml:space="preserve">hile </w:t>
      </w:r>
      <w:r w:rsidR="000874AD">
        <w:t>expenditure</w:t>
      </w:r>
      <w:r>
        <w:t xml:space="preserve"> estimates for the </w:t>
      </w:r>
      <w:r w:rsidR="00CE56AC">
        <w:t>c</w:t>
      </w:r>
      <w:r>
        <w:t xml:space="preserve">ommission are based on the NSW Independent Commission Against Corruption (ICAC), the size and scope of the proposed </w:t>
      </w:r>
      <w:r w:rsidR="00CE56AC">
        <w:t>c</w:t>
      </w:r>
      <w:r>
        <w:t xml:space="preserve">ommission are uncertain.  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C16235" w:rsidRDefault="00CA5D42" w:rsidP="0028254A">
            <w:pPr>
              <w:pStyle w:val="TableText"/>
              <w:keepNext/>
              <w:keepLines/>
              <w:ind w:left="57" w:right="57"/>
              <w:rPr>
                <w:rFonts w:ascii="Calibri" w:hAnsi="Calibri"/>
                <w:b w:val="0"/>
                <w:szCs w:val="20"/>
              </w:rPr>
            </w:pPr>
            <w:r w:rsidRPr="00C16235">
              <w:rPr>
                <w:rFonts w:ascii="Calibri" w:hAnsi="Calibri"/>
                <w:b w:val="0"/>
                <w:szCs w:val="20"/>
              </w:rPr>
              <w:t>Impact on</w:t>
            </w:r>
            <w:r w:rsidR="00461597" w:rsidRPr="00C16235">
              <w:rPr>
                <w:rFonts w:ascii="Calibri" w:hAnsi="Calibri"/>
                <w:b w:val="0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C16235" w:rsidRDefault="00CA5D42" w:rsidP="0028254A">
            <w:pPr>
              <w:keepNext/>
              <w:keepLines/>
              <w:spacing w:before="70" w:after="70" w:line="260" w:lineRule="atLeast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C16235">
              <w:rPr>
                <w:rFonts w:ascii="Calibri" w:hAnsi="Calibri"/>
                <w:b w:val="0"/>
                <w:sz w:val="20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C16235" w:rsidRDefault="00CA5D42" w:rsidP="0028254A">
            <w:pPr>
              <w:keepNext/>
              <w:keepLines/>
              <w:spacing w:before="70" w:after="70" w:line="260" w:lineRule="atLeast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C16235">
              <w:rPr>
                <w:rFonts w:ascii="Calibri" w:hAnsi="Calibri"/>
                <w:b w:val="0"/>
                <w:sz w:val="20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C16235" w:rsidRDefault="00CA5D42" w:rsidP="0028254A">
            <w:pPr>
              <w:keepNext/>
              <w:keepLines/>
              <w:spacing w:before="70" w:after="70" w:line="260" w:lineRule="atLeast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C16235">
              <w:rPr>
                <w:rFonts w:ascii="Calibri" w:hAnsi="Calibri"/>
                <w:b w:val="0"/>
                <w:sz w:val="20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C16235" w:rsidRDefault="00CA5D42" w:rsidP="0028254A">
            <w:pPr>
              <w:keepNext/>
              <w:keepLines/>
              <w:spacing w:before="70" w:after="70" w:line="260" w:lineRule="atLeast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C16235">
              <w:rPr>
                <w:rFonts w:ascii="Calibri" w:hAnsi="Calibri"/>
                <w:b w:val="0"/>
                <w:sz w:val="20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B73AC8" w:rsidRDefault="00CA5D42" w:rsidP="0028254A">
            <w:pPr>
              <w:keepNext/>
              <w:keepLines/>
              <w:spacing w:before="70" w:after="70" w:line="260" w:lineRule="atLeast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73AC8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DC5400" w:rsidRPr="00B73AC8" w:rsidTr="004A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DC5400" w:rsidRPr="005810CA" w:rsidRDefault="00DC5400" w:rsidP="0028254A">
            <w:pPr>
              <w:pStyle w:val="TableTextCentred"/>
              <w:keepNext/>
              <w:keepLines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5810CA">
              <w:rPr>
                <w:rFonts w:ascii="Calibri" w:hAnsi="Calibri"/>
                <w:szCs w:val="20"/>
              </w:rPr>
              <w:t>Fiscal balance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</w:t>
            </w:r>
            <w:r w:rsidR="004C4DD3">
              <w:rPr>
                <w:color w:val="000000"/>
                <w:sz w:val="20"/>
                <w:szCs w:val="20"/>
              </w:rPr>
              <w:t>2</w:t>
            </w:r>
            <w:r w:rsidR="00B00BA4">
              <w:rPr>
                <w:color w:val="000000"/>
                <w:sz w:val="20"/>
                <w:szCs w:val="20"/>
              </w:rPr>
              <w:t>5</w:t>
            </w:r>
            <w:r w:rsidR="004C4DD3">
              <w:rPr>
                <w:color w:val="000000"/>
                <w:sz w:val="20"/>
                <w:szCs w:val="20"/>
              </w:rPr>
              <w:t>.</w:t>
            </w:r>
            <w:r w:rsidR="00B00B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-30.3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-26.3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-26.7</w:t>
            </w:r>
          </w:p>
        </w:tc>
        <w:tc>
          <w:tcPr>
            <w:tcW w:w="681" w:type="pct"/>
            <w:vAlign w:val="center"/>
          </w:tcPr>
          <w:p w:rsidR="00DC5400" w:rsidRPr="00C16235" w:rsidRDefault="00DC5400" w:rsidP="0028254A">
            <w:pPr>
              <w:spacing w:before="70" w:after="70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C16235">
              <w:rPr>
                <w:b/>
                <w:color w:val="000000"/>
                <w:sz w:val="20"/>
                <w:szCs w:val="20"/>
              </w:rPr>
              <w:t>-10</w:t>
            </w:r>
            <w:r w:rsidR="00B00BA4">
              <w:rPr>
                <w:b/>
                <w:color w:val="000000"/>
                <w:sz w:val="20"/>
                <w:szCs w:val="20"/>
              </w:rPr>
              <w:t>9</w:t>
            </w:r>
            <w:r w:rsidRPr="00C16235">
              <w:rPr>
                <w:b/>
                <w:color w:val="000000"/>
                <w:sz w:val="20"/>
                <w:szCs w:val="20"/>
              </w:rPr>
              <w:t>.</w:t>
            </w:r>
            <w:r w:rsidR="00B00BA4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DC5400" w:rsidRPr="00B73AC8" w:rsidTr="004A7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DC5400" w:rsidRPr="005810CA" w:rsidRDefault="00DC5400" w:rsidP="0028254A">
            <w:pPr>
              <w:pStyle w:val="TableTextCentred"/>
              <w:keepNext/>
              <w:keepLines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5810CA">
              <w:rPr>
                <w:rFonts w:ascii="Calibri" w:hAnsi="Calibri"/>
                <w:szCs w:val="20"/>
              </w:rPr>
              <w:t>Underlying cash balance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</w:t>
            </w:r>
            <w:r w:rsidR="00B00BA4">
              <w:rPr>
                <w:color w:val="000000"/>
                <w:sz w:val="20"/>
                <w:szCs w:val="20"/>
              </w:rPr>
              <w:t>25</w:t>
            </w:r>
            <w:r w:rsidR="004C4DD3">
              <w:rPr>
                <w:color w:val="000000"/>
                <w:sz w:val="20"/>
                <w:szCs w:val="20"/>
              </w:rPr>
              <w:t>.</w:t>
            </w:r>
            <w:r w:rsidR="00B00B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-30.3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-26.3</w:t>
            </w:r>
          </w:p>
        </w:tc>
        <w:tc>
          <w:tcPr>
            <w:tcW w:w="682" w:type="pct"/>
            <w:vAlign w:val="center"/>
          </w:tcPr>
          <w:p w:rsidR="00DC5400" w:rsidRPr="005810CA" w:rsidRDefault="00DC5400" w:rsidP="0028254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5810CA">
              <w:rPr>
                <w:color w:val="000000"/>
                <w:sz w:val="20"/>
                <w:szCs w:val="20"/>
              </w:rPr>
              <w:t>-26.7</w:t>
            </w:r>
          </w:p>
        </w:tc>
        <w:tc>
          <w:tcPr>
            <w:tcW w:w="681" w:type="pct"/>
            <w:vAlign w:val="center"/>
          </w:tcPr>
          <w:p w:rsidR="00DC5400" w:rsidRPr="00C16235" w:rsidRDefault="00DC5400" w:rsidP="0028254A">
            <w:pPr>
              <w:spacing w:before="70" w:after="70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C16235">
              <w:rPr>
                <w:b/>
                <w:color w:val="000000"/>
                <w:sz w:val="20"/>
                <w:szCs w:val="20"/>
              </w:rPr>
              <w:t>-10</w:t>
            </w:r>
            <w:r w:rsidR="00B00BA4">
              <w:rPr>
                <w:b/>
                <w:color w:val="000000"/>
                <w:sz w:val="20"/>
                <w:szCs w:val="20"/>
              </w:rPr>
              <w:t>9</w:t>
            </w:r>
            <w:r w:rsidRPr="00C16235">
              <w:rPr>
                <w:b/>
                <w:color w:val="000000"/>
                <w:sz w:val="20"/>
                <w:szCs w:val="20"/>
              </w:rPr>
              <w:t>.</w:t>
            </w:r>
            <w:r w:rsidR="00B00BA4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A06940" w:rsidRPr="00CE56AC" w:rsidRDefault="00A06940">
      <w:pPr>
        <w:pStyle w:val="Footnotes"/>
      </w:pPr>
      <w:r w:rsidRPr="00A06940">
        <w:t xml:space="preserve"> A </w:t>
      </w:r>
      <w:r w:rsidRPr="00CE56AC">
        <w:t xml:space="preserve">positive number indicates an increase in the relevant budget balance, a negative number a decrease.  </w:t>
      </w:r>
    </w:p>
    <w:p w:rsidR="004A76D1" w:rsidRDefault="00A06940">
      <w:pPr>
        <w:pStyle w:val="Footnotes"/>
      </w:pPr>
      <w:r w:rsidRPr="00CE56AC">
        <w:t>Figures</w:t>
      </w:r>
      <w:r w:rsidRPr="00A06940">
        <w:t xml:space="preserve"> may not sum to totals due to rounding.</w:t>
      </w:r>
      <w:r w:rsidR="004A76D1" w:rsidRPr="003038C0">
        <w:t xml:space="preserve">  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DC5400" w:rsidRDefault="00DC5400" w:rsidP="00DC5400">
      <w:r>
        <w:t>It has been assumed that:</w:t>
      </w:r>
    </w:p>
    <w:p w:rsidR="00DC5400" w:rsidRPr="00CE56AC" w:rsidRDefault="00DC5400">
      <w:pPr>
        <w:pStyle w:val="Bullet1"/>
      </w:pPr>
      <w:r w:rsidRPr="00CE56AC">
        <w:t xml:space="preserve">the </w:t>
      </w:r>
      <w:r w:rsidR="00CE56AC">
        <w:t>c</w:t>
      </w:r>
      <w:r w:rsidRPr="00CE56AC">
        <w:t>ommission would be of a similar size and scope to the NSW ICAC</w:t>
      </w:r>
    </w:p>
    <w:p w:rsidR="00DC5400" w:rsidRPr="00DC5400" w:rsidRDefault="00DC5400">
      <w:pPr>
        <w:pStyle w:val="Bullet1"/>
      </w:pPr>
      <w:r w:rsidRPr="00CE56AC">
        <w:t>ca</w:t>
      </w:r>
      <w:r w:rsidRPr="00DC5400">
        <w:t xml:space="preserve">pital works relating to the establishment of the </w:t>
      </w:r>
      <w:r w:rsidR="00CE56AC">
        <w:t>c</w:t>
      </w:r>
      <w:r w:rsidRPr="00DC5400">
        <w:t xml:space="preserve">ommission would be undertaken over the first </w:t>
      </w:r>
      <w:r w:rsidR="00A6084E">
        <w:t>21</w:t>
      </w:r>
      <w:r w:rsidRPr="00DC5400">
        <w:t xml:space="preserve">months from the establishment date of 1 </w:t>
      </w:r>
      <w:r w:rsidR="00A6084E">
        <w:t>September 2016</w:t>
      </w:r>
      <w:r w:rsidRPr="00DC5400">
        <w:t>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DC5400" w:rsidRDefault="00DC5400" w:rsidP="00DC5400">
      <w:r>
        <w:t xml:space="preserve">Departmental </w:t>
      </w:r>
      <w:r w:rsidR="00C75323">
        <w:t>expenses</w:t>
      </w:r>
      <w:r>
        <w:t xml:space="preserve"> estimates are based on NSW ICAC </w:t>
      </w:r>
      <w:r w:rsidR="00C75323">
        <w:t>expenses</w:t>
      </w:r>
      <w:r>
        <w:t xml:space="preserve"> estimates for 2015-16 projected to account for the net effect of indexation parameters and the efficiency dividend, in accordance with the Department of Finance’s costing practices.  The estimate for 2016-17 accounts for a </w:t>
      </w:r>
      <w:r w:rsidR="00A6084E">
        <w:t>part</w:t>
      </w:r>
      <w:r>
        <w:t xml:space="preserve"> effect due to the 1 </w:t>
      </w:r>
      <w:r w:rsidR="00A6084E">
        <w:t xml:space="preserve">September 2016 </w:t>
      </w:r>
      <w:r>
        <w:t>start date.</w:t>
      </w:r>
    </w:p>
    <w:p w:rsidR="00DC5400" w:rsidRDefault="00DC5400" w:rsidP="00DC5400">
      <w:r>
        <w:t xml:space="preserve">Departmental capital </w:t>
      </w:r>
      <w:r w:rsidR="00C75323">
        <w:t>expenses</w:t>
      </w:r>
      <w:r>
        <w:t xml:space="preserve"> </w:t>
      </w:r>
      <w:r w:rsidR="006922FD">
        <w:t>were</w:t>
      </w:r>
      <w:r>
        <w:t xml:space="preserve"> estimated based on </w:t>
      </w:r>
      <w:r w:rsidR="00C75323">
        <w:t>expenses</w:t>
      </w:r>
      <w:r>
        <w:t xml:space="preserve"> for the recent upgrade of infrastructure for </w:t>
      </w:r>
      <w:r w:rsidR="00CE56AC">
        <w:t xml:space="preserve">the </w:t>
      </w:r>
      <w:r>
        <w:t>NSW ICAC.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DC5400" w:rsidRDefault="00DC5400" w:rsidP="0028254A">
      <w:pPr>
        <w:pStyle w:val="Bullet1"/>
      </w:pPr>
      <w:r>
        <w:t xml:space="preserve">The Department of Finance provided indexation and efficiency dividend parameters. </w:t>
      </w:r>
    </w:p>
    <w:p w:rsidR="00DC5400" w:rsidRDefault="00DC5400" w:rsidP="0028254A">
      <w:pPr>
        <w:pStyle w:val="Bullet1"/>
      </w:pPr>
      <w:r>
        <w:t>NSW Independent Commission Against Corruption Annual Reports.</w:t>
      </w:r>
    </w:p>
    <w:p w:rsidR="00DC5400" w:rsidRDefault="00DC5400" w:rsidP="0028254A">
      <w:pPr>
        <w:pStyle w:val="Bullet1"/>
      </w:pPr>
      <w:r>
        <w:t>NSW Government 2015-16 Budget Paper 3.</w:t>
      </w:r>
    </w:p>
    <w:p w:rsidR="00CA5D42" w:rsidRPr="00FC6579" w:rsidRDefault="00CA5D42" w:rsidP="00FC6579">
      <w:pPr>
        <w:pStyle w:val="Bullet3"/>
        <w:rPr>
          <w:highlight w:val="yellow"/>
        </w:rPr>
        <w:sectPr w:rsidR="00CA5D42" w:rsidRPr="00FC6579" w:rsidSect="00002D5D">
          <w:headerReference w:type="first" r:id="rId13"/>
          <w:footerReference w:type="first" r:id="rId14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 w:rsidP="00DC5400">
      <w:pPr>
        <w:pStyle w:val="Heading1"/>
      </w:pPr>
      <w:r w:rsidRPr="00FC6579">
        <w:lastRenderedPageBreak/>
        <w:t>Attachment A:</w:t>
      </w:r>
      <w:r w:rsidR="0039633A">
        <w:t xml:space="preserve"> </w:t>
      </w:r>
      <w:r w:rsidR="00DC5400" w:rsidRPr="00DC5400">
        <w:t>National anti-corruption watchdog</w:t>
      </w:r>
      <w:r w:rsidR="00440E32">
        <w:t>—financial implications</w:t>
      </w:r>
    </w:p>
    <w:p w:rsidR="00F52474" w:rsidRPr="00FC6579" w:rsidRDefault="00F52474" w:rsidP="00FC6579">
      <w:pPr>
        <w:pStyle w:val="Captionheading"/>
      </w:pPr>
      <w:r w:rsidRPr="00FC6579">
        <w:t xml:space="preserve">Table </w:t>
      </w:r>
      <w:r w:rsidR="00DC5400">
        <w:t>A1</w:t>
      </w:r>
      <w:r w:rsidRPr="00FC6579">
        <w:t xml:space="preserve">: </w:t>
      </w:r>
      <w:r w:rsidR="005B4FF0">
        <w:t>National anti-corruption watchdog—Financial implications (outturn prices)</w:t>
      </w:r>
      <w:r w:rsidR="005B4FF0">
        <w:rPr>
          <w:vertAlign w:val="superscript"/>
        </w:rPr>
        <w:t>(a)(b)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24"/>
        <w:gridCol w:w="898"/>
        <w:gridCol w:w="896"/>
        <w:gridCol w:w="896"/>
        <w:gridCol w:w="896"/>
        <w:gridCol w:w="901"/>
        <w:gridCol w:w="896"/>
        <w:gridCol w:w="896"/>
        <w:gridCol w:w="896"/>
        <w:gridCol w:w="896"/>
        <w:gridCol w:w="896"/>
        <w:gridCol w:w="896"/>
        <w:gridCol w:w="896"/>
        <w:gridCol w:w="899"/>
      </w:tblGrid>
      <w:tr w:rsidR="0028254A" w:rsidRPr="00B31810" w:rsidTr="00CE56A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28254A">
              <w:rPr>
                <w:sz w:val="20"/>
                <w:szCs w:val="20"/>
              </w:rPr>
              <w:t>($m)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957285" w:rsidRPr="00CD5652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D5652">
              <w:rPr>
                <w:szCs w:val="20"/>
              </w:rPr>
              <w:t>2016–17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A6084E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6084E">
              <w:rPr>
                <w:szCs w:val="20"/>
              </w:rPr>
              <w:t>2017–18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2180D">
              <w:rPr>
                <w:szCs w:val="20"/>
              </w:rPr>
              <w:t>2018–19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2019–20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28254A">
              <w:rPr>
                <w:b/>
                <w:szCs w:val="20"/>
              </w:rPr>
              <w:t>Total to 2019–20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2020–21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2021–22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2022–23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2023–24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2024–25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2025–26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957285" w:rsidRPr="0028254A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8254A">
              <w:rPr>
                <w:szCs w:val="20"/>
              </w:rPr>
              <w:t>2026–27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957285" w:rsidRPr="00E61D31" w:rsidRDefault="00957285" w:rsidP="0028254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D31">
              <w:rPr>
                <w:b/>
              </w:rPr>
              <w:t>Total to 2026–27</w:t>
            </w:r>
          </w:p>
        </w:tc>
      </w:tr>
      <w:tr w:rsidR="00E61D31" w:rsidRPr="00EF1D6A" w:rsidTr="00E61D31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61D31" w:rsidRPr="00E61D31" w:rsidRDefault="00E61D31" w:rsidP="0028254A">
            <w:pPr>
              <w:pStyle w:val="TableHeadingCentred"/>
              <w:spacing w:line="240" w:lineRule="auto"/>
              <w:ind w:left="57" w:right="57"/>
              <w:jc w:val="left"/>
              <w:rPr>
                <w:b/>
              </w:rPr>
            </w:pPr>
            <w:r w:rsidRPr="00E61D31">
              <w:rPr>
                <w:b/>
              </w:rPr>
              <w:t>Fisc</w:t>
            </w:r>
            <w:r w:rsidR="00493772">
              <w:rPr>
                <w:b/>
              </w:rPr>
              <w:t>al and underlying cash balances</w:t>
            </w:r>
          </w:p>
        </w:tc>
      </w:tr>
      <w:tr w:rsidR="00DC5400" w:rsidTr="00E61D3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:rsidR="00DC5400" w:rsidRPr="005810CA" w:rsidRDefault="00E61D31" w:rsidP="0028254A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Departmental </w:t>
            </w:r>
          </w:p>
        </w:tc>
        <w:tc>
          <w:tcPr>
            <w:tcW w:w="326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</w:t>
            </w:r>
            <w:r w:rsidR="00112C76">
              <w:rPr>
                <w:i/>
                <w:color w:val="000000"/>
                <w:sz w:val="20"/>
                <w:szCs w:val="20"/>
              </w:rPr>
              <w:t>2</w:t>
            </w:r>
            <w:r w:rsidR="00B00BA4">
              <w:rPr>
                <w:i/>
                <w:color w:val="000000"/>
                <w:sz w:val="20"/>
                <w:szCs w:val="20"/>
              </w:rPr>
              <w:t>5</w:t>
            </w:r>
            <w:r w:rsidR="00112C76">
              <w:rPr>
                <w:i/>
                <w:color w:val="000000"/>
                <w:sz w:val="20"/>
                <w:szCs w:val="20"/>
              </w:rPr>
              <w:t>.</w:t>
            </w:r>
            <w:r w:rsidR="00B00BA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-30.3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-26.3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-26.7</w:t>
            </w:r>
          </w:p>
        </w:tc>
        <w:tc>
          <w:tcPr>
            <w:tcW w:w="327" w:type="pct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0"/>
                <w:szCs w:val="20"/>
              </w:rPr>
            </w:pPr>
            <w:r w:rsidRPr="00E61D31">
              <w:rPr>
                <w:b/>
                <w:i/>
                <w:color w:val="000000"/>
                <w:sz w:val="20"/>
                <w:szCs w:val="20"/>
              </w:rPr>
              <w:t>-10</w:t>
            </w:r>
            <w:r w:rsidR="00B00BA4">
              <w:rPr>
                <w:b/>
                <w:i/>
                <w:color w:val="000000"/>
                <w:sz w:val="20"/>
                <w:szCs w:val="20"/>
              </w:rPr>
              <w:t>9</w:t>
            </w:r>
            <w:r w:rsidRPr="00E61D31">
              <w:rPr>
                <w:b/>
                <w:i/>
                <w:color w:val="000000"/>
                <w:sz w:val="20"/>
                <w:szCs w:val="20"/>
              </w:rPr>
              <w:t>.</w:t>
            </w:r>
            <w:r w:rsidR="00B00BA4"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-27.2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-27.7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-28.2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-28.7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-29.2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-29.7</w:t>
            </w:r>
          </w:p>
        </w:tc>
        <w:tc>
          <w:tcPr>
            <w:tcW w:w="325" w:type="pct"/>
            <w:vAlign w:val="center"/>
          </w:tcPr>
          <w:p w:rsidR="00DC5400" w:rsidRPr="00C16235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0"/>
                <w:szCs w:val="20"/>
              </w:rPr>
            </w:pPr>
            <w:r w:rsidRPr="00C16235">
              <w:rPr>
                <w:i/>
                <w:color w:val="000000"/>
                <w:sz w:val="20"/>
                <w:szCs w:val="20"/>
              </w:rPr>
              <w:t>-30.3</w:t>
            </w:r>
          </w:p>
        </w:tc>
        <w:tc>
          <w:tcPr>
            <w:tcW w:w="326" w:type="pct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0"/>
                <w:szCs w:val="20"/>
              </w:rPr>
            </w:pPr>
            <w:r w:rsidRPr="00E61D31">
              <w:rPr>
                <w:b/>
                <w:i/>
                <w:color w:val="000000"/>
                <w:sz w:val="20"/>
                <w:szCs w:val="20"/>
              </w:rPr>
              <w:t>-3</w:t>
            </w:r>
            <w:r w:rsidR="00B00BA4">
              <w:rPr>
                <w:b/>
                <w:i/>
                <w:color w:val="000000"/>
                <w:sz w:val="20"/>
                <w:szCs w:val="20"/>
              </w:rPr>
              <w:t>10</w:t>
            </w:r>
            <w:r w:rsidRPr="00E61D31">
              <w:rPr>
                <w:b/>
                <w:i/>
                <w:color w:val="000000"/>
                <w:sz w:val="20"/>
                <w:szCs w:val="20"/>
              </w:rPr>
              <w:t>.</w:t>
            </w:r>
            <w:r w:rsidR="00B00BA4"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28254A" w:rsidRPr="00E61D31" w:rsidTr="00E61D3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shd w:val="clear" w:color="auto" w:fill="D7DDE9"/>
          </w:tcPr>
          <w:p w:rsidR="00DC5400" w:rsidRPr="00E61D31" w:rsidRDefault="00E61D31" w:rsidP="0028254A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Total</w:t>
            </w:r>
            <w:r w:rsidR="00DC5400" w:rsidRPr="00E61D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</w:t>
            </w:r>
            <w:r w:rsidR="00B00BA4">
              <w:rPr>
                <w:b/>
                <w:sz w:val="20"/>
                <w:szCs w:val="20"/>
              </w:rPr>
              <w:t>25</w:t>
            </w:r>
            <w:r w:rsidR="00112C76">
              <w:rPr>
                <w:b/>
                <w:sz w:val="20"/>
                <w:szCs w:val="20"/>
              </w:rPr>
              <w:t>.</w:t>
            </w:r>
            <w:r w:rsidR="00B00BA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-30.3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-26.3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-26.7</w:t>
            </w:r>
          </w:p>
        </w:tc>
        <w:tc>
          <w:tcPr>
            <w:tcW w:w="327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-10</w:t>
            </w:r>
            <w:r w:rsidR="00B00BA4">
              <w:rPr>
                <w:b/>
                <w:sz w:val="20"/>
                <w:szCs w:val="20"/>
              </w:rPr>
              <w:t>9</w:t>
            </w:r>
            <w:r w:rsidRPr="00E61D31">
              <w:rPr>
                <w:b/>
                <w:sz w:val="20"/>
                <w:szCs w:val="20"/>
              </w:rPr>
              <w:t>.</w:t>
            </w:r>
            <w:r w:rsidR="00B00B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-27.2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-27.7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-28.2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-28.7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-29.2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-29.7</w:t>
            </w:r>
          </w:p>
        </w:tc>
        <w:tc>
          <w:tcPr>
            <w:tcW w:w="325" w:type="pct"/>
            <w:shd w:val="clear" w:color="auto" w:fill="D7DDE9"/>
            <w:vAlign w:val="center"/>
          </w:tcPr>
          <w:p w:rsidR="00DC5400" w:rsidRPr="00E61D31" w:rsidRDefault="00DC5400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61D31">
              <w:rPr>
                <w:b/>
                <w:sz w:val="20"/>
                <w:szCs w:val="20"/>
              </w:rPr>
              <w:t>-30.3</w:t>
            </w:r>
          </w:p>
        </w:tc>
        <w:tc>
          <w:tcPr>
            <w:tcW w:w="326" w:type="pct"/>
            <w:shd w:val="clear" w:color="auto" w:fill="D7DDE9"/>
            <w:vAlign w:val="center"/>
          </w:tcPr>
          <w:p w:rsidR="00DC5400" w:rsidRPr="00E61D31" w:rsidRDefault="00B00BA4" w:rsidP="0028254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-310</w:t>
            </w:r>
            <w:r w:rsidR="00DC5400" w:rsidRPr="00E61D3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085C3E" w:rsidRPr="00CE56AC" w:rsidRDefault="00A06940" w:rsidP="0028254A">
      <w:pPr>
        <w:pStyle w:val="Footnotes"/>
        <w:numPr>
          <w:ilvl w:val="0"/>
          <w:numId w:val="16"/>
        </w:numPr>
        <w:ind w:left="284" w:hanging="284"/>
      </w:pPr>
      <w:r w:rsidRPr="00A06940">
        <w:t xml:space="preserve">A </w:t>
      </w:r>
      <w:r w:rsidRPr="00CE56AC">
        <w:t>positive number indicates an increase in revenue or decrease in expenses or net capital investment in accrual and cash terms. A negative number indicates a decrease in revenue or an increase in expenses or net capital investment in accrual and cash terms</w:t>
      </w:r>
      <w:r w:rsidR="00085C3E" w:rsidRPr="00CE56AC">
        <w:t>.</w:t>
      </w:r>
    </w:p>
    <w:p w:rsidR="00085C3E" w:rsidRPr="00CE56AC" w:rsidRDefault="00085C3E">
      <w:pPr>
        <w:pStyle w:val="Footnotes"/>
      </w:pPr>
      <w:r w:rsidRPr="00CE56AC">
        <w:t>Figures may not sum to totals due to rounding.</w:t>
      </w:r>
    </w:p>
    <w:p w:rsidR="00085C3E" w:rsidRPr="00CE56AC" w:rsidRDefault="00085C3E" w:rsidP="0028254A">
      <w:pPr>
        <w:pStyle w:val="Footnotes"/>
        <w:numPr>
          <w:ilvl w:val="0"/>
          <w:numId w:val="0"/>
        </w:numPr>
        <w:ind w:left="284" w:hanging="284"/>
      </w:pPr>
      <w:r w:rsidRPr="00CE56AC">
        <w:t>..</w:t>
      </w:r>
      <w:r w:rsidRPr="00CE56AC">
        <w:tab/>
        <w:t>Not zero but rounded to zero.</w:t>
      </w:r>
    </w:p>
    <w:p w:rsidR="00085C3E" w:rsidRDefault="00085C3E" w:rsidP="0028254A">
      <w:pPr>
        <w:pStyle w:val="Footnotes"/>
        <w:numPr>
          <w:ilvl w:val="0"/>
          <w:numId w:val="0"/>
        </w:numPr>
        <w:ind w:left="284" w:hanging="284"/>
      </w:pPr>
      <w:r w:rsidRPr="00CE56AC">
        <w:t>-</w:t>
      </w:r>
      <w:r w:rsidRPr="00CE56AC">
        <w:tab/>
        <w:t>Indicates</w:t>
      </w:r>
      <w:r>
        <w:t xml:space="preserve"> nil.</w:t>
      </w:r>
    </w:p>
    <w:sectPr w:rsidR="00085C3E" w:rsidSect="004A76D1">
      <w:headerReference w:type="first" r:id="rId15"/>
      <w:footerReference w:type="first" r:id="rId16"/>
      <w:pgSz w:w="16838" w:h="11906" w:orient="landscape"/>
      <w:pgMar w:top="1797" w:right="1361" w:bottom="179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24" w:rsidRDefault="003F2724" w:rsidP="008F588A">
      <w:pPr>
        <w:spacing w:line="240" w:lineRule="auto"/>
      </w:pPr>
      <w:r>
        <w:separator/>
      </w:r>
    </w:p>
    <w:p w:rsidR="003F2724" w:rsidRDefault="003F2724"/>
  </w:endnote>
  <w:endnote w:type="continuationSeparator" w:id="0">
    <w:p w:rsidR="003F2724" w:rsidRDefault="003F2724" w:rsidP="008F588A">
      <w:pPr>
        <w:spacing w:line="240" w:lineRule="auto"/>
      </w:pPr>
      <w:r>
        <w:continuationSeparator/>
      </w:r>
    </w:p>
    <w:p w:rsidR="003F2724" w:rsidRDefault="003F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5C3E8B">
      <w:rPr>
        <w:noProof/>
      </w:rPr>
      <w:t>3</w:t>
    </w:r>
    <w:r w:rsidRPr="00C24267">
      <w:fldChar w:fldCharType="end"/>
    </w:r>
    <w:r w:rsidRPr="00C24267">
      <w:t xml:space="preserve"> of </w:t>
    </w:r>
    <w:fldSimple w:instr=" NUMPAGES  \* Arabic  \* MERGEFORMAT ">
      <w:r w:rsidR="005C3E8B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Letterfooter"/>
    </w:pPr>
    <w:r w:rsidRPr="00C24267">
      <w:t>Parliamentary Budget Office   PO Box 6010   Parliament House   Canberra ACT 2600</w:t>
    </w:r>
  </w:p>
  <w:p w:rsidR="001278D0" w:rsidRPr="00C24267" w:rsidRDefault="001278D0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5C3E8B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5C3E8B">
        <w:rPr>
          <w:noProof/>
        </w:rPr>
        <w:t>4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5C3E8B">
      <w:rPr>
        <w:noProof/>
      </w:rPr>
      <w:t>4</w:t>
    </w:r>
    <w:r w:rsidRPr="00C24267">
      <w:fldChar w:fldCharType="end"/>
    </w:r>
    <w:r w:rsidRPr="00C24267">
      <w:t xml:space="preserve"> of </w:t>
    </w:r>
    <w:fldSimple w:instr=" NUMPAGES  \* Arabic  \* MERGEFORMAT ">
      <w:r w:rsidR="005C3E8B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24" w:rsidRDefault="003F2724" w:rsidP="008F588A">
      <w:pPr>
        <w:spacing w:line="240" w:lineRule="auto"/>
      </w:pPr>
      <w:r>
        <w:separator/>
      </w:r>
    </w:p>
    <w:p w:rsidR="003F2724" w:rsidRDefault="003F2724"/>
  </w:footnote>
  <w:footnote w:type="continuationSeparator" w:id="0">
    <w:p w:rsidR="003F2724" w:rsidRDefault="003F2724" w:rsidP="008F588A">
      <w:pPr>
        <w:spacing w:line="240" w:lineRule="auto"/>
      </w:pPr>
      <w:r>
        <w:continuationSeparator/>
      </w:r>
    </w:p>
    <w:p w:rsidR="003F2724" w:rsidRDefault="003F27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17112" w:rsidRDefault="001278D0" w:rsidP="00C17112">
    <w:pPr>
      <w:pStyle w:val="Header"/>
      <w:spacing w:before="0" w:after="0"/>
      <w:jc w:val="right"/>
      <w:rPr>
        <w:b/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Default="001278D0" w:rsidP="00CB40E1">
    <w:pPr>
      <w:pStyle w:val="Header"/>
    </w:pPr>
    <w:r>
      <w:rPr>
        <w:noProof/>
        <w:lang w:eastAsia="en-AU"/>
      </w:rPr>
      <w:drawing>
        <wp:inline distT="0" distB="0" distL="0" distR="0" wp14:anchorId="07C9AF70" wp14:editId="5F5C2351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8D0" w:rsidRPr="00DA1C8A" w:rsidRDefault="001278D0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17112" w:rsidRDefault="001278D0" w:rsidP="00C17112">
    <w:pPr>
      <w:pStyle w:val="Header"/>
    </w:pPr>
    <w:r>
      <w:rPr>
        <w:noProof/>
        <w:lang w:eastAsia="en-AU"/>
      </w:rPr>
      <w:drawing>
        <wp:inline distT="0" distB="0" distL="0" distR="0" wp14:anchorId="75C28CE5" wp14:editId="43A4162B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17112" w:rsidRDefault="001278D0" w:rsidP="00C17112">
    <w:pPr>
      <w:pStyle w:val="Header"/>
      <w:spacing w:before="0" w:after="0"/>
      <w:jc w:val="right"/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C6517F"/>
    <w:multiLevelType w:val="hybridMultilevel"/>
    <w:tmpl w:val="52366E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B5B0D"/>
    <w:multiLevelType w:val="hybridMultilevel"/>
    <w:tmpl w:val="90DE1BDA"/>
    <w:lvl w:ilvl="0" w:tplc="B19E6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9"/>
  </w:num>
  <w:num w:numId="1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attachedTemplate r:id="rId1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24"/>
    <w:rsid w:val="00002D5D"/>
    <w:rsid w:val="00040DCE"/>
    <w:rsid w:val="00085C3E"/>
    <w:rsid w:val="000874AD"/>
    <w:rsid w:val="00096F3A"/>
    <w:rsid w:val="000C1A75"/>
    <w:rsid w:val="00112C76"/>
    <w:rsid w:val="001278D0"/>
    <w:rsid w:val="0014239B"/>
    <w:rsid w:val="001A02D1"/>
    <w:rsid w:val="00220BE5"/>
    <w:rsid w:val="002422A3"/>
    <w:rsid w:val="0028254A"/>
    <w:rsid w:val="00315E34"/>
    <w:rsid w:val="00326DE2"/>
    <w:rsid w:val="0039633A"/>
    <w:rsid w:val="003C1C0D"/>
    <w:rsid w:val="003F2724"/>
    <w:rsid w:val="003F73CA"/>
    <w:rsid w:val="00440E32"/>
    <w:rsid w:val="00461597"/>
    <w:rsid w:val="00493772"/>
    <w:rsid w:val="004A76D1"/>
    <w:rsid w:val="004C283B"/>
    <w:rsid w:val="004C4DD3"/>
    <w:rsid w:val="004D13ED"/>
    <w:rsid w:val="004D5525"/>
    <w:rsid w:val="004F0D21"/>
    <w:rsid w:val="005035DA"/>
    <w:rsid w:val="00507897"/>
    <w:rsid w:val="00511806"/>
    <w:rsid w:val="00515A85"/>
    <w:rsid w:val="00545F24"/>
    <w:rsid w:val="0055581F"/>
    <w:rsid w:val="0056229A"/>
    <w:rsid w:val="00570154"/>
    <w:rsid w:val="00570B5A"/>
    <w:rsid w:val="005810CA"/>
    <w:rsid w:val="005B4FF0"/>
    <w:rsid w:val="005C3E8B"/>
    <w:rsid w:val="005C6967"/>
    <w:rsid w:val="005E3562"/>
    <w:rsid w:val="005F7DE0"/>
    <w:rsid w:val="00640346"/>
    <w:rsid w:val="00660385"/>
    <w:rsid w:val="00662E65"/>
    <w:rsid w:val="0066665A"/>
    <w:rsid w:val="006922FD"/>
    <w:rsid w:val="00692DD8"/>
    <w:rsid w:val="006F0CE9"/>
    <w:rsid w:val="007202A8"/>
    <w:rsid w:val="00727A2F"/>
    <w:rsid w:val="007B029A"/>
    <w:rsid w:val="007C201F"/>
    <w:rsid w:val="007D33AA"/>
    <w:rsid w:val="007F7BCF"/>
    <w:rsid w:val="008030EC"/>
    <w:rsid w:val="00811D6D"/>
    <w:rsid w:val="00844776"/>
    <w:rsid w:val="008850D9"/>
    <w:rsid w:val="00892D22"/>
    <w:rsid w:val="00895E4C"/>
    <w:rsid w:val="008A4578"/>
    <w:rsid w:val="008C03C3"/>
    <w:rsid w:val="008D3909"/>
    <w:rsid w:val="008F588A"/>
    <w:rsid w:val="00902D2D"/>
    <w:rsid w:val="00915804"/>
    <w:rsid w:val="009258C7"/>
    <w:rsid w:val="00957285"/>
    <w:rsid w:val="009573AF"/>
    <w:rsid w:val="009963ED"/>
    <w:rsid w:val="009D4063"/>
    <w:rsid w:val="00A06940"/>
    <w:rsid w:val="00A2180D"/>
    <w:rsid w:val="00A41BD3"/>
    <w:rsid w:val="00A449C2"/>
    <w:rsid w:val="00A6084E"/>
    <w:rsid w:val="00AA3D6F"/>
    <w:rsid w:val="00AB6F7D"/>
    <w:rsid w:val="00AB78C3"/>
    <w:rsid w:val="00AC7878"/>
    <w:rsid w:val="00AD493E"/>
    <w:rsid w:val="00B00BA4"/>
    <w:rsid w:val="00B06055"/>
    <w:rsid w:val="00B36E5D"/>
    <w:rsid w:val="00B44D8A"/>
    <w:rsid w:val="00B73AC8"/>
    <w:rsid w:val="00B747A7"/>
    <w:rsid w:val="00BC559C"/>
    <w:rsid w:val="00C16235"/>
    <w:rsid w:val="00C17112"/>
    <w:rsid w:val="00C24267"/>
    <w:rsid w:val="00C75323"/>
    <w:rsid w:val="00CA5D42"/>
    <w:rsid w:val="00CB40E1"/>
    <w:rsid w:val="00CD5652"/>
    <w:rsid w:val="00CE56AC"/>
    <w:rsid w:val="00CF6DB6"/>
    <w:rsid w:val="00D134CA"/>
    <w:rsid w:val="00DA1C8A"/>
    <w:rsid w:val="00DB44F0"/>
    <w:rsid w:val="00DB5925"/>
    <w:rsid w:val="00DC5400"/>
    <w:rsid w:val="00DD109E"/>
    <w:rsid w:val="00DD3E18"/>
    <w:rsid w:val="00E12103"/>
    <w:rsid w:val="00E15AAE"/>
    <w:rsid w:val="00E21184"/>
    <w:rsid w:val="00E355F6"/>
    <w:rsid w:val="00E40B8B"/>
    <w:rsid w:val="00E4413D"/>
    <w:rsid w:val="00E5742E"/>
    <w:rsid w:val="00E61D31"/>
    <w:rsid w:val="00EA265F"/>
    <w:rsid w:val="00ED43FF"/>
    <w:rsid w:val="00ED60EE"/>
    <w:rsid w:val="00EF1D6A"/>
    <w:rsid w:val="00EF2E51"/>
    <w:rsid w:val="00F31E24"/>
    <w:rsid w:val="00F52474"/>
    <w:rsid w:val="00F5669E"/>
    <w:rsid w:val="00F75D33"/>
    <w:rsid w:val="00F851AE"/>
    <w:rsid w:val="00F954CF"/>
    <w:rsid w:val="00F96D0B"/>
    <w:rsid w:val="00FC6579"/>
    <w:rsid w:val="00FD3FB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DC5400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DC5400"/>
    <w:pPr>
      <w:spacing w:before="240"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5400"/>
    <w:rPr>
      <w:rFonts w:ascii="Times New Roman" w:hAnsi="Times New Roman" w:cs="Times New Roman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DC5400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DC5400"/>
    <w:pPr>
      <w:spacing w:before="240"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5400"/>
    <w:rPr>
      <w:rFonts w:ascii="Times New Roman" w:hAnsi="Times New Roman" w:cs="Times New Roman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.gov.au/pbo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GRN018 - A National Anti-Corruption Watchdog - 24 June 2016</vt:lpstr>
    </vt:vector>
  </TitlesOfParts>
  <Company>Parliament of Australia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GRN018 - A National Anti-Corruption Watchdog - 24 June 2016</dc:title>
  <dc:creator>Parliamentary Budget Office</dc:creator>
  <cp:lastModifiedBy>Milligan, Louise (PBO)</cp:lastModifiedBy>
  <cp:revision>10</cp:revision>
  <cp:lastPrinted>2016-06-24T10:46:00Z</cp:lastPrinted>
  <dcterms:created xsi:type="dcterms:W3CDTF">2016-06-26T23:30:00Z</dcterms:created>
  <dcterms:modified xsi:type="dcterms:W3CDTF">2016-06-27T01:10:00Z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