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19" w:rsidRPr="004343A3" w:rsidRDefault="00753319" w:rsidP="00437D6A">
      <w:pPr>
        <w:pStyle w:val="Lettertext"/>
        <w:spacing w:before="1560"/>
      </w:pPr>
      <w:bookmarkStart w:id="0" w:name="_GoBack"/>
      <w:bookmarkEnd w:id="0"/>
      <w:r w:rsidRPr="004343A3">
        <w:t>Senator Richard Di Natale</w:t>
      </w:r>
    </w:p>
    <w:p w:rsidR="00753319" w:rsidRDefault="00753319" w:rsidP="00437D6A">
      <w:pPr>
        <w:pStyle w:val="Lettertext"/>
        <w:spacing w:before="0"/>
      </w:pPr>
      <w:r w:rsidRPr="004343A3">
        <w:t>Leader of the Australian Greens</w:t>
      </w:r>
    </w:p>
    <w:p w:rsidR="00040DCE" w:rsidRPr="00002D5D" w:rsidRDefault="005C6967" w:rsidP="00437D6A">
      <w:pPr>
        <w:pStyle w:val="Lettertext"/>
        <w:spacing w:before="0"/>
      </w:pPr>
      <w:r>
        <w:t>Parliament House</w:t>
      </w:r>
    </w:p>
    <w:p w:rsidR="00040DCE" w:rsidRPr="00002D5D" w:rsidRDefault="005C6967" w:rsidP="00437D6A">
      <w:pPr>
        <w:pStyle w:val="Lettertext"/>
        <w:spacing w:before="0"/>
      </w:pPr>
      <w:proofErr w:type="gramStart"/>
      <w:r>
        <w:t>CANBERRA  ACT</w:t>
      </w:r>
      <w:proofErr w:type="gramEnd"/>
      <w:r>
        <w:t xml:space="preserve">  2600</w:t>
      </w:r>
    </w:p>
    <w:p w:rsidR="00040DCE" w:rsidRPr="00002D5D" w:rsidRDefault="00040DCE" w:rsidP="00437D6A">
      <w:pPr>
        <w:pStyle w:val="Lettertext"/>
        <w:spacing w:before="360"/>
      </w:pPr>
      <w:r w:rsidRPr="00002D5D">
        <w:t xml:space="preserve">Dear </w:t>
      </w:r>
      <w:r w:rsidR="00753319" w:rsidRPr="004343A3">
        <w:t>Senator Di Natale</w:t>
      </w:r>
    </w:p>
    <w:p w:rsidR="00040DCE" w:rsidRPr="00002D5D" w:rsidRDefault="00040DCE" w:rsidP="00437D6A">
      <w:pPr>
        <w:pStyle w:val="Lettertext"/>
      </w:pPr>
      <w:r w:rsidRPr="00002D5D">
        <w:t xml:space="preserve">Please find attached a response to your costing request, </w:t>
      </w:r>
      <w:r w:rsidR="00A27B02">
        <w:rPr>
          <w:i/>
        </w:rPr>
        <w:t>Expanding Denticare</w:t>
      </w:r>
      <w:r w:rsidRPr="00002D5D">
        <w:t xml:space="preserve"> (letter of </w:t>
      </w:r>
      <w:r w:rsidR="00D76930">
        <w:t>24</w:t>
      </w:r>
      <w:r w:rsidR="00753319">
        <w:t xml:space="preserve"> June</w:t>
      </w:r>
      <w:r w:rsidRPr="00002D5D">
        <w:t xml:space="preserve"> 2016).</w:t>
      </w:r>
    </w:p>
    <w:p w:rsidR="00040DCE" w:rsidRPr="00002D5D" w:rsidRDefault="00040DCE" w:rsidP="00437D6A">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437D6A">
      <w:pPr>
        <w:pStyle w:val="Lettertext"/>
      </w:pPr>
      <w:r w:rsidRPr="00002D5D">
        <w:t xml:space="preserve">If you have any queries about this costing, please </w:t>
      </w:r>
      <w:r w:rsidR="00F75D33">
        <w:t>contact Colin </w:t>
      </w:r>
      <w:r w:rsidRPr="00002D5D">
        <w:t>Brown on (02) 6277 9530.</w:t>
      </w:r>
    </w:p>
    <w:p w:rsidR="00040DCE" w:rsidRPr="00002D5D" w:rsidRDefault="00040DCE" w:rsidP="00437D6A">
      <w:pPr>
        <w:pStyle w:val="Lettertext"/>
      </w:pPr>
      <w:r w:rsidRPr="00002D5D">
        <w:t>Yours sincerely</w:t>
      </w:r>
    </w:p>
    <w:p w:rsidR="00040DCE" w:rsidRPr="00002D5D" w:rsidRDefault="00DA1C8A" w:rsidP="00437D6A">
      <w:pPr>
        <w:pStyle w:val="Lettertext"/>
        <w:spacing w:before="960"/>
      </w:pPr>
      <w:r w:rsidRPr="00002D5D">
        <w:t>Phil Bowen</w:t>
      </w:r>
    </w:p>
    <w:p w:rsidR="00096F3A" w:rsidRPr="00002D5D" w:rsidRDefault="003E5726" w:rsidP="003E5726">
      <w:pPr>
        <w:pStyle w:val="Lettertext"/>
        <w:spacing w:before="120"/>
      </w:pPr>
      <w:r>
        <w:t>2</w:t>
      </w:r>
      <w:r w:rsidR="006E644F">
        <w:t>5</w:t>
      </w:r>
      <w:r>
        <w:t xml:space="preserve"> </w:t>
      </w:r>
      <w:r w:rsidR="00753319">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even" r:id="rId10"/>
          <w:headerReference w:type="default" r:id="rId11"/>
          <w:footerReference w:type="even" r:id="rId12"/>
          <w:footerReference w:type="default" r:id="rId13"/>
          <w:headerReference w:type="first" r:id="rId14"/>
          <w:footerReference w:type="first" r:id="rId15"/>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ayout w:type="fixed"/>
        <w:tblCellMar>
          <w:left w:w="108" w:type="dxa"/>
          <w:right w:w="108" w:type="dxa"/>
        </w:tblCellMar>
        <w:tblLook w:val="04A0" w:firstRow="1" w:lastRow="0" w:firstColumn="1" w:lastColumn="0" w:noHBand="0" w:noVBand="1"/>
      </w:tblPr>
      <w:tblGrid>
        <w:gridCol w:w="3005"/>
        <w:gridCol w:w="5335"/>
      </w:tblGrid>
      <w:tr w:rsidR="004D5525" w:rsidRPr="00450BD1" w:rsidTr="00772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Pr="0088240A" w:rsidRDefault="004D5525" w:rsidP="00450BD1">
            <w:pPr>
              <w:ind w:left="0" w:right="0"/>
              <w:rPr>
                <w:b/>
                <w:sz w:val="22"/>
              </w:rPr>
            </w:pPr>
            <w:r w:rsidRPr="0088240A">
              <w:rPr>
                <w:b/>
                <w:sz w:val="22"/>
              </w:rPr>
              <w:t>Name of proposal:</w:t>
            </w:r>
          </w:p>
        </w:tc>
        <w:tc>
          <w:tcPr>
            <w:tcW w:w="5335" w:type="dxa"/>
          </w:tcPr>
          <w:p w:rsidR="004D5525" w:rsidRPr="0088240A" w:rsidRDefault="00A27B02" w:rsidP="00450BD1">
            <w:pPr>
              <w:ind w:left="0" w:right="0"/>
              <w:jc w:val="left"/>
              <w:cnfStyle w:val="100000000000" w:firstRow="1" w:lastRow="0" w:firstColumn="0" w:lastColumn="0" w:oddVBand="0" w:evenVBand="0" w:oddHBand="0" w:evenHBand="0" w:firstRowFirstColumn="0" w:firstRowLastColumn="0" w:lastRowFirstColumn="0" w:lastRowLastColumn="0"/>
              <w:rPr>
                <w:b/>
                <w:sz w:val="22"/>
              </w:rPr>
            </w:pPr>
            <w:r w:rsidRPr="0088240A">
              <w:rPr>
                <w:b/>
                <w:sz w:val="22"/>
              </w:rPr>
              <w:t>Expanding Denticare</w:t>
            </w:r>
          </w:p>
        </w:tc>
      </w:tr>
      <w:tr w:rsidR="004D5525" w:rsidTr="00450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top"/>
          </w:tcPr>
          <w:p w:rsidR="004D5525" w:rsidRPr="0077265A" w:rsidRDefault="004D5525" w:rsidP="00450BD1">
            <w:pPr>
              <w:pStyle w:val="BodyText"/>
              <w:spacing w:after="114"/>
              <w:ind w:left="0" w:right="0"/>
              <w:rPr>
                <w:sz w:val="22"/>
              </w:rPr>
            </w:pPr>
            <w:r w:rsidRPr="0077265A">
              <w:rPr>
                <w:sz w:val="22"/>
              </w:rPr>
              <w:t>Summary of proposal:</w:t>
            </w:r>
          </w:p>
        </w:tc>
        <w:tc>
          <w:tcPr>
            <w:tcW w:w="5335" w:type="dxa"/>
          </w:tcPr>
          <w:p w:rsidR="00306DEC" w:rsidRPr="0077265A" w:rsidRDefault="00306DEC" w:rsidP="0077265A">
            <w:pPr>
              <w:ind w:left="0" w:right="0"/>
              <w:cnfStyle w:val="000000100000" w:firstRow="0" w:lastRow="0" w:firstColumn="0" w:lastColumn="0" w:oddVBand="0" w:evenVBand="0" w:oddHBand="1" w:evenHBand="0" w:firstRowFirstColumn="0" w:firstRowLastColumn="0" w:lastRowFirstColumn="0" w:lastRowLastColumn="0"/>
              <w:rPr>
                <w:sz w:val="22"/>
              </w:rPr>
            </w:pPr>
            <w:r w:rsidRPr="0077265A">
              <w:rPr>
                <w:spacing w:val="-2"/>
                <w:sz w:val="22"/>
              </w:rPr>
              <w:t xml:space="preserve">The proposal </w:t>
            </w:r>
            <w:r w:rsidR="00A93123" w:rsidRPr="0077265A">
              <w:rPr>
                <w:spacing w:val="-2"/>
                <w:sz w:val="22"/>
              </w:rPr>
              <w:t xml:space="preserve">would not proceed with the </w:t>
            </w:r>
            <w:r w:rsidR="00E50794" w:rsidRPr="0077265A">
              <w:rPr>
                <w:spacing w:val="-2"/>
                <w:sz w:val="22"/>
              </w:rPr>
              <w:t xml:space="preserve">1 July 2016 </w:t>
            </w:r>
            <w:r w:rsidR="00A93123" w:rsidRPr="0077265A">
              <w:rPr>
                <w:spacing w:val="-2"/>
                <w:sz w:val="22"/>
              </w:rPr>
              <w:t xml:space="preserve">cessation of the </w:t>
            </w:r>
            <w:r w:rsidRPr="0077265A">
              <w:rPr>
                <w:sz w:val="22"/>
              </w:rPr>
              <w:t xml:space="preserve">Child Dental Benefits Scheme (CDBS) </w:t>
            </w:r>
            <w:r w:rsidR="00A93123" w:rsidRPr="0077265A">
              <w:rPr>
                <w:spacing w:val="-2"/>
                <w:sz w:val="22"/>
              </w:rPr>
              <w:t>and</w:t>
            </w:r>
            <w:r w:rsidR="0077265A" w:rsidRPr="0077265A">
              <w:rPr>
                <w:spacing w:val="-2"/>
                <w:sz w:val="22"/>
              </w:rPr>
              <w:t xml:space="preserve"> would</w:t>
            </w:r>
            <w:r w:rsidR="00A93123" w:rsidRPr="0077265A">
              <w:rPr>
                <w:spacing w:val="-2"/>
                <w:sz w:val="22"/>
              </w:rPr>
              <w:t>:</w:t>
            </w:r>
          </w:p>
          <w:p w:rsidR="006E5EA2" w:rsidRPr="0077265A" w:rsidRDefault="0077265A" w:rsidP="0077265A">
            <w:pPr>
              <w:pStyle w:val="Bullet1"/>
              <w:cnfStyle w:val="000000100000" w:firstRow="0" w:lastRow="0" w:firstColumn="0" w:lastColumn="0" w:oddVBand="0" w:evenVBand="0" w:oddHBand="1" w:evenHBand="0" w:firstRowFirstColumn="0" w:firstRowLastColumn="0" w:lastRowFirstColumn="0" w:lastRowLastColumn="0"/>
              <w:rPr>
                <w:sz w:val="22"/>
              </w:rPr>
            </w:pPr>
            <w:r w:rsidRPr="0077265A">
              <w:rPr>
                <w:sz w:val="22"/>
              </w:rPr>
              <w:t>f</w:t>
            </w:r>
            <w:r w:rsidR="006E5EA2" w:rsidRPr="0077265A">
              <w:rPr>
                <w:sz w:val="22"/>
              </w:rPr>
              <w:t xml:space="preserve">rom 1 July 2017, extend eligibility to </w:t>
            </w:r>
            <w:r w:rsidR="00A93123" w:rsidRPr="0077265A">
              <w:rPr>
                <w:sz w:val="22"/>
              </w:rPr>
              <w:t xml:space="preserve">the CDBS to </w:t>
            </w:r>
            <w:r w:rsidR="006E5EA2" w:rsidRPr="0077265A">
              <w:rPr>
                <w:sz w:val="22"/>
              </w:rPr>
              <w:t>aged pension recipients and full be</w:t>
            </w:r>
            <w:r w:rsidRPr="0077265A">
              <w:rPr>
                <w:sz w:val="22"/>
              </w:rPr>
              <w:t>nefit income support recipients</w:t>
            </w:r>
          </w:p>
          <w:p w:rsidR="00DB008D" w:rsidRPr="0077265A" w:rsidRDefault="0077265A" w:rsidP="0077265A">
            <w:pPr>
              <w:pStyle w:val="Bullet1"/>
              <w:cnfStyle w:val="000000100000" w:firstRow="0" w:lastRow="0" w:firstColumn="0" w:lastColumn="0" w:oddVBand="0" w:evenVBand="0" w:oddHBand="1" w:evenHBand="0" w:firstRowFirstColumn="0" w:firstRowLastColumn="0" w:lastRowFirstColumn="0" w:lastRowLastColumn="0"/>
              <w:rPr>
                <w:sz w:val="22"/>
              </w:rPr>
            </w:pPr>
            <w:proofErr w:type="gramStart"/>
            <w:r w:rsidRPr="0077265A">
              <w:rPr>
                <w:sz w:val="22"/>
              </w:rPr>
              <w:t>f</w:t>
            </w:r>
            <w:r w:rsidR="006E5EA2" w:rsidRPr="0077265A">
              <w:rPr>
                <w:sz w:val="22"/>
              </w:rPr>
              <w:t>rom</w:t>
            </w:r>
            <w:proofErr w:type="gramEnd"/>
            <w:r w:rsidR="006E5EA2" w:rsidRPr="0077265A">
              <w:rPr>
                <w:sz w:val="22"/>
              </w:rPr>
              <w:t xml:space="preserve"> 1 July 2018, extend eligibility </w:t>
            </w:r>
            <w:r w:rsidR="00A93123" w:rsidRPr="0077265A">
              <w:rPr>
                <w:sz w:val="22"/>
              </w:rPr>
              <w:t xml:space="preserve">to the CDBS </w:t>
            </w:r>
            <w:r w:rsidR="006E5EA2" w:rsidRPr="0077265A">
              <w:rPr>
                <w:sz w:val="22"/>
              </w:rPr>
              <w:t>to Commonwealth Seniors Health Card (CSHC) holders and all other concession card holders.</w:t>
            </w:r>
          </w:p>
          <w:p w:rsidR="00100D47" w:rsidRPr="0077265A" w:rsidRDefault="00A27B02" w:rsidP="0077265A">
            <w:pPr>
              <w:pStyle w:val="BodyText"/>
              <w:spacing w:after="114"/>
              <w:ind w:left="0" w:right="0"/>
              <w:cnfStyle w:val="000000100000" w:firstRow="0" w:lastRow="0" w:firstColumn="0" w:lastColumn="0" w:oddVBand="0" w:evenVBand="0" w:oddHBand="1" w:evenHBand="0" w:firstRowFirstColumn="0" w:firstRowLastColumn="0" w:lastRowFirstColumn="0" w:lastRowLastColumn="0"/>
              <w:rPr>
                <w:sz w:val="22"/>
              </w:rPr>
            </w:pPr>
            <w:r w:rsidRPr="0077265A">
              <w:rPr>
                <w:sz w:val="22"/>
              </w:rPr>
              <w:t>The proposal</w:t>
            </w:r>
            <w:r w:rsidR="00DB008D" w:rsidRPr="0077265A">
              <w:rPr>
                <w:sz w:val="22"/>
              </w:rPr>
              <w:t xml:space="preserve"> would be partially offset by not proceeding with the recently announced national Child and Adult Public Dental Scheme (CAPDS).  The C</w:t>
            </w:r>
            <w:r w:rsidR="00C72DDE" w:rsidRPr="0077265A">
              <w:rPr>
                <w:sz w:val="22"/>
              </w:rPr>
              <w:t xml:space="preserve">APDS was </w:t>
            </w:r>
            <w:r w:rsidR="00536C5A" w:rsidRPr="0077265A">
              <w:rPr>
                <w:sz w:val="22"/>
              </w:rPr>
              <w:t xml:space="preserve">announced </w:t>
            </w:r>
            <w:r w:rsidR="00C72DDE" w:rsidRPr="0077265A">
              <w:rPr>
                <w:sz w:val="22"/>
              </w:rPr>
              <w:t xml:space="preserve">in </w:t>
            </w:r>
            <w:r w:rsidR="00536C5A" w:rsidRPr="0077265A">
              <w:rPr>
                <w:sz w:val="22"/>
              </w:rPr>
              <w:t xml:space="preserve">the </w:t>
            </w:r>
            <w:r w:rsidR="00C72DDE" w:rsidRPr="0077265A">
              <w:rPr>
                <w:sz w:val="22"/>
              </w:rPr>
              <w:t>2016</w:t>
            </w:r>
            <w:r w:rsidR="00C72DDE" w:rsidRPr="0077265A">
              <w:rPr>
                <w:sz w:val="22"/>
              </w:rPr>
              <w:noBreakHyphen/>
              <w:t>17 </w:t>
            </w:r>
            <w:r w:rsidR="00DB008D" w:rsidRPr="0077265A">
              <w:rPr>
                <w:sz w:val="22"/>
              </w:rPr>
              <w:t>Budget.</w:t>
            </w:r>
          </w:p>
        </w:tc>
      </w:tr>
      <w:tr w:rsidR="004D5525" w:rsidTr="0077265A">
        <w:tc>
          <w:tcPr>
            <w:cnfStyle w:val="001000000000" w:firstRow="0" w:lastRow="0" w:firstColumn="1" w:lastColumn="0" w:oddVBand="0" w:evenVBand="0" w:oddHBand="0" w:evenHBand="0" w:firstRowFirstColumn="0" w:firstRowLastColumn="0" w:lastRowFirstColumn="0" w:lastRowLastColumn="0"/>
            <w:tcW w:w="3005" w:type="dxa"/>
          </w:tcPr>
          <w:p w:rsidR="004D5525" w:rsidRPr="0077265A" w:rsidRDefault="004D5525" w:rsidP="0077265A">
            <w:pPr>
              <w:pStyle w:val="BodyText"/>
              <w:spacing w:after="114"/>
              <w:ind w:left="0" w:right="0"/>
              <w:rPr>
                <w:sz w:val="22"/>
              </w:rPr>
            </w:pPr>
            <w:r w:rsidRPr="0077265A">
              <w:rPr>
                <w:sz w:val="22"/>
              </w:rPr>
              <w:t>Person/party requesting costing:</w:t>
            </w:r>
          </w:p>
        </w:tc>
        <w:tc>
          <w:tcPr>
            <w:tcW w:w="5335" w:type="dxa"/>
          </w:tcPr>
          <w:p w:rsidR="004D5525" w:rsidRPr="0077265A" w:rsidRDefault="00DB008D" w:rsidP="0077265A">
            <w:pPr>
              <w:pStyle w:val="BodyText"/>
              <w:spacing w:after="114"/>
              <w:ind w:left="0" w:right="0"/>
              <w:cnfStyle w:val="000000000000" w:firstRow="0" w:lastRow="0" w:firstColumn="0" w:lastColumn="0" w:oddVBand="0" w:evenVBand="0" w:oddHBand="0" w:evenHBand="0" w:firstRowFirstColumn="0" w:firstRowLastColumn="0" w:lastRowFirstColumn="0" w:lastRowLastColumn="0"/>
              <w:rPr>
                <w:sz w:val="22"/>
              </w:rPr>
            </w:pPr>
            <w:r w:rsidRPr="0077265A">
              <w:rPr>
                <w:sz w:val="22"/>
              </w:rPr>
              <w:t>Senator Richard Di Natale, Australian Greens</w:t>
            </w:r>
          </w:p>
        </w:tc>
      </w:tr>
      <w:tr w:rsidR="00CB0B1A" w:rsidTr="0077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B0B1A" w:rsidRPr="0077265A" w:rsidRDefault="00CB0B1A" w:rsidP="0077265A">
            <w:pPr>
              <w:pStyle w:val="BodyText"/>
              <w:spacing w:after="114"/>
              <w:ind w:left="0" w:right="0"/>
              <w:rPr>
                <w:sz w:val="22"/>
              </w:rPr>
            </w:pPr>
            <w:r w:rsidRPr="0077265A">
              <w:rPr>
                <w:sz w:val="22"/>
              </w:rPr>
              <w:t>Date of public release of policy:</w:t>
            </w:r>
          </w:p>
        </w:tc>
        <w:tc>
          <w:tcPr>
            <w:tcW w:w="5335" w:type="dxa"/>
          </w:tcPr>
          <w:p w:rsidR="00CB0B1A" w:rsidRPr="0077265A" w:rsidRDefault="00D76930" w:rsidP="0077265A">
            <w:pPr>
              <w:pStyle w:val="BodyText"/>
              <w:spacing w:after="114"/>
              <w:ind w:left="0" w:right="0"/>
              <w:cnfStyle w:val="000000100000" w:firstRow="0" w:lastRow="0" w:firstColumn="0" w:lastColumn="0" w:oddVBand="0" w:evenVBand="0" w:oddHBand="1" w:evenHBand="0" w:firstRowFirstColumn="0" w:firstRowLastColumn="0" w:lastRowFirstColumn="0" w:lastRowLastColumn="0"/>
              <w:rPr>
                <w:sz w:val="22"/>
              </w:rPr>
            </w:pPr>
            <w:r w:rsidRPr="0077265A">
              <w:rPr>
                <w:sz w:val="22"/>
              </w:rPr>
              <w:t>15 June</w:t>
            </w:r>
            <w:r w:rsidR="00CB0B1A" w:rsidRPr="0077265A">
              <w:rPr>
                <w:sz w:val="22"/>
              </w:rPr>
              <w:t xml:space="preserve"> 2016</w:t>
            </w:r>
          </w:p>
        </w:tc>
      </w:tr>
      <w:tr w:rsidR="004D5525" w:rsidTr="0077265A">
        <w:tc>
          <w:tcPr>
            <w:cnfStyle w:val="001000000000" w:firstRow="0" w:lastRow="0" w:firstColumn="1" w:lastColumn="0" w:oddVBand="0" w:evenVBand="0" w:oddHBand="0" w:evenHBand="0" w:firstRowFirstColumn="0" w:firstRowLastColumn="0" w:lastRowFirstColumn="0" w:lastRowLastColumn="0"/>
            <w:tcW w:w="3005" w:type="dxa"/>
          </w:tcPr>
          <w:p w:rsidR="004D5525" w:rsidRPr="0077265A" w:rsidRDefault="004D5525" w:rsidP="0077265A">
            <w:pPr>
              <w:pStyle w:val="BodyText"/>
              <w:spacing w:after="114"/>
              <w:ind w:left="0" w:right="0"/>
              <w:rPr>
                <w:sz w:val="22"/>
              </w:rPr>
            </w:pPr>
            <w:r w:rsidRPr="0077265A">
              <w:rPr>
                <w:sz w:val="22"/>
              </w:rPr>
              <w:t>Date costing request received:</w:t>
            </w:r>
          </w:p>
        </w:tc>
        <w:tc>
          <w:tcPr>
            <w:tcW w:w="5335" w:type="dxa"/>
          </w:tcPr>
          <w:p w:rsidR="004D5525" w:rsidRPr="0077265A" w:rsidRDefault="00D76930" w:rsidP="0077265A">
            <w:pPr>
              <w:pStyle w:val="BodyText"/>
              <w:spacing w:after="114"/>
              <w:ind w:left="0" w:right="0"/>
              <w:cnfStyle w:val="000000000000" w:firstRow="0" w:lastRow="0" w:firstColumn="0" w:lastColumn="0" w:oddVBand="0" w:evenVBand="0" w:oddHBand="0" w:evenHBand="0" w:firstRowFirstColumn="0" w:firstRowLastColumn="0" w:lastRowFirstColumn="0" w:lastRowLastColumn="0"/>
              <w:rPr>
                <w:sz w:val="22"/>
              </w:rPr>
            </w:pPr>
            <w:r w:rsidRPr="0077265A">
              <w:rPr>
                <w:sz w:val="22"/>
              </w:rPr>
              <w:t>24</w:t>
            </w:r>
            <w:r w:rsidR="00DB008D" w:rsidRPr="0077265A">
              <w:rPr>
                <w:sz w:val="22"/>
              </w:rPr>
              <w:t xml:space="preserve"> June 2016</w:t>
            </w:r>
          </w:p>
        </w:tc>
      </w:tr>
      <w:tr w:rsidR="004D5525" w:rsidTr="0077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Pr="0077265A" w:rsidRDefault="004D5525" w:rsidP="0077265A">
            <w:pPr>
              <w:pStyle w:val="BodyText"/>
              <w:spacing w:after="114"/>
              <w:ind w:left="0" w:right="0"/>
              <w:rPr>
                <w:sz w:val="22"/>
              </w:rPr>
            </w:pPr>
            <w:r w:rsidRPr="0077265A">
              <w:rPr>
                <w:sz w:val="22"/>
              </w:rPr>
              <w:t>Date costing completed</w:t>
            </w:r>
          </w:p>
        </w:tc>
        <w:tc>
          <w:tcPr>
            <w:tcW w:w="5335" w:type="dxa"/>
          </w:tcPr>
          <w:p w:rsidR="004D5525" w:rsidRPr="0077265A" w:rsidRDefault="00D76930" w:rsidP="0077265A">
            <w:pPr>
              <w:pStyle w:val="BodyText"/>
              <w:spacing w:after="114"/>
              <w:ind w:left="0" w:right="0"/>
              <w:cnfStyle w:val="000000100000" w:firstRow="0" w:lastRow="0" w:firstColumn="0" w:lastColumn="0" w:oddVBand="0" w:evenVBand="0" w:oddHBand="1" w:evenHBand="0" w:firstRowFirstColumn="0" w:firstRowLastColumn="0" w:lastRowFirstColumn="0" w:lastRowLastColumn="0"/>
              <w:rPr>
                <w:sz w:val="22"/>
              </w:rPr>
            </w:pPr>
            <w:r w:rsidRPr="0077265A">
              <w:rPr>
                <w:sz w:val="22"/>
              </w:rPr>
              <w:t>25</w:t>
            </w:r>
            <w:r w:rsidR="00DB008D" w:rsidRPr="0077265A">
              <w:rPr>
                <w:sz w:val="22"/>
              </w:rPr>
              <w:t xml:space="preserve"> June 2016</w:t>
            </w:r>
          </w:p>
        </w:tc>
      </w:tr>
      <w:tr w:rsidR="004D5525" w:rsidTr="0077265A">
        <w:tc>
          <w:tcPr>
            <w:cnfStyle w:val="001000000000" w:firstRow="0" w:lastRow="0" w:firstColumn="1" w:lastColumn="0" w:oddVBand="0" w:evenVBand="0" w:oddHBand="0" w:evenHBand="0" w:firstRowFirstColumn="0" w:firstRowLastColumn="0" w:lastRowFirstColumn="0" w:lastRowLastColumn="0"/>
            <w:tcW w:w="3005" w:type="dxa"/>
          </w:tcPr>
          <w:p w:rsidR="004D5525" w:rsidRPr="0077265A" w:rsidRDefault="004D5525" w:rsidP="0077265A">
            <w:pPr>
              <w:pStyle w:val="BodyText"/>
              <w:spacing w:after="114"/>
              <w:ind w:left="0" w:right="0"/>
              <w:rPr>
                <w:sz w:val="22"/>
              </w:rPr>
            </w:pPr>
            <w:r w:rsidRPr="0077265A">
              <w:rPr>
                <w:sz w:val="22"/>
              </w:rPr>
              <w:t>Expiry date for the costing:</w:t>
            </w:r>
          </w:p>
        </w:tc>
        <w:tc>
          <w:tcPr>
            <w:tcW w:w="5335" w:type="dxa"/>
          </w:tcPr>
          <w:p w:rsidR="004D5525" w:rsidRPr="0077265A" w:rsidRDefault="00690140" w:rsidP="0077265A">
            <w:pPr>
              <w:pStyle w:val="BodyText"/>
              <w:spacing w:after="114"/>
              <w:ind w:left="0" w:right="0"/>
              <w:cnfStyle w:val="000000000000" w:firstRow="0" w:lastRow="0" w:firstColumn="0" w:lastColumn="0" w:oddVBand="0" w:evenVBand="0" w:oddHBand="0" w:evenHBand="0" w:firstRowFirstColumn="0" w:firstRowLastColumn="0" w:lastRowFirstColumn="0" w:lastRowLastColumn="0"/>
              <w:rPr>
                <w:sz w:val="22"/>
              </w:rPr>
            </w:pPr>
            <w:r w:rsidRPr="0077265A">
              <w:rPr>
                <w:sz w:val="22"/>
              </w:rPr>
              <w:t>Release of the next economic and fiscal outlook report</w:t>
            </w:r>
          </w:p>
        </w:tc>
      </w:tr>
    </w:tbl>
    <w:p w:rsidR="0055581F" w:rsidRPr="00002D5D" w:rsidRDefault="008030EC" w:rsidP="00FC6579">
      <w:pPr>
        <w:pStyle w:val="Heading2"/>
      </w:pPr>
      <w:r w:rsidRPr="00002D5D">
        <w:t>Costing overview</w:t>
      </w:r>
    </w:p>
    <w:p w:rsidR="00DB008D" w:rsidRDefault="00DB008D" w:rsidP="00002D5D">
      <w:r w:rsidRPr="00A5068B">
        <w:t xml:space="preserve">This </w:t>
      </w:r>
      <w:r>
        <w:t>proposal</w:t>
      </w:r>
      <w:r w:rsidRPr="00A5068B">
        <w:t xml:space="preserve"> would be expected to decrease the fiscal balance by $</w:t>
      </w:r>
      <w:r w:rsidR="00747776">
        <w:t>6</w:t>
      </w:r>
      <w:r w:rsidR="00387400">
        <w:t>,</w:t>
      </w:r>
      <w:r w:rsidR="006A6A8E">
        <w:t>112</w:t>
      </w:r>
      <w:r w:rsidR="00747776" w:rsidRPr="00146817">
        <w:t>.</w:t>
      </w:r>
      <w:r w:rsidR="006A6A8E">
        <w:t>7</w:t>
      </w:r>
      <w:r w:rsidR="00747776" w:rsidRPr="00146817">
        <w:t xml:space="preserve"> </w:t>
      </w:r>
      <w:r w:rsidRPr="00A5068B">
        <w:t>million and decrease the underlying cash balance by $</w:t>
      </w:r>
      <w:r w:rsidR="006A6A8E">
        <w:t>6</w:t>
      </w:r>
      <w:r w:rsidR="00387400">
        <w:t>,</w:t>
      </w:r>
      <w:r w:rsidR="006A6A8E">
        <w:t>044</w:t>
      </w:r>
      <w:r w:rsidRPr="00146817">
        <w:t>.</w:t>
      </w:r>
      <w:r w:rsidR="006A6A8E">
        <w:t>6</w:t>
      </w:r>
      <w:r w:rsidR="00387400" w:rsidRPr="00146817">
        <w:t xml:space="preserve"> </w:t>
      </w:r>
      <w:r w:rsidRPr="00A5068B">
        <w:t>million</w:t>
      </w:r>
      <w:r>
        <w:t xml:space="preserve"> </w:t>
      </w:r>
      <w:r w:rsidRPr="000710B5">
        <w:t>over the 2016</w:t>
      </w:r>
      <w:r w:rsidRPr="000710B5">
        <w:noBreakHyphen/>
        <w:t xml:space="preserve">17 Budget forward estimates period.  </w:t>
      </w:r>
      <w:r>
        <w:t>In fiscal balance terms, t</w:t>
      </w:r>
      <w:r w:rsidRPr="000710B5">
        <w:t>his impact reflects a</w:t>
      </w:r>
      <w:r>
        <w:t>n</w:t>
      </w:r>
      <w:r w:rsidRPr="000710B5">
        <w:t xml:space="preserve"> increase in</w:t>
      </w:r>
      <w:r w:rsidR="00536C5A">
        <w:t xml:space="preserve"> administered</w:t>
      </w:r>
      <w:r w:rsidRPr="000710B5">
        <w:t xml:space="preserve"> expenses of $</w:t>
      </w:r>
      <w:r w:rsidR="006A6A8E">
        <w:t>5</w:t>
      </w:r>
      <w:r w:rsidR="00536C5A">
        <w:t>,</w:t>
      </w:r>
      <w:r w:rsidR="006A6A8E">
        <w:t>914</w:t>
      </w:r>
      <w:r w:rsidR="00536C5A">
        <w:t>.</w:t>
      </w:r>
      <w:r w:rsidR="006A6A8E">
        <w:t>8</w:t>
      </w:r>
      <w:r w:rsidR="00387400">
        <w:t xml:space="preserve"> </w:t>
      </w:r>
      <w:r>
        <w:t>m</w:t>
      </w:r>
      <w:r w:rsidRPr="000710B5">
        <w:t>illion</w:t>
      </w:r>
      <w:r>
        <w:t xml:space="preserve"> </w:t>
      </w:r>
      <w:r w:rsidR="00536C5A">
        <w:t xml:space="preserve">and </w:t>
      </w:r>
      <w:r w:rsidR="00E50794">
        <w:t xml:space="preserve">in </w:t>
      </w:r>
      <w:r>
        <w:t>departmental expenses of $</w:t>
      </w:r>
      <w:r w:rsidR="006A6A8E">
        <w:t>197</w:t>
      </w:r>
      <w:r w:rsidR="00387400">
        <w:t>.</w:t>
      </w:r>
      <w:r w:rsidR="006A6A8E">
        <w:t>9</w:t>
      </w:r>
      <w:r w:rsidR="00387400">
        <w:t xml:space="preserve"> </w:t>
      </w:r>
      <w:r>
        <w:t>million</w:t>
      </w:r>
      <w:r w:rsidRPr="000710B5">
        <w:t>.</w:t>
      </w:r>
    </w:p>
    <w:p w:rsidR="00DB008D" w:rsidRDefault="00DB008D" w:rsidP="00DB008D">
      <w:r w:rsidRPr="00B6705F">
        <w:t>The proposal would have a</w:t>
      </w:r>
      <w:r w:rsidR="00E50794">
        <w:t>n ongoing</w:t>
      </w:r>
      <w:r w:rsidRPr="00B6705F">
        <w:t xml:space="preserve"> financial impact beyond the 2016-17 Budget forward estimates</w:t>
      </w:r>
      <w:r w:rsidR="00D44C38">
        <w:t xml:space="preserve">. </w:t>
      </w:r>
      <w:r w:rsidR="0077265A">
        <w:t xml:space="preserve"> </w:t>
      </w:r>
      <w:r w:rsidR="00D44C38">
        <w:t xml:space="preserve">The ongoing annual impact would be </w:t>
      </w:r>
      <w:r w:rsidR="009C3BFE">
        <w:t xml:space="preserve">in line with the impact in 2019-20 growing </w:t>
      </w:r>
      <w:r w:rsidR="00E50794">
        <w:t>by</w:t>
      </w:r>
      <w:r w:rsidRPr="00B6705F">
        <w:t xml:space="preserve"> population growth, demographic changes and indexation</w:t>
      </w:r>
      <w:r w:rsidR="009C3BFE">
        <w:t xml:space="preserve"> (equating to </w:t>
      </w:r>
      <w:r w:rsidR="00E50794">
        <w:t xml:space="preserve">annual </w:t>
      </w:r>
      <w:r w:rsidR="009C3BFE">
        <w:t xml:space="preserve">growth of </w:t>
      </w:r>
      <w:r w:rsidR="00E50794">
        <w:lastRenderedPageBreak/>
        <w:t xml:space="preserve">around </w:t>
      </w:r>
      <w:r w:rsidR="003B390D">
        <w:t>5</w:t>
      </w:r>
      <w:r w:rsidR="009C3BFE">
        <w:t xml:space="preserve"> per cent per year)</w:t>
      </w:r>
      <w:r w:rsidRPr="00B6705F">
        <w:t>.  A breakdown of the financial implications</w:t>
      </w:r>
      <w:r w:rsidR="00FB32BA" w:rsidRPr="00B6705F">
        <w:t xml:space="preserve"> of this proposal </w:t>
      </w:r>
      <w:r w:rsidRPr="00B6705F">
        <w:t xml:space="preserve">is provided at </w:t>
      </w:r>
      <w:r w:rsidR="008905B3">
        <w:rPr>
          <w:u w:val="single"/>
        </w:rPr>
        <w:t>Attachment A</w:t>
      </w:r>
      <w:r w:rsidRPr="00B6705F">
        <w:t>.</w:t>
      </w:r>
    </w:p>
    <w:p w:rsidR="00DB008D" w:rsidRPr="00293584" w:rsidRDefault="00DB008D" w:rsidP="00DB008D">
      <w:pPr>
        <w:rPr>
          <w:highlight w:val="yellow"/>
        </w:rPr>
      </w:pPr>
      <w:r w:rsidRPr="00293584">
        <w:t xml:space="preserve">The underlying cash balance impact of </w:t>
      </w:r>
      <w:r w:rsidR="00FB32BA">
        <w:t>this proposal</w:t>
      </w:r>
      <w:r w:rsidRPr="00293584">
        <w:t xml:space="preserve"> differs from the fiscal balance impact due to claims processing lags which </w:t>
      </w:r>
      <w:r>
        <w:t xml:space="preserve">would </w:t>
      </w:r>
      <w:r w:rsidRPr="00293584">
        <w:t>see a proportion of claims processed</w:t>
      </w:r>
      <w:r w:rsidR="00E50794">
        <w:t xml:space="preserve"> and paid</w:t>
      </w:r>
      <w:r w:rsidRPr="00293584">
        <w:t xml:space="preserve"> in </w:t>
      </w:r>
      <w:r w:rsidR="00E50794">
        <w:t xml:space="preserve">a </w:t>
      </w:r>
      <w:r w:rsidRPr="00293584">
        <w:t>different year to which the service is prov</w:t>
      </w:r>
      <w:r w:rsidR="00E556EF">
        <w:t>ided and the expense recorded.</w:t>
      </w:r>
    </w:p>
    <w:p w:rsidR="00DB008D" w:rsidRPr="00293584" w:rsidRDefault="00DB008D" w:rsidP="00DB008D">
      <w:r w:rsidRPr="00293584">
        <w:rPr>
          <w:lang w:eastAsia="en-AU"/>
        </w:rPr>
        <w:t xml:space="preserve">This costing is considered to be of </w:t>
      </w:r>
      <w:r w:rsidRPr="00560CD7">
        <w:rPr>
          <w:lang w:eastAsia="en-AU"/>
        </w:rPr>
        <w:t>low</w:t>
      </w:r>
      <w:r w:rsidRPr="00293584">
        <w:rPr>
          <w:lang w:eastAsia="en-AU"/>
        </w:rPr>
        <w:t xml:space="preserve"> reliability.  This is due to a large number of assumptions and the limited availability of current data on dental attendance and service patterns.</w:t>
      </w:r>
      <w:r>
        <w:rPr>
          <w:lang w:eastAsia="en-AU"/>
        </w:rPr>
        <w:t xml:space="preserve"> </w:t>
      </w:r>
      <w:r w:rsidRPr="00293584">
        <w:rPr>
          <w:lang w:eastAsia="en-AU"/>
        </w:rPr>
        <w:t xml:space="preserve"> In particular</w:t>
      </w:r>
      <w:r>
        <w:rPr>
          <w:lang w:eastAsia="en-AU"/>
        </w:rPr>
        <w:t>,</w:t>
      </w:r>
      <w:r w:rsidRPr="00293584">
        <w:rPr>
          <w:lang w:eastAsia="en-AU"/>
        </w:rPr>
        <w:t xml:space="preserve"> </w:t>
      </w:r>
      <w:r w:rsidRPr="00293584">
        <w:t>the estimates in this costing w</w:t>
      </w:r>
      <w:r>
        <w:t>ould</w:t>
      </w:r>
      <w:r w:rsidRPr="00293584">
        <w:t xml:space="preserve"> be affected by changes in major variables</w:t>
      </w:r>
      <w:r>
        <w:t>,</w:t>
      </w:r>
      <w:r w:rsidRPr="00293584">
        <w:t xml:space="preserve"> including </w:t>
      </w:r>
      <w:r>
        <w:t>the extent to which the introduction of subsidised dental care would affect demand for services.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B232A6">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77265A">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77265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77265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77265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77265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773CD4" w:rsidRDefault="00CA5D42" w:rsidP="0077265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773CD4">
              <w:rPr>
                <w:rFonts w:ascii="Calibri" w:hAnsi="Calibri"/>
                <w:b/>
                <w:szCs w:val="20"/>
              </w:rPr>
              <w:t>Total</w:t>
            </w:r>
          </w:p>
        </w:tc>
      </w:tr>
      <w:tr w:rsidR="006A6A8E" w:rsidRPr="00B73AC8" w:rsidTr="00747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6A6A8E" w:rsidRPr="00B73AC8" w:rsidRDefault="006A6A8E" w:rsidP="0077265A">
            <w:pPr>
              <w:pStyle w:val="TableTextCentred"/>
              <w:keepNext/>
              <w:keepLines/>
              <w:spacing w:line="240" w:lineRule="auto"/>
              <w:ind w:left="57" w:right="57"/>
              <w:jc w:val="left"/>
              <w:rPr>
                <w:szCs w:val="20"/>
              </w:rPr>
            </w:pPr>
            <w:r w:rsidRPr="00B73AC8">
              <w:rPr>
                <w:szCs w:val="20"/>
              </w:rPr>
              <w:t>Fiscal balance</w:t>
            </w:r>
          </w:p>
        </w:tc>
        <w:tc>
          <w:tcPr>
            <w:tcW w:w="682" w:type="pct"/>
          </w:tcPr>
          <w:p w:rsidR="006A6A8E" w:rsidRPr="00F44D82" w:rsidRDefault="006A6A8E" w:rsidP="00CE78FE">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0052D">
              <w:t>81.2</w:t>
            </w:r>
          </w:p>
        </w:tc>
        <w:tc>
          <w:tcPr>
            <w:tcW w:w="682" w:type="pct"/>
          </w:tcPr>
          <w:p w:rsidR="006A6A8E" w:rsidRPr="00F44D82" w:rsidRDefault="006A6A8E" w:rsidP="00CE78FE">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0052D">
              <w:t>-1,774.1</w:t>
            </w:r>
          </w:p>
        </w:tc>
        <w:tc>
          <w:tcPr>
            <w:tcW w:w="682" w:type="pct"/>
          </w:tcPr>
          <w:p w:rsidR="006A6A8E" w:rsidRPr="00F44D82" w:rsidRDefault="006A6A8E" w:rsidP="00CE78FE">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0052D">
              <w:t>-2,186.3</w:t>
            </w:r>
          </w:p>
        </w:tc>
        <w:tc>
          <w:tcPr>
            <w:tcW w:w="682" w:type="pct"/>
          </w:tcPr>
          <w:p w:rsidR="006A6A8E" w:rsidRPr="00F44D82" w:rsidRDefault="006A6A8E" w:rsidP="00CE78FE">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0052D">
              <w:t>-2,233.5</w:t>
            </w:r>
          </w:p>
        </w:tc>
        <w:tc>
          <w:tcPr>
            <w:tcW w:w="681" w:type="pct"/>
          </w:tcPr>
          <w:p w:rsidR="006A6A8E" w:rsidRPr="00881C03" w:rsidRDefault="006A6A8E" w:rsidP="00CE78FE">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881C03">
              <w:rPr>
                <w:b/>
              </w:rPr>
              <w:t>-6,112.7</w:t>
            </w:r>
          </w:p>
        </w:tc>
      </w:tr>
      <w:tr w:rsidR="006A6A8E" w:rsidRPr="00B73AC8" w:rsidTr="00747776">
        <w:tc>
          <w:tcPr>
            <w:cnfStyle w:val="001000000000" w:firstRow="0" w:lastRow="0" w:firstColumn="1" w:lastColumn="0" w:oddVBand="0" w:evenVBand="0" w:oddHBand="0" w:evenHBand="0" w:firstRowFirstColumn="0" w:firstRowLastColumn="0" w:lastRowFirstColumn="0" w:lastRowLastColumn="0"/>
            <w:tcW w:w="1591" w:type="pct"/>
          </w:tcPr>
          <w:p w:rsidR="006A6A8E" w:rsidRPr="00B73AC8" w:rsidRDefault="006A6A8E" w:rsidP="0077265A">
            <w:pPr>
              <w:pStyle w:val="TableTextCentred"/>
              <w:keepNext/>
              <w:keepLines/>
              <w:spacing w:line="240" w:lineRule="auto"/>
              <w:ind w:left="57" w:right="57"/>
              <w:jc w:val="left"/>
              <w:rPr>
                <w:szCs w:val="20"/>
              </w:rPr>
            </w:pPr>
            <w:r w:rsidRPr="00B73AC8">
              <w:rPr>
                <w:szCs w:val="20"/>
              </w:rPr>
              <w:t>Underlying cash balance</w:t>
            </w:r>
          </w:p>
        </w:tc>
        <w:tc>
          <w:tcPr>
            <w:tcW w:w="682" w:type="pct"/>
          </w:tcPr>
          <w:p w:rsidR="006A6A8E" w:rsidRPr="007A4981" w:rsidRDefault="006A6A8E" w:rsidP="00CE78FE">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1349C">
              <w:t>51.2</w:t>
            </w:r>
          </w:p>
        </w:tc>
        <w:tc>
          <w:tcPr>
            <w:tcW w:w="682" w:type="pct"/>
          </w:tcPr>
          <w:p w:rsidR="006A6A8E" w:rsidRPr="007A4981" w:rsidRDefault="006A6A8E" w:rsidP="00CE78FE">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1349C">
              <w:t>-1,738.1</w:t>
            </w:r>
          </w:p>
        </w:tc>
        <w:tc>
          <w:tcPr>
            <w:tcW w:w="682" w:type="pct"/>
          </w:tcPr>
          <w:p w:rsidR="006A6A8E" w:rsidRPr="007A4981" w:rsidRDefault="006A6A8E" w:rsidP="00CE78FE">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1349C">
              <w:t>-2,172.2</w:t>
            </w:r>
          </w:p>
        </w:tc>
        <w:tc>
          <w:tcPr>
            <w:tcW w:w="682" w:type="pct"/>
          </w:tcPr>
          <w:p w:rsidR="006A6A8E" w:rsidRPr="007A4981" w:rsidRDefault="006A6A8E" w:rsidP="00CE78FE">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71349C">
              <w:t>-2,185.5</w:t>
            </w:r>
          </w:p>
        </w:tc>
        <w:tc>
          <w:tcPr>
            <w:tcW w:w="681" w:type="pct"/>
          </w:tcPr>
          <w:p w:rsidR="006A6A8E" w:rsidRPr="00881C03" w:rsidRDefault="006A6A8E" w:rsidP="00CE78FE">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881C03">
              <w:rPr>
                <w:b/>
              </w:rPr>
              <w:t>-6,044.6</w:t>
            </w:r>
          </w:p>
        </w:tc>
      </w:tr>
    </w:tbl>
    <w:p w:rsidR="00E03842" w:rsidRPr="00E03842" w:rsidRDefault="00E03842" w:rsidP="00E03842">
      <w:pPr>
        <w:pStyle w:val="Footnotes"/>
        <w:keepNext/>
        <w:numPr>
          <w:ilvl w:val="0"/>
          <w:numId w:val="30"/>
        </w:numPr>
        <w:ind w:left="284" w:hanging="284"/>
        <w:rPr>
          <w:rFonts w:ascii="Calibri" w:hAnsi="Calibri"/>
        </w:rPr>
      </w:pPr>
      <w:r w:rsidRPr="00E03842">
        <w:t>A positive number indicates an increase in the relevant budget balance, a negative number a decrease.</w:t>
      </w:r>
    </w:p>
    <w:p w:rsidR="00E03842" w:rsidRPr="00E03842" w:rsidRDefault="00E03842" w:rsidP="00E03842">
      <w:pPr>
        <w:pStyle w:val="Footnotes"/>
        <w:keepNext/>
        <w:numPr>
          <w:ilvl w:val="0"/>
          <w:numId w:val="30"/>
        </w:numPr>
        <w:ind w:left="284" w:hanging="284"/>
        <w:rPr>
          <w:rFonts w:ascii="Times New Roman" w:eastAsia="Times New Roman" w:hAnsi="Times New Roman"/>
          <w:lang w:eastAsia="en-AU"/>
        </w:rPr>
      </w:pPr>
      <w:r w:rsidRPr="00E03842">
        <w:t>Figures may not sum to totals due to rounding.</w:t>
      </w:r>
    </w:p>
    <w:p w:rsidR="008D3909" w:rsidRPr="00FC6579" w:rsidRDefault="005E3562" w:rsidP="00E40B8B">
      <w:pPr>
        <w:pStyle w:val="Heading2"/>
      </w:pPr>
      <w:r w:rsidRPr="00FC6579">
        <w:t>Key assumptions</w:t>
      </w:r>
    </w:p>
    <w:p w:rsidR="00E83DA6" w:rsidRPr="00293584" w:rsidRDefault="00E83DA6" w:rsidP="00E83DA6">
      <w:r>
        <w:t>In costing the proposal, it</w:t>
      </w:r>
      <w:r w:rsidRPr="00293584">
        <w:t xml:space="preserve"> has </w:t>
      </w:r>
      <w:r>
        <w:t>been assumed that</w:t>
      </w:r>
      <w:r w:rsidRPr="00293584">
        <w:t>:</w:t>
      </w:r>
    </w:p>
    <w:p w:rsidR="00E83DA6" w:rsidRPr="00293584" w:rsidRDefault="00E83DA6" w:rsidP="0077265A">
      <w:pPr>
        <w:pStyle w:val="Bullet1"/>
      </w:pPr>
      <w:r w:rsidRPr="00293584">
        <w:t>All individuals wh</w:t>
      </w:r>
      <w:r>
        <w:t xml:space="preserve">o </w:t>
      </w:r>
      <w:r w:rsidRPr="0077265A">
        <w:t>choose</w:t>
      </w:r>
      <w:r>
        <w:t xml:space="preserve"> to visit a dentist would</w:t>
      </w:r>
      <w:r w:rsidRPr="00293584">
        <w:t xml:space="preserve"> be able to see a dentist, and there is no restriction on how many dentists a patient can visit for treatment services</w:t>
      </w:r>
      <w:r>
        <w:t>.</w:t>
      </w:r>
    </w:p>
    <w:p w:rsidR="00E83DA6" w:rsidRPr="00293584" w:rsidRDefault="00E83DA6" w:rsidP="00E83DA6">
      <w:pPr>
        <w:keepNext/>
        <w:keepLines/>
      </w:pPr>
      <w:r>
        <w:t>Relating to departmental expenditures, it has been assumed that</w:t>
      </w:r>
      <w:r w:rsidRPr="00293584">
        <w:t>:</w:t>
      </w:r>
    </w:p>
    <w:p w:rsidR="00E83DA6" w:rsidRPr="00293584" w:rsidRDefault="00E83DA6" w:rsidP="00A67EE3">
      <w:pPr>
        <w:pStyle w:val="Bullet1"/>
      </w:pPr>
      <w:r>
        <w:t>Recipient eligibility would</w:t>
      </w:r>
      <w:r w:rsidRPr="00293584">
        <w:t xml:space="preserve"> be assessed at a point in time prior to the beginning of each phase</w:t>
      </w:r>
      <w:r>
        <w:noBreakHyphen/>
      </w:r>
      <w:r w:rsidRPr="00293584">
        <w:t>in period.  Once eligible</w:t>
      </w:r>
      <w:r>
        <w:t>,</w:t>
      </w:r>
      <w:r w:rsidRPr="00293584">
        <w:t xml:space="preserve"> individuals </w:t>
      </w:r>
      <w:r>
        <w:t>would</w:t>
      </w:r>
      <w:r w:rsidRPr="00293584">
        <w:t xml:space="preserve"> not have their eligibility reassessed prior to the scheme becoming universal</w:t>
      </w:r>
      <w:r>
        <w:t>.</w:t>
      </w:r>
    </w:p>
    <w:p w:rsidR="00E83DA6" w:rsidRPr="00293584" w:rsidRDefault="00E83DA6" w:rsidP="00A67EE3">
      <w:pPr>
        <w:pStyle w:val="Bullet1"/>
      </w:pPr>
      <w:r>
        <w:t>O</w:t>
      </w:r>
      <w:r w:rsidRPr="00293584">
        <w:t>ne letter w</w:t>
      </w:r>
      <w:r>
        <w:t>ould</w:t>
      </w:r>
      <w:r w:rsidRPr="00293584">
        <w:t xml:space="preserve"> be sent to each individual in their first year of eligibility advising them that they are eligible for the scheme.</w:t>
      </w:r>
    </w:p>
    <w:p w:rsidR="00E83DA6" w:rsidRPr="00293584" w:rsidRDefault="00E83DA6" w:rsidP="00E83DA6">
      <w:pPr>
        <w:keepNext/>
        <w:spacing w:after="120"/>
      </w:pPr>
      <w:r>
        <w:t>Relating to behaviour, it has been assumed that</w:t>
      </w:r>
      <w:r w:rsidRPr="00293584">
        <w:t>:</w:t>
      </w:r>
    </w:p>
    <w:p w:rsidR="00E83DA6" w:rsidRPr="00293584" w:rsidRDefault="00E83DA6" w:rsidP="00A67EE3">
      <w:pPr>
        <w:pStyle w:val="Bullet1"/>
      </w:pPr>
      <w:r w:rsidRPr="00293584">
        <w:t>The base proportion of individuals who attend the dentist is 64 per cent, as is reported by the Australian Institute of Health and Welfare (AIHW).</w:t>
      </w:r>
    </w:p>
    <w:p w:rsidR="00E83DA6" w:rsidRPr="00293584" w:rsidRDefault="00E83DA6" w:rsidP="00A67EE3">
      <w:pPr>
        <w:pStyle w:val="Bullet1"/>
      </w:pPr>
      <w:r w:rsidRPr="00293584">
        <w:t>In line with the 2008 PricewaterhouseCoopers report</w:t>
      </w:r>
      <w:r>
        <w:t>,</w:t>
      </w:r>
      <w:r w:rsidRPr="00293584">
        <w:t xml:space="preserve"> </w:t>
      </w:r>
      <w:r w:rsidRPr="00C62A41">
        <w:rPr>
          <w:i/>
        </w:rPr>
        <w:t>National Health and Hospital Reform Commission: Costing a Social Insurance Scheme for Dental Care</w:t>
      </w:r>
      <w:r w:rsidRPr="00293584">
        <w:t xml:space="preserve"> (PWC Report), growth in the proportion of people visiting the dentist following the</w:t>
      </w:r>
      <w:r w:rsidR="00E50794">
        <w:t xml:space="preserve"> extension of the CDBS to newly eligible persons</w:t>
      </w:r>
      <w:r w:rsidRPr="00293584">
        <w:t xml:space="preserve"> is estimated to be a flat increase of 11.5 per cent.</w:t>
      </w:r>
    </w:p>
    <w:p w:rsidR="00E83DA6" w:rsidRPr="00293584" w:rsidRDefault="00E83DA6" w:rsidP="00A67EE3">
      <w:pPr>
        <w:pStyle w:val="Bullet1"/>
      </w:pPr>
      <w:r w:rsidRPr="00293584">
        <w:t>On average</w:t>
      </w:r>
      <w:r w:rsidR="0077265A">
        <w:t>,</w:t>
      </w:r>
      <w:r w:rsidRPr="00293584">
        <w:t xml:space="preserve"> </w:t>
      </w:r>
      <w:r w:rsidR="00A93123">
        <w:t xml:space="preserve">the cost of an eligible adult accessing the </w:t>
      </w:r>
      <w:r w:rsidR="00A32947">
        <w:t xml:space="preserve">expanded </w:t>
      </w:r>
      <w:r w:rsidR="00A93123">
        <w:t>C</w:t>
      </w:r>
      <w:r w:rsidR="00A32947">
        <w:t>DBS would be around 50 per cent higher than the cost of eligible children based on historical data on use of dental service</w:t>
      </w:r>
      <w:r w:rsidR="001573C8">
        <w:t>s</w:t>
      </w:r>
      <w:r w:rsidR="00A32947">
        <w:t xml:space="preserve"> by age group.</w:t>
      </w:r>
    </w:p>
    <w:p w:rsidR="005E3562" w:rsidRPr="00FC6579" w:rsidRDefault="005E3562" w:rsidP="00E40B8B">
      <w:pPr>
        <w:pStyle w:val="Heading2"/>
      </w:pPr>
      <w:r w:rsidRPr="00FC6579">
        <w:lastRenderedPageBreak/>
        <w:t>Methodology</w:t>
      </w:r>
    </w:p>
    <w:p w:rsidR="00A32947" w:rsidRDefault="00A32947" w:rsidP="00881C03">
      <w:pPr>
        <w:pStyle w:val="Heading3"/>
      </w:pPr>
      <w:r>
        <w:t xml:space="preserve">No longer proceeding with the </w:t>
      </w:r>
      <w:r w:rsidR="00E50794">
        <w:t xml:space="preserve">1 July 2016 </w:t>
      </w:r>
      <w:r>
        <w:t>cessation of the CDBS</w:t>
      </w:r>
    </w:p>
    <w:p w:rsidR="00A32947" w:rsidRDefault="00A32947" w:rsidP="00E83DA6">
      <w:pPr>
        <w:keepLines/>
      </w:pPr>
      <w:r>
        <w:t xml:space="preserve">The estimated </w:t>
      </w:r>
      <w:r w:rsidR="00E20A23">
        <w:t xml:space="preserve">increase in administered and departmental expenses </w:t>
      </w:r>
      <w:r>
        <w:t xml:space="preserve">of not proceeding with the </w:t>
      </w:r>
      <w:r w:rsidR="00E20A23">
        <w:t xml:space="preserve">cessation of the </w:t>
      </w:r>
      <w:r>
        <w:t>CDBS was based on modelling provided by the Department of Health</w:t>
      </w:r>
      <w:r w:rsidR="00E50794">
        <w:t xml:space="preserve"> (Health) that informed the 2016-17 Budget measure</w:t>
      </w:r>
      <w:r w:rsidR="0077265A">
        <w:t>,</w:t>
      </w:r>
      <w:r w:rsidR="00E50794">
        <w:t xml:space="preserve"> </w:t>
      </w:r>
      <w:r w:rsidR="00E50794">
        <w:rPr>
          <w:i/>
        </w:rPr>
        <w:t>Child and Adult Public Dental Scheme</w:t>
      </w:r>
      <w:r w:rsidR="00E50794">
        <w:t>.</w:t>
      </w:r>
    </w:p>
    <w:p w:rsidR="00A32947" w:rsidRDefault="00E20A23" w:rsidP="00881C03">
      <w:pPr>
        <w:pStyle w:val="Heading3"/>
      </w:pPr>
      <w:r>
        <w:t>Expansion of eligibility for CDBS</w:t>
      </w:r>
    </w:p>
    <w:p w:rsidR="00E20A23" w:rsidRPr="00023848" w:rsidRDefault="00E556EF" w:rsidP="00675742">
      <w:pPr>
        <w:pStyle w:val="Heading4"/>
      </w:pPr>
      <w:r w:rsidRPr="00023848">
        <w:t>Administered expenses</w:t>
      </w:r>
    </w:p>
    <w:p w:rsidR="00E83DA6" w:rsidRPr="00293584" w:rsidRDefault="00E20A23" w:rsidP="00E83DA6">
      <w:pPr>
        <w:keepLines/>
      </w:pPr>
      <w:r>
        <w:t>A</w:t>
      </w:r>
      <w:r w:rsidR="00E83DA6" w:rsidRPr="00293584">
        <w:t xml:space="preserve">dministered </w:t>
      </w:r>
      <w:r>
        <w:t xml:space="preserve">expense </w:t>
      </w:r>
      <w:r w:rsidR="00E83DA6" w:rsidRPr="00293584">
        <w:t>estimates were derived by taking the number of persons eligible in each year multipl</w:t>
      </w:r>
      <w:r w:rsidR="001573C8">
        <w:t>ied</w:t>
      </w:r>
      <w:r w:rsidR="00E83DA6" w:rsidRPr="00293584">
        <w:t xml:space="preserve"> by the proportion </w:t>
      </w:r>
      <w:r w:rsidR="00E83DA6">
        <w:t xml:space="preserve">of persons </w:t>
      </w:r>
      <w:r w:rsidR="00E83DA6" w:rsidRPr="00293584">
        <w:t>expected to access the scheme.</w:t>
      </w:r>
      <w:r w:rsidR="00E83DA6">
        <w:t xml:space="preserve"> </w:t>
      </w:r>
      <w:r w:rsidR="00E83DA6" w:rsidRPr="00293584">
        <w:t xml:space="preserve"> This number was then multiplied by the </w:t>
      </w:r>
      <w:r>
        <w:t xml:space="preserve">expected </w:t>
      </w:r>
      <w:r w:rsidR="00E83DA6" w:rsidRPr="00293584">
        <w:t>average cost</w:t>
      </w:r>
      <w:r w:rsidR="00E83DA6">
        <w:t xml:space="preserve"> </w:t>
      </w:r>
      <w:r w:rsidR="00E83DA6" w:rsidRPr="00293584">
        <w:t>of</w:t>
      </w:r>
      <w:r>
        <w:t xml:space="preserve"> adults using the range of services provided under the CDBS</w:t>
      </w:r>
      <w:r w:rsidR="0077265A">
        <w:t>.</w:t>
      </w:r>
    </w:p>
    <w:p w:rsidR="00E83DA6" w:rsidRDefault="00E83DA6" w:rsidP="00881C03">
      <w:pPr>
        <w:pStyle w:val="Bullet1"/>
      </w:pPr>
      <w:r w:rsidRPr="00293584">
        <w:t>Recipient numbers</w:t>
      </w:r>
    </w:p>
    <w:p w:rsidR="00E83DA6" w:rsidRPr="00293584" w:rsidRDefault="00E83DA6" w:rsidP="0077265A">
      <w:pPr>
        <w:pStyle w:val="Bullet2"/>
        <w:tabs>
          <w:tab w:val="clear" w:pos="907"/>
        </w:tabs>
      </w:pPr>
      <w:r w:rsidRPr="00293584">
        <w:t xml:space="preserve">The number of full benefit income support recipients has been based on information provided by the Department of </w:t>
      </w:r>
      <w:r>
        <w:t>Social Services</w:t>
      </w:r>
      <w:r w:rsidRPr="00293584">
        <w:t xml:space="preserve"> and the Department of Employment.</w:t>
      </w:r>
    </w:p>
    <w:p w:rsidR="00E83DA6" w:rsidRPr="00293584" w:rsidRDefault="00E83DA6" w:rsidP="0077265A">
      <w:pPr>
        <w:pStyle w:val="Bullet2"/>
        <w:tabs>
          <w:tab w:val="clear" w:pos="907"/>
        </w:tabs>
      </w:pPr>
      <w:r w:rsidRPr="00293584">
        <w:t>The number of concession card holders was derived by taking the number of individuals receiving an income support payment plus data available on Commonwealth Senior</w:t>
      </w:r>
      <w:r w:rsidR="001573C8">
        <w:t>s</w:t>
      </w:r>
      <w:r w:rsidRPr="00293584">
        <w:t xml:space="preserve"> Health Card holders and bereavement allowance recipients.</w:t>
      </w:r>
    </w:p>
    <w:p w:rsidR="00E83DA6" w:rsidRDefault="00E83DA6" w:rsidP="00881C03">
      <w:pPr>
        <w:pStyle w:val="Bullet1"/>
      </w:pPr>
      <w:r w:rsidRPr="00293584">
        <w:t>Average cost</w:t>
      </w:r>
      <w:r>
        <w:t xml:space="preserve"> per </w:t>
      </w:r>
      <w:r w:rsidR="00E20A23">
        <w:t>adult</w:t>
      </w:r>
    </w:p>
    <w:p w:rsidR="00E83DA6" w:rsidRPr="00293584" w:rsidRDefault="00E83DA6" w:rsidP="0077265A">
      <w:pPr>
        <w:pStyle w:val="Bullet2"/>
        <w:tabs>
          <w:tab w:val="clear" w:pos="907"/>
        </w:tabs>
        <w:rPr>
          <w:u w:val="single"/>
        </w:rPr>
      </w:pPr>
      <w:r w:rsidRPr="00293584">
        <w:t xml:space="preserve">The average cost </w:t>
      </w:r>
      <w:r>
        <w:t xml:space="preserve">per </w:t>
      </w:r>
      <w:r w:rsidR="00E20A23">
        <w:t>adult</w:t>
      </w:r>
      <w:r>
        <w:t xml:space="preserve"> </w:t>
      </w:r>
      <w:r w:rsidRPr="00293584">
        <w:t xml:space="preserve">was calculated by multiplying the following factors together: </w:t>
      </w:r>
    </w:p>
    <w:p w:rsidR="00E83DA6" w:rsidRPr="00293584" w:rsidRDefault="0077265A" w:rsidP="0077265A">
      <w:pPr>
        <w:pStyle w:val="Bullet3"/>
        <w:tabs>
          <w:tab w:val="clear" w:pos="624"/>
        </w:tabs>
      </w:pPr>
      <w:r>
        <w:t>t</w:t>
      </w:r>
      <w:r w:rsidR="00610C95">
        <w:t xml:space="preserve">he </w:t>
      </w:r>
      <w:r w:rsidR="00E83DA6">
        <w:t>a</w:t>
      </w:r>
      <w:r w:rsidR="00E83DA6" w:rsidRPr="00293584">
        <w:t xml:space="preserve">verage number of diagnostic, restorative, preventative and extraction services per visit by age group as detailed in </w:t>
      </w:r>
      <w:r w:rsidR="00E83DA6" w:rsidRPr="00C62A41">
        <w:rPr>
          <w:i/>
        </w:rPr>
        <w:t>Practice activity patterns of dentists in Australia</w:t>
      </w:r>
      <w:r w:rsidR="00E83DA6" w:rsidRPr="00293584">
        <w:t>, AIHW 2006</w:t>
      </w:r>
    </w:p>
    <w:p w:rsidR="00E83DA6" w:rsidRDefault="0077265A" w:rsidP="0077265A">
      <w:pPr>
        <w:pStyle w:val="Bullet3"/>
        <w:tabs>
          <w:tab w:val="clear" w:pos="624"/>
        </w:tabs>
      </w:pPr>
      <w:proofErr w:type="gramStart"/>
      <w:r>
        <w:t>t</w:t>
      </w:r>
      <w:r w:rsidR="00610C95">
        <w:t>he</w:t>
      </w:r>
      <w:proofErr w:type="gramEnd"/>
      <w:r w:rsidR="00610C95">
        <w:t xml:space="preserve"> </w:t>
      </w:r>
      <w:r w:rsidR="00E83DA6">
        <w:t>a</w:t>
      </w:r>
      <w:r w:rsidR="00E83DA6" w:rsidRPr="00293584">
        <w:t xml:space="preserve">verage number of visits in a </w:t>
      </w:r>
      <w:r w:rsidR="00E50794">
        <w:t>12</w:t>
      </w:r>
      <w:r w:rsidR="00E50794">
        <w:softHyphen/>
      </w:r>
      <w:r w:rsidR="00E50794">
        <w:noBreakHyphen/>
      </w:r>
      <w:r w:rsidR="00E83DA6" w:rsidRPr="00293584">
        <w:t xml:space="preserve">month period as reported in </w:t>
      </w:r>
      <w:r w:rsidR="00E83DA6" w:rsidRPr="00C62A41">
        <w:rPr>
          <w:i/>
        </w:rPr>
        <w:t>Oral health and dental care in Australia</w:t>
      </w:r>
      <w:r w:rsidR="00E83DA6">
        <w:t>, AIHW, 2014</w:t>
      </w:r>
      <w:r w:rsidR="00E83DA6" w:rsidRPr="00293584">
        <w:t>.</w:t>
      </w:r>
    </w:p>
    <w:p w:rsidR="00E20A23" w:rsidRPr="00023848" w:rsidRDefault="00E20A23" w:rsidP="00675742">
      <w:pPr>
        <w:pStyle w:val="Heading4"/>
      </w:pPr>
      <w:r w:rsidRPr="00023848">
        <w:t>Departmental expenses</w:t>
      </w:r>
    </w:p>
    <w:p w:rsidR="00E20A23" w:rsidRDefault="00E20A23" w:rsidP="00881C03">
      <w:pPr>
        <w:keepLines/>
      </w:pPr>
      <w:r>
        <w:t>D</w:t>
      </w:r>
      <w:r w:rsidRPr="00B0185B">
        <w:t>epartmental</w:t>
      </w:r>
      <w:r w:rsidR="00EB23F5">
        <w:t xml:space="preserve"> expense</w:t>
      </w:r>
      <w:r w:rsidRPr="00B0185B">
        <w:t xml:space="preserve"> estimates </w:t>
      </w:r>
      <w:r>
        <w:t xml:space="preserve">for </w:t>
      </w:r>
      <w:r w:rsidRPr="00B0185B">
        <w:t>the Department of Human Services</w:t>
      </w:r>
      <w:r>
        <w:t xml:space="preserve"> (DHS) </w:t>
      </w:r>
      <w:r w:rsidRPr="00B0185B">
        <w:t>in this costing were derived using information provided by the</w:t>
      </w:r>
      <w:r>
        <w:t xml:space="preserve"> DHS</w:t>
      </w:r>
      <w:r w:rsidRPr="00B0185B">
        <w:t>.  The majority of the costs were modelled on the proportion of departmental to administered costs for the CDBS.</w:t>
      </w:r>
    </w:p>
    <w:p w:rsidR="00E20A23" w:rsidRDefault="00E20A23" w:rsidP="00881C03">
      <w:pPr>
        <w:keepLines/>
      </w:pPr>
      <w:r w:rsidRPr="00B0185B">
        <w:lastRenderedPageBreak/>
        <w:t>The costing has included higher funding for i</w:t>
      </w:r>
      <w:r w:rsidRPr="006E7494">
        <w:t>nformation and communications technology (ICT)</w:t>
      </w:r>
      <w:r w:rsidRPr="00B0185B">
        <w:t xml:space="preserve"> purposes due to significant work that would need to be undertaken to ensure systems could cope with the higher numbers of transactions.  It would also be anticipated that some departmental costs would be incurred prior to the commencement date as system upgrades would be required and individual eligibility would need to be determined.</w:t>
      </w:r>
    </w:p>
    <w:p w:rsidR="00E20A23" w:rsidRDefault="00E20A23" w:rsidP="00881C03">
      <w:pPr>
        <w:keepLines/>
      </w:pPr>
      <w:r>
        <w:t xml:space="preserve">The departmental costs for </w:t>
      </w:r>
      <w:r w:rsidR="006A6A8E">
        <w:t>Health</w:t>
      </w:r>
      <w:r>
        <w:t xml:space="preserve"> were calculated based </w:t>
      </w:r>
      <w:r w:rsidR="0067092D">
        <w:t xml:space="preserve">on </w:t>
      </w:r>
      <w:r>
        <w:t>the increased number of persons accessing the expanded CDBS</w:t>
      </w:r>
      <w:r w:rsidR="0067092D">
        <w:t xml:space="preserve"> and </w:t>
      </w:r>
      <w:r w:rsidR="00E50794">
        <w:t xml:space="preserve">costs for administering </w:t>
      </w:r>
      <w:r w:rsidR="0067092D">
        <w:t>similar sized program</w:t>
      </w:r>
      <w:r w:rsidR="00E50794">
        <w:t>s</w:t>
      </w:r>
      <w:r>
        <w:t>.</w:t>
      </w:r>
    </w:p>
    <w:p w:rsidR="00E20A23" w:rsidRDefault="00E20A23" w:rsidP="00881C03">
      <w:pPr>
        <w:pStyle w:val="Heading3"/>
      </w:pPr>
      <w:r>
        <w:t>Not proceeding with the CAPDS</w:t>
      </w:r>
    </w:p>
    <w:p w:rsidR="00E20A23" w:rsidRDefault="00E20A23" w:rsidP="00881C03">
      <w:pPr>
        <w:keepLines/>
      </w:pPr>
      <w:r>
        <w:t>The estimated savings from not proceeding with the CAPDS was based on modelling provided by Health</w:t>
      </w:r>
      <w:r w:rsidR="00E50794">
        <w:t xml:space="preserve"> that informed the 2016-17 Budget measure</w:t>
      </w:r>
      <w:r w:rsidR="008D79BF">
        <w:t>,</w:t>
      </w:r>
      <w:r w:rsidR="00E50794">
        <w:t xml:space="preserve"> </w:t>
      </w:r>
      <w:r w:rsidR="00E50794">
        <w:rPr>
          <w:i/>
        </w:rPr>
        <w:t>Child and Adult Public Dental Scheme</w:t>
      </w:r>
      <w:r>
        <w:t>.</w:t>
      </w:r>
    </w:p>
    <w:p w:rsidR="005E3562" w:rsidRPr="00FC6579" w:rsidRDefault="005E3562" w:rsidP="00A67EE3">
      <w:pPr>
        <w:pStyle w:val="Heading2"/>
      </w:pPr>
      <w:r w:rsidRPr="00FC6579">
        <w:t>Data sources</w:t>
      </w:r>
    </w:p>
    <w:p w:rsidR="00E83DA6" w:rsidRPr="00293584" w:rsidRDefault="00E83DA6" w:rsidP="00A67EE3">
      <w:pPr>
        <w:keepNext/>
        <w:keepLines/>
      </w:pPr>
      <w:r w:rsidRPr="00293584">
        <w:t xml:space="preserve">The following data sources, in addition to information provided by agencies listed </w:t>
      </w:r>
      <w:proofErr w:type="gramStart"/>
      <w:r w:rsidRPr="00293584">
        <w:t>previously,</w:t>
      </w:r>
      <w:proofErr w:type="gramEnd"/>
      <w:r w:rsidRPr="00293584">
        <w:t xml:space="preserve"> were used in developing this costing:</w:t>
      </w:r>
    </w:p>
    <w:p w:rsidR="00E83DA6" w:rsidRPr="00293584" w:rsidRDefault="00E83DA6" w:rsidP="00A67EE3">
      <w:pPr>
        <w:pStyle w:val="Bullet1"/>
        <w:keepNext/>
      </w:pPr>
      <w:r w:rsidRPr="00293584">
        <w:t>Australian Bureau of Statistics</w:t>
      </w:r>
    </w:p>
    <w:p w:rsidR="00E83DA6" w:rsidRPr="00293584" w:rsidRDefault="00E83DA6" w:rsidP="00A67EE3">
      <w:pPr>
        <w:pStyle w:val="Bullet2"/>
        <w:keepNext/>
      </w:pPr>
      <w:r w:rsidRPr="00293584">
        <w:t>Tab</w:t>
      </w:r>
      <w:r w:rsidR="00B0185B">
        <w:t>le B9</w:t>
      </w:r>
      <w:r w:rsidR="008D79BF">
        <w:t xml:space="preserve"> -</w:t>
      </w:r>
      <w:r w:rsidR="00B0185B">
        <w:t xml:space="preserve"> Population projections, b</w:t>
      </w:r>
      <w:r w:rsidRPr="00293584">
        <w:t>y age and sex, Australia - Series B</w:t>
      </w:r>
      <w:r>
        <w:t>.</w:t>
      </w:r>
    </w:p>
    <w:p w:rsidR="00E83DA6" w:rsidRPr="00293584" w:rsidRDefault="00E83DA6" w:rsidP="00A67EE3">
      <w:pPr>
        <w:pStyle w:val="Bullet1"/>
        <w:keepNext/>
      </w:pPr>
      <w:r w:rsidRPr="00293584">
        <w:t>Australian Institute of Health and Welfare</w:t>
      </w:r>
    </w:p>
    <w:p w:rsidR="00E83DA6" w:rsidRPr="00293584" w:rsidRDefault="00E83DA6" w:rsidP="00A67EE3">
      <w:pPr>
        <w:pStyle w:val="Bullet2"/>
      </w:pPr>
      <w:r w:rsidRPr="00293584">
        <w:t>Practice activity patterns of dentists in Australia, 2006</w:t>
      </w:r>
    </w:p>
    <w:p w:rsidR="00E83DA6" w:rsidRPr="00293584" w:rsidRDefault="00E83DA6" w:rsidP="00A67EE3">
      <w:pPr>
        <w:pStyle w:val="Bullet2"/>
      </w:pPr>
      <w:r w:rsidRPr="00293584">
        <w:t>Oral health an</w:t>
      </w:r>
      <w:r>
        <w:t>d dental care in Australia, 2014</w:t>
      </w:r>
    </w:p>
    <w:p w:rsidR="00E83DA6" w:rsidRPr="00293584" w:rsidRDefault="00E83DA6" w:rsidP="00A67EE3">
      <w:pPr>
        <w:pStyle w:val="Bullet2"/>
      </w:pPr>
      <w:r w:rsidRPr="00293584">
        <w:t>Age and the costs of dental care, 2010</w:t>
      </w:r>
    </w:p>
    <w:p w:rsidR="00E83DA6" w:rsidRPr="00293584" w:rsidRDefault="00E83DA6" w:rsidP="00A67EE3">
      <w:pPr>
        <w:pStyle w:val="Bullet2"/>
      </w:pPr>
      <w:r w:rsidRPr="00293584">
        <w:t>Proportion (%) of chronic conditions reported, by age group, 2004-05</w:t>
      </w:r>
      <w:r>
        <w:t>.</w:t>
      </w:r>
    </w:p>
    <w:p w:rsidR="00E83DA6" w:rsidRPr="00293584" w:rsidRDefault="00E83DA6" w:rsidP="00A67EE3">
      <w:pPr>
        <w:pStyle w:val="Bullet1"/>
      </w:pPr>
      <w:r w:rsidRPr="00293584">
        <w:t>PricewaterhouseCoopers</w:t>
      </w:r>
    </w:p>
    <w:p w:rsidR="00E83DA6" w:rsidRPr="00293584" w:rsidRDefault="00E83DA6" w:rsidP="00A67EE3">
      <w:pPr>
        <w:pStyle w:val="Bullet2"/>
      </w:pPr>
      <w:r w:rsidRPr="00293584">
        <w:t>National Health and Hospital Reform Commission: Costing a Social Insurance Scheme for Dental Care, 2008</w:t>
      </w:r>
      <w:r>
        <w:t>.</w:t>
      </w:r>
    </w:p>
    <w:p w:rsidR="00E83DA6" w:rsidRPr="00A67EE3" w:rsidRDefault="00E83DA6" w:rsidP="00A67EE3">
      <w:pPr>
        <w:pStyle w:val="Bullet1"/>
      </w:pPr>
      <w:r w:rsidRPr="00A67EE3">
        <w:t>The Department of Finance provided the Central Budget</w:t>
      </w:r>
      <w:r w:rsidR="00A67EE3" w:rsidRPr="00A67EE3">
        <w:t xml:space="preserve"> Management System</w:t>
      </w:r>
      <w:r w:rsidR="001573C8">
        <w:t xml:space="preserve"> data</w:t>
      </w:r>
      <w:r w:rsidR="00A67EE3" w:rsidRPr="00A67EE3">
        <w:t xml:space="preserve"> for the 2016</w:t>
      </w:r>
      <w:r w:rsidR="00A67EE3" w:rsidRPr="00A67EE3">
        <w:noBreakHyphen/>
      </w:r>
      <w:r w:rsidRPr="00A67EE3">
        <w:t>17 Budget.</w:t>
      </w:r>
    </w:p>
    <w:p w:rsidR="00CA5D42" w:rsidRPr="00A67EE3" w:rsidRDefault="00CA5D42" w:rsidP="00A67EE3">
      <w:pPr>
        <w:pStyle w:val="Bullet1"/>
        <w:rPr>
          <w:highlight w:val="yellow"/>
        </w:rPr>
        <w:sectPr w:rsidR="00CA5D42" w:rsidRPr="00A67EE3" w:rsidSect="00002D5D">
          <w:headerReference w:type="first" r:id="rId16"/>
          <w:footerReference w:type="first" r:id="rId17"/>
          <w:pgSz w:w="11906" w:h="16838"/>
          <w:pgMar w:top="1361" w:right="1797" w:bottom="1474" w:left="1797" w:header="709" w:footer="709" w:gutter="0"/>
          <w:cols w:space="708"/>
          <w:titlePg/>
          <w:docGrid w:linePitch="360"/>
        </w:sectPr>
      </w:pPr>
    </w:p>
    <w:p w:rsidR="001C0C08" w:rsidRPr="00FC6579" w:rsidRDefault="001C0C08" w:rsidP="008905B3">
      <w:pPr>
        <w:pStyle w:val="Heading1"/>
        <w:numPr>
          <w:ilvl w:val="0"/>
          <w:numId w:val="0"/>
        </w:numPr>
      </w:pPr>
      <w:r w:rsidRPr="00FC6579">
        <w:lastRenderedPageBreak/>
        <w:t>Attachment A:</w:t>
      </w:r>
      <w:r>
        <w:t xml:space="preserve"> Expanding Denticare</w:t>
      </w:r>
      <w:r w:rsidR="00E556EF">
        <w:t>—</w:t>
      </w:r>
      <w:r>
        <w:t>financial implications</w:t>
      </w:r>
    </w:p>
    <w:p w:rsidR="00D27789" w:rsidRPr="00E30FB5" w:rsidRDefault="00F52474" w:rsidP="00D27789">
      <w:pPr>
        <w:pStyle w:val="Captionheading"/>
        <w:rPr>
          <w:vertAlign w:val="superscript"/>
        </w:rPr>
      </w:pPr>
      <w:r w:rsidRPr="00FC6579">
        <w:t xml:space="preserve">Table </w:t>
      </w:r>
      <w:r w:rsidR="001C0C08">
        <w:t>A1</w:t>
      </w:r>
      <w:r w:rsidRPr="00FC6579">
        <w:t xml:space="preserve">: </w:t>
      </w:r>
      <w:r w:rsidR="001C0C08">
        <w:t>Expanding Denticare</w:t>
      </w:r>
      <w:r w:rsidR="00E556EF">
        <w:t>—</w:t>
      </w:r>
      <w:r w:rsidR="001C0C08">
        <w:t xml:space="preserve">Fiscal </w:t>
      </w:r>
      <w:proofErr w:type="gramStart"/>
      <w:r w:rsidR="001C0C08">
        <w:t>balance</w:t>
      </w:r>
      <w:r w:rsidR="001C0C08">
        <w:rPr>
          <w:vertAlign w:val="superscript"/>
        </w:rPr>
        <w:t>(</w:t>
      </w:r>
      <w:proofErr w:type="gramEnd"/>
      <w:r w:rsidR="001C0C08">
        <w:rPr>
          <w:vertAlign w:val="superscript"/>
        </w:rPr>
        <w:t>a)(b)</w:t>
      </w:r>
    </w:p>
    <w:tbl>
      <w:tblPr>
        <w:tblStyle w:val="TableGrid"/>
        <w:tblW w:w="4995" w:type="pct"/>
        <w:tblLook w:val="04A0" w:firstRow="1" w:lastRow="0" w:firstColumn="1" w:lastColumn="0" w:noHBand="0" w:noVBand="1"/>
      </w:tblPr>
      <w:tblGrid>
        <w:gridCol w:w="2645"/>
        <w:gridCol w:w="1134"/>
        <w:gridCol w:w="1134"/>
        <w:gridCol w:w="1134"/>
        <w:gridCol w:w="1134"/>
        <w:gridCol w:w="1134"/>
      </w:tblGrid>
      <w:tr w:rsidR="00D27789" w:rsidRPr="00EF1D6A" w:rsidTr="00E556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tcPr>
          <w:p w:rsidR="00D27789" w:rsidRPr="00E556EF" w:rsidRDefault="00D27789" w:rsidP="00E556EF">
            <w:pPr>
              <w:pStyle w:val="TableText"/>
              <w:keepNext/>
              <w:keepLines/>
              <w:spacing w:line="240" w:lineRule="auto"/>
              <w:ind w:left="57" w:right="57"/>
              <w:rPr>
                <w:szCs w:val="20"/>
              </w:rPr>
            </w:pPr>
            <w:r w:rsidRPr="00E556EF">
              <w:rPr>
                <w:szCs w:val="20"/>
              </w:rPr>
              <w:t>($m)</w:t>
            </w:r>
          </w:p>
        </w:tc>
        <w:tc>
          <w:tcPr>
            <w:tcW w:w="682" w:type="pct"/>
          </w:tcPr>
          <w:p w:rsidR="00D27789" w:rsidRPr="00E556EF" w:rsidRDefault="00D27789" w:rsidP="008D79B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E556EF">
              <w:t>2016–17</w:t>
            </w:r>
          </w:p>
        </w:tc>
        <w:tc>
          <w:tcPr>
            <w:tcW w:w="682" w:type="pct"/>
          </w:tcPr>
          <w:p w:rsidR="00D27789" w:rsidRPr="00E556EF" w:rsidRDefault="00D27789" w:rsidP="008D79B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E556EF">
              <w:t>2017–18</w:t>
            </w:r>
          </w:p>
        </w:tc>
        <w:tc>
          <w:tcPr>
            <w:tcW w:w="682" w:type="pct"/>
          </w:tcPr>
          <w:p w:rsidR="00D27789" w:rsidRPr="00E556EF" w:rsidRDefault="00D27789" w:rsidP="008D79B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E556EF">
              <w:t>2018–19</w:t>
            </w:r>
          </w:p>
        </w:tc>
        <w:tc>
          <w:tcPr>
            <w:tcW w:w="682" w:type="pct"/>
          </w:tcPr>
          <w:p w:rsidR="00D27789" w:rsidRPr="00E556EF" w:rsidRDefault="00D27789" w:rsidP="008D79B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E556EF">
              <w:t>2019–20</w:t>
            </w:r>
          </w:p>
        </w:tc>
        <w:tc>
          <w:tcPr>
            <w:tcW w:w="682" w:type="pct"/>
          </w:tcPr>
          <w:p w:rsidR="00D27789" w:rsidRPr="00AE30B5" w:rsidRDefault="00D27789" w:rsidP="008D79B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 to 2019–20</w:t>
            </w:r>
          </w:p>
        </w:tc>
      </w:tr>
      <w:tr w:rsidR="00D27789" w:rsidRPr="0066665A" w:rsidTr="0088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D27789" w:rsidRPr="00881C03" w:rsidRDefault="00D27789" w:rsidP="008D79BF">
            <w:pPr>
              <w:pStyle w:val="TableTextRight"/>
              <w:spacing w:line="240" w:lineRule="auto"/>
              <w:ind w:left="57" w:right="57"/>
              <w:jc w:val="left"/>
              <w:rPr>
                <w:b/>
                <w:i w:val="0"/>
              </w:rPr>
            </w:pPr>
            <w:r w:rsidRPr="00881C03">
              <w:rPr>
                <w:b/>
                <w:i w:val="0"/>
                <w:szCs w:val="20"/>
              </w:rPr>
              <w:t>Administered</w:t>
            </w:r>
          </w:p>
        </w:tc>
      </w:tr>
      <w:tr w:rsidR="00CC4B20" w:rsidRPr="0066665A" w:rsidTr="00881C03">
        <w:tc>
          <w:tcPr>
            <w:cnfStyle w:val="001000000000" w:firstRow="0" w:lastRow="0" w:firstColumn="1" w:lastColumn="0" w:oddVBand="0" w:evenVBand="0" w:oddHBand="0" w:evenHBand="0" w:firstRowFirstColumn="0" w:firstRowLastColumn="0" w:lastRowFirstColumn="0" w:lastRowLastColumn="0"/>
            <w:tcW w:w="1590" w:type="pct"/>
          </w:tcPr>
          <w:p w:rsidR="00CC4B20" w:rsidRPr="00C17112" w:rsidRDefault="00E50794" w:rsidP="008D79BF">
            <w:pPr>
              <w:pStyle w:val="TableTextCentred"/>
              <w:keepNext/>
              <w:keepLines/>
              <w:spacing w:line="240" w:lineRule="auto"/>
              <w:ind w:left="57" w:right="57"/>
              <w:jc w:val="left"/>
              <w:rPr>
                <w:szCs w:val="20"/>
              </w:rPr>
            </w:pPr>
            <w:r>
              <w:rPr>
                <w:szCs w:val="20"/>
              </w:rPr>
              <w:t xml:space="preserve">Not ceasing  </w:t>
            </w:r>
            <w:r w:rsidR="00CC4B20">
              <w:rPr>
                <w:szCs w:val="20"/>
              </w:rPr>
              <w:t>CDBS</w:t>
            </w:r>
          </w:p>
        </w:tc>
        <w:tc>
          <w:tcPr>
            <w:tcW w:w="682" w:type="pct"/>
            <w:vAlign w:val="bottom"/>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color w:val="000000"/>
                <w:szCs w:val="20"/>
              </w:rPr>
              <w:t>-305.3</w:t>
            </w:r>
          </w:p>
        </w:tc>
        <w:tc>
          <w:tcPr>
            <w:tcW w:w="682" w:type="pct"/>
            <w:vAlign w:val="bottom"/>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color w:val="000000"/>
                <w:szCs w:val="20"/>
              </w:rPr>
              <w:t>-310.2</w:t>
            </w:r>
          </w:p>
        </w:tc>
        <w:tc>
          <w:tcPr>
            <w:tcW w:w="682" w:type="pct"/>
            <w:vAlign w:val="bottom"/>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color w:val="000000"/>
                <w:szCs w:val="20"/>
              </w:rPr>
              <w:t>-317.7</w:t>
            </w:r>
          </w:p>
        </w:tc>
        <w:tc>
          <w:tcPr>
            <w:tcW w:w="682" w:type="pct"/>
            <w:vAlign w:val="bottom"/>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color w:val="000000"/>
                <w:szCs w:val="20"/>
              </w:rPr>
              <w:t>-335.2</w:t>
            </w:r>
          </w:p>
        </w:tc>
        <w:tc>
          <w:tcPr>
            <w:tcW w:w="682" w:type="pct"/>
            <w:vAlign w:val="bottom"/>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881C03">
              <w:rPr>
                <w:b/>
                <w:color w:val="000000"/>
                <w:szCs w:val="20"/>
              </w:rPr>
              <w:t>-1,268.3</w:t>
            </w:r>
          </w:p>
        </w:tc>
      </w:tr>
      <w:tr w:rsidR="00CC4B20" w:rsidRPr="0066665A" w:rsidTr="00E1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CC4B20" w:rsidRPr="00C17112" w:rsidRDefault="00CC4B20" w:rsidP="008D79BF">
            <w:pPr>
              <w:pStyle w:val="TableTextCentred"/>
              <w:keepNext/>
              <w:keepLines/>
              <w:spacing w:line="240" w:lineRule="auto"/>
              <w:ind w:left="57" w:right="57"/>
              <w:jc w:val="left"/>
              <w:rPr>
                <w:szCs w:val="20"/>
              </w:rPr>
            </w:pPr>
            <w:r>
              <w:rPr>
                <w:szCs w:val="20"/>
              </w:rPr>
              <w:t>Extended eligibility for the CDBS</w:t>
            </w:r>
          </w:p>
        </w:tc>
        <w:tc>
          <w:tcPr>
            <w:tcW w:w="682" w:type="pct"/>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523183">
              <w:t>-</w:t>
            </w:r>
          </w:p>
        </w:tc>
        <w:tc>
          <w:tcPr>
            <w:tcW w:w="682" w:type="pct"/>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523183">
              <w:t>-1,825.0</w:t>
            </w:r>
          </w:p>
        </w:tc>
        <w:tc>
          <w:tcPr>
            <w:tcW w:w="682" w:type="pct"/>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523183">
              <w:t>-2,231.7</w:t>
            </w:r>
          </w:p>
        </w:tc>
        <w:tc>
          <w:tcPr>
            <w:tcW w:w="682" w:type="pct"/>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523183">
              <w:t>-2,278.8</w:t>
            </w:r>
          </w:p>
        </w:tc>
        <w:tc>
          <w:tcPr>
            <w:tcW w:w="682" w:type="pct"/>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81C03">
              <w:rPr>
                <w:b/>
              </w:rPr>
              <w:t>-6,335.4</w:t>
            </w:r>
          </w:p>
        </w:tc>
      </w:tr>
      <w:tr w:rsidR="00CC4B20" w:rsidRPr="0066665A" w:rsidTr="00E167C2">
        <w:tc>
          <w:tcPr>
            <w:cnfStyle w:val="001000000000" w:firstRow="0" w:lastRow="0" w:firstColumn="1" w:lastColumn="0" w:oddVBand="0" w:evenVBand="0" w:oddHBand="0" w:evenHBand="0" w:firstRowFirstColumn="0" w:firstRowLastColumn="0" w:lastRowFirstColumn="0" w:lastRowLastColumn="0"/>
            <w:tcW w:w="1590" w:type="pct"/>
          </w:tcPr>
          <w:p w:rsidR="00CC4B20" w:rsidRDefault="00CC4B20" w:rsidP="008D79BF">
            <w:pPr>
              <w:pStyle w:val="TableTextCentred"/>
              <w:keepNext/>
              <w:keepLines/>
              <w:spacing w:line="240" w:lineRule="auto"/>
              <w:ind w:left="57" w:right="57"/>
              <w:jc w:val="left"/>
              <w:rPr>
                <w:szCs w:val="20"/>
              </w:rPr>
            </w:pPr>
            <w:r>
              <w:rPr>
                <w:szCs w:val="20"/>
              </w:rPr>
              <w:t xml:space="preserve">No longer proceeding with CAPDS </w:t>
            </w:r>
          </w:p>
        </w:tc>
        <w:tc>
          <w:tcPr>
            <w:tcW w:w="682" w:type="pct"/>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szCs w:val="20"/>
              </w:rPr>
              <w:t>415.6</w:t>
            </w:r>
          </w:p>
        </w:tc>
        <w:tc>
          <w:tcPr>
            <w:tcW w:w="682" w:type="pct"/>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szCs w:val="20"/>
              </w:rPr>
              <w:t>415.6</w:t>
            </w:r>
          </w:p>
        </w:tc>
        <w:tc>
          <w:tcPr>
            <w:tcW w:w="682" w:type="pct"/>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szCs w:val="20"/>
              </w:rPr>
              <w:t>420.2</w:t>
            </w:r>
          </w:p>
        </w:tc>
        <w:tc>
          <w:tcPr>
            <w:tcW w:w="682" w:type="pct"/>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81C03">
              <w:rPr>
                <w:szCs w:val="20"/>
              </w:rPr>
              <w:t>437.5</w:t>
            </w:r>
          </w:p>
        </w:tc>
        <w:tc>
          <w:tcPr>
            <w:tcW w:w="682" w:type="pct"/>
          </w:tcPr>
          <w:p w:rsidR="00CC4B20" w:rsidRPr="00881C03"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881C03">
              <w:rPr>
                <w:b/>
                <w:szCs w:val="20"/>
              </w:rPr>
              <w:t>1,689.0</w:t>
            </w:r>
          </w:p>
        </w:tc>
      </w:tr>
      <w:tr w:rsidR="00881C03" w:rsidRPr="0066665A" w:rsidTr="0088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CC4B20" w:rsidRPr="00881C03" w:rsidRDefault="00CC4B20" w:rsidP="008D79BF">
            <w:pPr>
              <w:pStyle w:val="TableTextCentred"/>
              <w:keepNext/>
              <w:keepLines/>
              <w:spacing w:line="240" w:lineRule="auto"/>
              <w:ind w:left="57" w:right="57"/>
              <w:jc w:val="left"/>
              <w:rPr>
                <w:b/>
                <w:szCs w:val="20"/>
              </w:rPr>
            </w:pPr>
            <w:r w:rsidRPr="00881C03">
              <w:rPr>
                <w:b/>
                <w:szCs w:val="20"/>
              </w:rPr>
              <w:t xml:space="preserve">Total </w:t>
            </w:r>
            <w:r w:rsidR="008D79BF">
              <w:rPr>
                <w:b/>
                <w:szCs w:val="20"/>
              </w:rPr>
              <w:t xml:space="preserve">- </w:t>
            </w:r>
            <w:r w:rsidRPr="00881C03">
              <w:rPr>
                <w:b/>
                <w:szCs w:val="20"/>
              </w:rPr>
              <w:t>administered</w:t>
            </w:r>
          </w:p>
        </w:tc>
        <w:tc>
          <w:tcPr>
            <w:tcW w:w="682" w:type="pct"/>
            <w:shd w:val="clear" w:color="auto" w:fill="D7DDE9"/>
          </w:tcPr>
          <w:p w:rsidR="00CC4B20" w:rsidRPr="00881C03" w:rsidRDefault="00E556EF" w:rsidP="008D79B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Pr>
                <w:b/>
              </w:rPr>
              <w:t>110.3</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81C03">
              <w:rPr>
                <w:b/>
              </w:rPr>
              <w:t>-1,719.5</w:t>
            </w:r>
          </w:p>
        </w:tc>
        <w:tc>
          <w:tcPr>
            <w:tcW w:w="682" w:type="pct"/>
            <w:shd w:val="clear" w:color="auto" w:fill="D7DDE9"/>
          </w:tcPr>
          <w:p w:rsidR="00CC4B20" w:rsidRPr="00881C03" w:rsidRDefault="00E556EF" w:rsidP="008D79B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Pr>
                <w:b/>
              </w:rPr>
              <w:t>-2,129.1</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81C03">
              <w:rPr>
                <w:b/>
              </w:rPr>
              <w:t>-2,176.5</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81C03">
              <w:rPr>
                <w:b/>
              </w:rPr>
              <w:t>-5,914.8</w:t>
            </w:r>
          </w:p>
        </w:tc>
      </w:tr>
      <w:tr w:rsidR="00CC4B20" w:rsidRPr="0066665A" w:rsidTr="00881C0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CC4B20" w:rsidRPr="00881C03" w:rsidRDefault="00CC4B20" w:rsidP="008D79BF">
            <w:pPr>
              <w:pStyle w:val="TableTextRight"/>
              <w:spacing w:line="240" w:lineRule="auto"/>
              <w:ind w:left="57" w:right="57"/>
              <w:jc w:val="left"/>
              <w:rPr>
                <w:b/>
                <w:i w:val="0"/>
              </w:rPr>
            </w:pPr>
            <w:r w:rsidRPr="00881C03">
              <w:rPr>
                <w:b/>
                <w:i w:val="0"/>
                <w:szCs w:val="20"/>
              </w:rPr>
              <w:t>Departmental</w:t>
            </w:r>
          </w:p>
        </w:tc>
      </w:tr>
      <w:tr w:rsidR="00CC4B20" w:rsidRPr="0066665A" w:rsidTr="00E1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CC4B20" w:rsidRPr="00C17112" w:rsidRDefault="00CC4B20" w:rsidP="008D79BF">
            <w:pPr>
              <w:pStyle w:val="TableTextCentred"/>
              <w:keepNext/>
              <w:keepLines/>
              <w:spacing w:line="240" w:lineRule="auto"/>
              <w:ind w:left="57" w:right="57"/>
              <w:jc w:val="left"/>
              <w:rPr>
                <w:szCs w:val="20"/>
              </w:rPr>
            </w:pPr>
            <w:r>
              <w:rPr>
                <w:szCs w:val="20"/>
              </w:rPr>
              <w:t>DHS</w:t>
            </w:r>
          </w:p>
        </w:tc>
        <w:tc>
          <w:tcPr>
            <w:tcW w:w="682" w:type="pct"/>
          </w:tcPr>
          <w:p w:rsidR="00CC4B20" w:rsidRPr="00C24267"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71623D">
              <w:t>-27.3</w:t>
            </w:r>
          </w:p>
        </w:tc>
        <w:tc>
          <w:tcPr>
            <w:tcW w:w="682" w:type="pct"/>
          </w:tcPr>
          <w:p w:rsidR="00CC4B20" w:rsidRPr="00C24267"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71623D">
              <w:t>-50.9</w:t>
            </w:r>
          </w:p>
        </w:tc>
        <w:tc>
          <w:tcPr>
            <w:tcW w:w="682" w:type="pct"/>
          </w:tcPr>
          <w:p w:rsidR="00CC4B20" w:rsidRPr="00C24267"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71623D">
              <w:t>-53.6</w:t>
            </w:r>
          </w:p>
        </w:tc>
        <w:tc>
          <w:tcPr>
            <w:tcW w:w="682" w:type="pct"/>
          </w:tcPr>
          <w:p w:rsidR="00CC4B20" w:rsidRPr="00C24267"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71623D">
              <w:t>-54.3</w:t>
            </w:r>
          </w:p>
        </w:tc>
        <w:tc>
          <w:tcPr>
            <w:tcW w:w="682" w:type="pct"/>
          </w:tcPr>
          <w:p w:rsidR="00CC4B20" w:rsidRPr="00EC3FDA"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EC3FDA">
              <w:rPr>
                <w:b/>
              </w:rPr>
              <w:t>-186.2</w:t>
            </w:r>
          </w:p>
        </w:tc>
      </w:tr>
      <w:tr w:rsidR="00CC4B20" w:rsidRPr="0066665A" w:rsidTr="00E167C2">
        <w:tc>
          <w:tcPr>
            <w:cnfStyle w:val="001000000000" w:firstRow="0" w:lastRow="0" w:firstColumn="1" w:lastColumn="0" w:oddVBand="0" w:evenVBand="0" w:oddHBand="0" w:evenHBand="0" w:firstRowFirstColumn="0" w:firstRowLastColumn="0" w:lastRowFirstColumn="0" w:lastRowLastColumn="0"/>
            <w:tcW w:w="1590" w:type="pct"/>
          </w:tcPr>
          <w:p w:rsidR="00CC4B20" w:rsidRPr="00C17112" w:rsidRDefault="006A6A8E" w:rsidP="008D79BF">
            <w:pPr>
              <w:pStyle w:val="TableTextCentred"/>
              <w:keepNext/>
              <w:keepLines/>
              <w:spacing w:line="240" w:lineRule="auto"/>
              <w:ind w:left="57" w:right="57"/>
              <w:jc w:val="left"/>
              <w:rPr>
                <w:szCs w:val="20"/>
              </w:rPr>
            </w:pPr>
            <w:r>
              <w:rPr>
                <w:szCs w:val="20"/>
              </w:rPr>
              <w:t>Health</w:t>
            </w:r>
          </w:p>
        </w:tc>
        <w:tc>
          <w:tcPr>
            <w:tcW w:w="682" w:type="pct"/>
          </w:tcPr>
          <w:p w:rsidR="00CC4B20" w:rsidRPr="00C24267"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71623D">
              <w:t>-1.8</w:t>
            </w:r>
          </w:p>
        </w:tc>
        <w:tc>
          <w:tcPr>
            <w:tcW w:w="682" w:type="pct"/>
          </w:tcPr>
          <w:p w:rsidR="00CC4B20" w:rsidRPr="00C24267"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71623D">
              <w:t>-3.7</w:t>
            </w:r>
          </w:p>
        </w:tc>
        <w:tc>
          <w:tcPr>
            <w:tcW w:w="682" w:type="pct"/>
          </w:tcPr>
          <w:p w:rsidR="00CC4B20" w:rsidRPr="00C24267"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71623D">
              <w:t>-3.6</w:t>
            </w:r>
          </w:p>
        </w:tc>
        <w:tc>
          <w:tcPr>
            <w:tcW w:w="682" w:type="pct"/>
          </w:tcPr>
          <w:p w:rsidR="00CC4B20" w:rsidRPr="00C24267"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71623D">
              <w:t>-2.7</w:t>
            </w:r>
          </w:p>
        </w:tc>
        <w:tc>
          <w:tcPr>
            <w:tcW w:w="682" w:type="pct"/>
          </w:tcPr>
          <w:p w:rsidR="00CC4B20" w:rsidRPr="00EC3FDA"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EC3FDA">
              <w:rPr>
                <w:b/>
              </w:rPr>
              <w:t>-11.7</w:t>
            </w:r>
          </w:p>
        </w:tc>
      </w:tr>
      <w:tr w:rsidR="00CC4B20" w:rsidRPr="0066665A" w:rsidTr="0088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CC4B20" w:rsidRPr="00881C03" w:rsidRDefault="00CC4B20" w:rsidP="008D79BF">
            <w:pPr>
              <w:pStyle w:val="TableTextCentred"/>
              <w:keepNext/>
              <w:keepLines/>
              <w:spacing w:line="240" w:lineRule="auto"/>
              <w:ind w:left="57" w:right="57"/>
              <w:jc w:val="left"/>
              <w:rPr>
                <w:b/>
                <w:szCs w:val="20"/>
              </w:rPr>
            </w:pPr>
            <w:r w:rsidRPr="00881C03">
              <w:rPr>
                <w:b/>
                <w:szCs w:val="20"/>
              </w:rPr>
              <w:t xml:space="preserve">Total </w:t>
            </w:r>
            <w:r w:rsidR="008D79BF">
              <w:rPr>
                <w:b/>
                <w:szCs w:val="20"/>
              </w:rPr>
              <w:t xml:space="preserve">- </w:t>
            </w:r>
            <w:r w:rsidRPr="00881C03">
              <w:rPr>
                <w:b/>
                <w:szCs w:val="20"/>
              </w:rPr>
              <w:t>departmental</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81C03">
              <w:rPr>
                <w:b/>
              </w:rPr>
              <w:t>-29.1</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81C03">
              <w:rPr>
                <w:b/>
              </w:rPr>
              <w:t>-54.6</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81C03">
              <w:rPr>
                <w:b/>
              </w:rPr>
              <w:t>-57.2</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81C03">
              <w:rPr>
                <w:b/>
              </w:rPr>
              <w:t>-57.0</w:t>
            </w:r>
          </w:p>
        </w:tc>
        <w:tc>
          <w:tcPr>
            <w:tcW w:w="682" w:type="pct"/>
            <w:shd w:val="clear" w:color="auto" w:fill="D7DDE9"/>
          </w:tcPr>
          <w:p w:rsidR="00CC4B20" w:rsidRPr="00881C03" w:rsidRDefault="00CC4B20" w:rsidP="00E556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881C03">
              <w:rPr>
                <w:b/>
              </w:rPr>
              <w:t>-197.9</w:t>
            </w:r>
          </w:p>
        </w:tc>
      </w:tr>
      <w:tr w:rsidR="00CC4B20" w:rsidRPr="0055406D" w:rsidTr="00881C03">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CC4B20" w:rsidRPr="0055406D" w:rsidRDefault="00CC4B20" w:rsidP="008D79BF">
            <w:pPr>
              <w:pStyle w:val="TableTextCentred"/>
              <w:keepNext/>
              <w:keepLines/>
              <w:spacing w:line="240" w:lineRule="auto"/>
              <w:ind w:left="57" w:right="57"/>
              <w:jc w:val="left"/>
              <w:rPr>
                <w:b/>
                <w:szCs w:val="20"/>
              </w:rPr>
            </w:pPr>
            <w:r w:rsidRPr="0055406D">
              <w:rPr>
                <w:b/>
                <w:szCs w:val="20"/>
              </w:rPr>
              <w:t>Total</w:t>
            </w:r>
          </w:p>
        </w:tc>
        <w:tc>
          <w:tcPr>
            <w:tcW w:w="682" w:type="pct"/>
            <w:shd w:val="clear" w:color="auto" w:fill="D7DDE9"/>
            <w:vAlign w:val="bottom"/>
          </w:tcPr>
          <w:p w:rsidR="00CC4B20" w:rsidRPr="008D79BF"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color w:val="000000"/>
                <w:szCs w:val="20"/>
              </w:rPr>
              <w:t xml:space="preserve"> 81.2</w:t>
            </w:r>
          </w:p>
        </w:tc>
        <w:tc>
          <w:tcPr>
            <w:tcW w:w="682" w:type="pct"/>
            <w:shd w:val="clear" w:color="auto" w:fill="D7DDE9"/>
            <w:vAlign w:val="bottom"/>
          </w:tcPr>
          <w:p w:rsidR="00CC4B20" w:rsidRPr="008D79BF"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color w:val="000000"/>
                <w:szCs w:val="20"/>
              </w:rPr>
              <w:t>-1,774.1</w:t>
            </w:r>
          </w:p>
        </w:tc>
        <w:tc>
          <w:tcPr>
            <w:tcW w:w="682" w:type="pct"/>
            <w:shd w:val="clear" w:color="auto" w:fill="D7DDE9"/>
            <w:vAlign w:val="bottom"/>
          </w:tcPr>
          <w:p w:rsidR="00CC4B20" w:rsidRPr="008D79BF"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color w:val="000000"/>
                <w:szCs w:val="20"/>
              </w:rPr>
              <w:t>-2,186.3</w:t>
            </w:r>
          </w:p>
        </w:tc>
        <w:tc>
          <w:tcPr>
            <w:tcW w:w="682" w:type="pct"/>
            <w:shd w:val="clear" w:color="auto" w:fill="D7DDE9"/>
            <w:vAlign w:val="bottom"/>
          </w:tcPr>
          <w:p w:rsidR="00CC4B20" w:rsidRPr="008D79BF"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color w:val="000000"/>
                <w:szCs w:val="20"/>
              </w:rPr>
              <w:t>-2,233.5</w:t>
            </w:r>
          </w:p>
        </w:tc>
        <w:tc>
          <w:tcPr>
            <w:tcW w:w="682" w:type="pct"/>
            <w:shd w:val="clear" w:color="auto" w:fill="D7DDE9"/>
            <w:vAlign w:val="bottom"/>
          </w:tcPr>
          <w:p w:rsidR="00CC4B20" w:rsidRPr="008D79BF" w:rsidRDefault="00CC4B20" w:rsidP="00E556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color w:val="000000"/>
                <w:szCs w:val="20"/>
              </w:rPr>
              <w:t>-6,112.7</w:t>
            </w:r>
          </w:p>
        </w:tc>
      </w:tr>
    </w:tbl>
    <w:p w:rsidR="001C0C08" w:rsidRPr="001C0C08" w:rsidRDefault="001C0C08" w:rsidP="001C0C08">
      <w:pPr>
        <w:pStyle w:val="Footnotes"/>
        <w:numPr>
          <w:ilvl w:val="0"/>
          <w:numId w:val="27"/>
        </w:numPr>
        <w:ind w:left="284" w:hanging="284"/>
        <w:rPr>
          <w:rFonts w:ascii="Calibri" w:hAnsi="Calibri"/>
        </w:rPr>
      </w:pPr>
      <w:r w:rsidRPr="001C0C08">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F5529D" w:rsidRDefault="001C0C08" w:rsidP="00F5529D">
      <w:pPr>
        <w:pStyle w:val="Footnotes"/>
        <w:numPr>
          <w:ilvl w:val="0"/>
          <w:numId w:val="27"/>
        </w:numPr>
        <w:ind w:left="284" w:hanging="284"/>
      </w:pPr>
      <w:r>
        <w:t>Figures may not sum to totals due to rounding.</w:t>
      </w:r>
    </w:p>
    <w:p w:rsidR="00F2253D" w:rsidRPr="00CA5D42" w:rsidRDefault="00F2253D" w:rsidP="00F2253D">
      <w:pPr>
        <w:pStyle w:val="Footnotes"/>
        <w:numPr>
          <w:ilvl w:val="0"/>
          <w:numId w:val="0"/>
        </w:numPr>
        <w:ind w:left="284" w:hanging="284"/>
      </w:pPr>
      <w:r>
        <w:t>-</w:t>
      </w:r>
      <w:r>
        <w:tab/>
        <w:t>Indicates nil.</w:t>
      </w:r>
    </w:p>
    <w:p w:rsidR="001C0C08" w:rsidRDefault="001C0C08" w:rsidP="007577EF">
      <w:pPr>
        <w:pStyle w:val="Captionheading"/>
        <w:keepLines/>
        <w:rPr>
          <w:vertAlign w:val="superscript"/>
        </w:rPr>
      </w:pPr>
      <w:r w:rsidRPr="00FC6579">
        <w:lastRenderedPageBreak/>
        <w:t xml:space="preserve">Table </w:t>
      </w:r>
      <w:r>
        <w:t>A2</w:t>
      </w:r>
      <w:r w:rsidRPr="00FC6579">
        <w:t xml:space="preserve">: </w:t>
      </w:r>
      <w:r>
        <w:t>Expanding Denticare</w:t>
      </w:r>
      <w:r w:rsidR="007577EF">
        <w:t>—</w:t>
      </w:r>
      <w:r w:rsidR="00E20A23">
        <w:t xml:space="preserve">Underlying cash </w:t>
      </w:r>
      <w:proofErr w:type="gramStart"/>
      <w:r w:rsidR="00E20A23">
        <w:t>balance</w:t>
      </w:r>
      <w:r>
        <w:rPr>
          <w:vertAlign w:val="superscript"/>
        </w:rPr>
        <w:t>(</w:t>
      </w:r>
      <w:proofErr w:type="gramEnd"/>
      <w:r>
        <w:rPr>
          <w:vertAlign w:val="superscript"/>
        </w:rPr>
        <w:t>a)(b)</w:t>
      </w:r>
    </w:p>
    <w:tbl>
      <w:tblPr>
        <w:tblStyle w:val="TableGrid"/>
        <w:tblW w:w="5000" w:type="pct"/>
        <w:tblLook w:val="04A0" w:firstRow="1" w:lastRow="0" w:firstColumn="1" w:lastColumn="0" w:noHBand="0" w:noVBand="1"/>
      </w:tblPr>
      <w:tblGrid>
        <w:gridCol w:w="2696"/>
        <w:gridCol w:w="1142"/>
        <w:gridCol w:w="1144"/>
        <w:gridCol w:w="1140"/>
        <w:gridCol w:w="1144"/>
        <w:gridCol w:w="1057"/>
      </w:tblGrid>
      <w:tr w:rsidR="003C2582" w:rsidRPr="00EF1D6A" w:rsidTr="00CC4B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pct"/>
          </w:tcPr>
          <w:p w:rsidR="001E3DE3" w:rsidRPr="007577EF" w:rsidRDefault="001E3DE3" w:rsidP="007577EF">
            <w:pPr>
              <w:pStyle w:val="TableText"/>
              <w:keepNext/>
              <w:keepLines/>
              <w:spacing w:line="240" w:lineRule="auto"/>
              <w:ind w:left="57" w:right="57"/>
              <w:rPr>
                <w:szCs w:val="20"/>
              </w:rPr>
            </w:pPr>
            <w:r w:rsidRPr="007577EF">
              <w:rPr>
                <w:szCs w:val="20"/>
              </w:rPr>
              <w:t>($m)</w:t>
            </w:r>
          </w:p>
        </w:tc>
        <w:tc>
          <w:tcPr>
            <w:tcW w:w="686" w:type="pct"/>
          </w:tcPr>
          <w:p w:rsidR="001E3DE3" w:rsidRPr="007577EF" w:rsidRDefault="001E3DE3" w:rsidP="007577E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7577EF">
              <w:rPr>
                <w:szCs w:val="20"/>
              </w:rPr>
              <w:t>2016–17</w:t>
            </w:r>
          </w:p>
        </w:tc>
        <w:tc>
          <w:tcPr>
            <w:tcW w:w="687" w:type="pct"/>
          </w:tcPr>
          <w:p w:rsidR="001E3DE3" w:rsidRPr="007577EF" w:rsidRDefault="001E3DE3" w:rsidP="007577E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7577EF">
              <w:rPr>
                <w:szCs w:val="20"/>
              </w:rPr>
              <w:t>2017–18</w:t>
            </w:r>
          </w:p>
        </w:tc>
        <w:tc>
          <w:tcPr>
            <w:tcW w:w="685" w:type="pct"/>
          </w:tcPr>
          <w:p w:rsidR="001E3DE3" w:rsidRPr="007577EF" w:rsidRDefault="001E3DE3" w:rsidP="007577E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7577EF">
              <w:rPr>
                <w:szCs w:val="20"/>
              </w:rPr>
              <w:t>2018–19</w:t>
            </w:r>
          </w:p>
        </w:tc>
        <w:tc>
          <w:tcPr>
            <w:tcW w:w="687" w:type="pct"/>
          </w:tcPr>
          <w:p w:rsidR="001E3DE3" w:rsidRPr="007577EF" w:rsidRDefault="001E3DE3" w:rsidP="007577E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7577EF">
              <w:rPr>
                <w:szCs w:val="20"/>
              </w:rPr>
              <w:t>2019–20</w:t>
            </w:r>
          </w:p>
        </w:tc>
        <w:tc>
          <w:tcPr>
            <w:tcW w:w="636" w:type="pct"/>
          </w:tcPr>
          <w:p w:rsidR="001E3DE3" w:rsidRPr="007577EF" w:rsidRDefault="001E3DE3" w:rsidP="007577E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8D79BF">
              <w:rPr>
                <w:b/>
                <w:szCs w:val="20"/>
              </w:rPr>
              <w:t>Total to 2019–20</w:t>
            </w:r>
          </w:p>
        </w:tc>
      </w:tr>
      <w:tr w:rsidR="001E3DE3" w:rsidRPr="0066665A" w:rsidTr="00E2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1E3DE3" w:rsidRPr="008D79BF" w:rsidRDefault="001E3DE3" w:rsidP="007577EF">
            <w:pPr>
              <w:pStyle w:val="TableTextRight"/>
              <w:keepNext/>
              <w:keepLines/>
              <w:spacing w:line="240" w:lineRule="auto"/>
              <w:ind w:left="57" w:right="57"/>
              <w:jc w:val="left"/>
              <w:rPr>
                <w:rFonts w:asciiTheme="minorHAnsi" w:hAnsiTheme="minorHAnsi"/>
                <w:b/>
                <w:i w:val="0"/>
                <w:szCs w:val="20"/>
              </w:rPr>
            </w:pPr>
            <w:r w:rsidRPr="008D79BF">
              <w:rPr>
                <w:rFonts w:asciiTheme="minorHAnsi" w:hAnsiTheme="minorHAnsi"/>
                <w:b/>
                <w:i w:val="0"/>
                <w:szCs w:val="20"/>
              </w:rPr>
              <w:t>Administered</w:t>
            </w:r>
          </w:p>
        </w:tc>
      </w:tr>
      <w:tr w:rsidR="00CC4B20" w:rsidRPr="0066665A" w:rsidTr="00CC4B20">
        <w:tc>
          <w:tcPr>
            <w:cnfStyle w:val="001000000000" w:firstRow="0" w:lastRow="0" w:firstColumn="1" w:lastColumn="0" w:oddVBand="0" w:evenVBand="0" w:oddHBand="0" w:evenHBand="0" w:firstRowFirstColumn="0" w:firstRowLastColumn="0" w:lastRowFirstColumn="0" w:lastRowLastColumn="0"/>
            <w:tcW w:w="1620" w:type="pct"/>
          </w:tcPr>
          <w:p w:rsidR="00CC4B20" w:rsidRPr="008D79BF" w:rsidRDefault="00E50794" w:rsidP="007577EF">
            <w:pPr>
              <w:pStyle w:val="TableTextCentred"/>
              <w:keepNext/>
              <w:keepLines/>
              <w:spacing w:line="240" w:lineRule="auto"/>
              <w:ind w:left="57" w:right="57"/>
              <w:jc w:val="left"/>
              <w:rPr>
                <w:rFonts w:asciiTheme="minorHAnsi" w:hAnsiTheme="minorHAnsi"/>
                <w:szCs w:val="20"/>
              </w:rPr>
            </w:pPr>
            <w:r w:rsidRPr="008D79BF">
              <w:rPr>
                <w:rFonts w:asciiTheme="minorHAnsi" w:hAnsiTheme="minorHAnsi"/>
                <w:szCs w:val="20"/>
              </w:rPr>
              <w:t xml:space="preserve">Not ceasing </w:t>
            </w:r>
            <w:r w:rsidR="00CC4B20" w:rsidRPr="008D79BF">
              <w:rPr>
                <w:rFonts w:asciiTheme="minorHAnsi" w:hAnsiTheme="minorHAnsi"/>
                <w:szCs w:val="20"/>
              </w:rPr>
              <w:t>CDBS</w:t>
            </w:r>
          </w:p>
        </w:tc>
        <w:tc>
          <w:tcPr>
            <w:tcW w:w="686" w:type="pct"/>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-300.7</w:t>
            </w:r>
          </w:p>
        </w:tc>
        <w:tc>
          <w:tcPr>
            <w:tcW w:w="687" w:type="pct"/>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-305.2</w:t>
            </w:r>
          </w:p>
        </w:tc>
        <w:tc>
          <w:tcPr>
            <w:tcW w:w="685" w:type="pct"/>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-310.1</w:t>
            </w:r>
          </w:p>
        </w:tc>
        <w:tc>
          <w:tcPr>
            <w:tcW w:w="687" w:type="pct"/>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-317.6</w:t>
            </w:r>
          </w:p>
        </w:tc>
        <w:tc>
          <w:tcPr>
            <w:tcW w:w="636" w:type="pct"/>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8D79BF">
              <w:rPr>
                <w:b/>
                <w:szCs w:val="20"/>
              </w:rPr>
              <w:t>-1,233.5</w:t>
            </w:r>
          </w:p>
        </w:tc>
      </w:tr>
      <w:tr w:rsidR="00CC4B20" w:rsidRPr="0066665A" w:rsidTr="00CC4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pct"/>
          </w:tcPr>
          <w:p w:rsidR="00CC4B20" w:rsidRPr="008D79BF" w:rsidRDefault="00CC4B20" w:rsidP="007577EF">
            <w:pPr>
              <w:pStyle w:val="TableTextCentred"/>
              <w:keepNext/>
              <w:keepLines/>
              <w:spacing w:line="240" w:lineRule="auto"/>
              <w:ind w:left="57" w:right="57"/>
              <w:jc w:val="left"/>
              <w:rPr>
                <w:rFonts w:asciiTheme="minorHAnsi" w:hAnsiTheme="minorHAnsi"/>
                <w:szCs w:val="20"/>
              </w:rPr>
            </w:pPr>
            <w:r w:rsidRPr="008D79BF">
              <w:rPr>
                <w:rFonts w:asciiTheme="minorHAnsi" w:hAnsiTheme="minorHAnsi"/>
                <w:szCs w:val="20"/>
              </w:rPr>
              <w:t>Extended eligibility for the CDBS</w:t>
            </w:r>
          </w:p>
        </w:tc>
        <w:tc>
          <w:tcPr>
            <w:tcW w:w="686" w:type="pct"/>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w:t>
            </w:r>
          </w:p>
        </w:tc>
        <w:tc>
          <w:tcPr>
            <w:tcW w:w="687" w:type="pct"/>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-1,793.9</w:t>
            </w:r>
          </w:p>
        </w:tc>
        <w:tc>
          <w:tcPr>
            <w:tcW w:w="685" w:type="pct"/>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-2,224.7</w:t>
            </w:r>
          </w:p>
        </w:tc>
        <w:tc>
          <w:tcPr>
            <w:tcW w:w="687" w:type="pct"/>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-2,247.0</w:t>
            </w:r>
          </w:p>
        </w:tc>
        <w:tc>
          <w:tcPr>
            <w:tcW w:w="636" w:type="pct"/>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-6,265.7</w:t>
            </w:r>
          </w:p>
        </w:tc>
      </w:tr>
      <w:tr w:rsidR="00CC4B20" w:rsidRPr="0066665A" w:rsidTr="00CC4B20">
        <w:tc>
          <w:tcPr>
            <w:cnfStyle w:val="001000000000" w:firstRow="0" w:lastRow="0" w:firstColumn="1" w:lastColumn="0" w:oddVBand="0" w:evenVBand="0" w:oddHBand="0" w:evenHBand="0" w:firstRowFirstColumn="0" w:firstRowLastColumn="0" w:lastRowFirstColumn="0" w:lastRowLastColumn="0"/>
            <w:tcW w:w="1620" w:type="pct"/>
            <w:tcBorders>
              <w:bottom w:val="single" w:sz="4" w:space="0" w:color="808080"/>
            </w:tcBorders>
          </w:tcPr>
          <w:p w:rsidR="00CC4B20" w:rsidRPr="008D79BF" w:rsidRDefault="00CC4B20" w:rsidP="007577EF">
            <w:pPr>
              <w:pStyle w:val="TableTextCentred"/>
              <w:keepNext/>
              <w:keepLines/>
              <w:spacing w:line="240" w:lineRule="auto"/>
              <w:ind w:left="57" w:right="57"/>
              <w:jc w:val="left"/>
              <w:rPr>
                <w:rFonts w:asciiTheme="minorHAnsi" w:hAnsiTheme="minorHAnsi"/>
                <w:szCs w:val="20"/>
              </w:rPr>
            </w:pPr>
            <w:r w:rsidRPr="008D79BF">
              <w:rPr>
                <w:rFonts w:asciiTheme="minorHAnsi" w:hAnsiTheme="minorHAnsi"/>
                <w:szCs w:val="20"/>
              </w:rPr>
              <w:t xml:space="preserve">No longer proceeding with CAPDS </w:t>
            </w:r>
          </w:p>
        </w:tc>
        <w:tc>
          <w:tcPr>
            <w:tcW w:w="686" w:type="pct"/>
            <w:tcBorders>
              <w:bottom w:val="single" w:sz="4" w:space="0" w:color="808080"/>
            </w:tcBorders>
          </w:tcPr>
          <w:p w:rsidR="00CC4B20" w:rsidRPr="008D79BF" w:rsidRDefault="007577EF"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381.0</w:t>
            </w:r>
          </w:p>
        </w:tc>
        <w:tc>
          <w:tcPr>
            <w:tcW w:w="687" w:type="pct"/>
            <w:tcBorders>
              <w:bottom w:val="single" w:sz="4" w:space="0" w:color="808080"/>
            </w:tcBorders>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415.6</w:t>
            </w:r>
          </w:p>
        </w:tc>
        <w:tc>
          <w:tcPr>
            <w:tcW w:w="685" w:type="pct"/>
            <w:tcBorders>
              <w:bottom w:val="single" w:sz="4" w:space="0" w:color="808080"/>
            </w:tcBorders>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419.8</w:t>
            </w:r>
          </w:p>
        </w:tc>
        <w:tc>
          <w:tcPr>
            <w:tcW w:w="687" w:type="pct"/>
            <w:tcBorders>
              <w:bottom w:val="single" w:sz="4" w:space="0" w:color="808080"/>
            </w:tcBorders>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436.1</w:t>
            </w:r>
          </w:p>
        </w:tc>
        <w:tc>
          <w:tcPr>
            <w:tcW w:w="636" w:type="pct"/>
            <w:tcBorders>
              <w:bottom w:val="single" w:sz="4" w:space="0" w:color="808080"/>
            </w:tcBorders>
          </w:tcPr>
          <w:p w:rsidR="00CC4B20" w:rsidRPr="008D79BF" w:rsidRDefault="00CC4B20" w:rsidP="007577E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8D79BF">
              <w:rPr>
                <w:b/>
                <w:szCs w:val="20"/>
              </w:rPr>
              <w:t>1,652.5</w:t>
            </w:r>
          </w:p>
        </w:tc>
      </w:tr>
      <w:tr w:rsidR="00CC4B20" w:rsidRPr="0066665A" w:rsidTr="00CC4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pct"/>
            <w:shd w:val="clear" w:color="auto" w:fill="D7DDE9"/>
          </w:tcPr>
          <w:p w:rsidR="00CC4B20" w:rsidRPr="008D79BF" w:rsidRDefault="00CC4B20" w:rsidP="007577EF">
            <w:pPr>
              <w:pStyle w:val="TableTextCentred"/>
              <w:keepNext/>
              <w:keepLines/>
              <w:spacing w:line="240" w:lineRule="auto"/>
              <w:ind w:left="57" w:right="57"/>
              <w:jc w:val="left"/>
              <w:rPr>
                <w:rFonts w:asciiTheme="minorHAnsi" w:hAnsiTheme="minorHAnsi"/>
                <w:b/>
                <w:szCs w:val="20"/>
              </w:rPr>
            </w:pPr>
            <w:r w:rsidRPr="008D79BF">
              <w:rPr>
                <w:rFonts w:asciiTheme="minorHAnsi" w:hAnsiTheme="minorHAnsi"/>
                <w:b/>
                <w:szCs w:val="20"/>
              </w:rPr>
              <w:t xml:space="preserve">Total </w:t>
            </w:r>
            <w:r w:rsidR="008D79BF">
              <w:rPr>
                <w:rFonts w:asciiTheme="minorHAnsi" w:hAnsiTheme="minorHAnsi"/>
                <w:b/>
                <w:szCs w:val="20"/>
              </w:rPr>
              <w:t xml:space="preserve">- </w:t>
            </w:r>
            <w:r w:rsidRPr="008D79BF">
              <w:rPr>
                <w:rFonts w:asciiTheme="minorHAnsi" w:hAnsiTheme="minorHAnsi"/>
                <w:b/>
                <w:szCs w:val="20"/>
              </w:rPr>
              <w:t>administered</w:t>
            </w:r>
          </w:p>
        </w:tc>
        <w:tc>
          <w:tcPr>
            <w:tcW w:w="686" w:type="pct"/>
            <w:shd w:val="clear" w:color="auto" w:fill="D7DDE9"/>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80.3</w:t>
            </w:r>
          </w:p>
        </w:tc>
        <w:tc>
          <w:tcPr>
            <w:tcW w:w="687" w:type="pct"/>
            <w:shd w:val="clear" w:color="auto" w:fill="D7DDE9"/>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-1,683.5</w:t>
            </w:r>
          </w:p>
        </w:tc>
        <w:tc>
          <w:tcPr>
            <w:tcW w:w="685" w:type="pct"/>
            <w:shd w:val="clear" w:color="auto" w:fill="D7DDE9"/>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-2,115.0</w:t>
            </w:r>
          </w:p>
        </w:tc>
        <w:tc>
          <w:tcPr>
            <w:tcW w:w="687" w:type="pct"/>
            <w:shd w:val="clear" w:color="auto" w:fill="D7DDE9"/>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-2,128.5</w:t>
            </w:r>
          </w:p>
        </w:tc>
        <w:tc>
          <w:tcPr>
            <w:tcW w:w="636" w:type="pct"/>
            <w:shd w:val="clear" w:color="auto" w:fill="D7DDE9"/>
          </w:tcPr>
          <w:p w:rsidR="00CC4B20" w:rsidRPr="008D79BF" w:rsidRDefault="00CC4B20" w:rsidP="007577E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-5,846.7</w:t>
            </w:r>
          </w:p>
        </w:tc>
      </w:tr>
      <w:tr w:rsidR="001E3DE3" w:rsidRPr="0066665A" w:rsidTr="00E24B0E">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1E3DE3" w:rsidRPr="008D79BF" w:rsidRDefault="001E3DE3" w:rsidP="007577EF">
            <w:pPr>
              <w:pStyle w:val="TableTextRight"/>
              <w:keepNext/>
              <w:keepLines/>
              <w:spacing w:line="240" w:lineRule="auto"/>
              <w:ind w:left="57" w:right="57"/>
              <w:jc w:val="left"/>
              <w:rPr>
                <w:rFonts w:asciiTheme="minorHAnsi" w:hAnsiTheme="minorHAnsi"/>
                <w:b/>
                <w:i w:val="0"/>
                <w:szCs w:val="20"/>
              </w:rPr>
            </w:pPr>
            <w:r w:rsidRPr="008D79BF">
              <w:rPr>
                <w:rFonts w:asciiTheme="minorHAnsi" w:hAnsiTheme="minorHAnsi"/>
                <w:b/>
                <w:i w:val="0"/>
                <w:szCs w:val="20"/>
              </w:rPr>
              <w:t>Departmental</w:t>
            </w:r>
          </w:p>
        </w:tc>
      </w:tr>
      <w:tr w:rsidR="003C2582" w:rsidRPr="0066665A" w:rsidTr="00CC4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pct"/>
          </w:tcPr>
          <w:p w:rsidR="003C2582" w:rsidRPr="008D79BF" w:rsidRDefault="003C2582" w:rsidP="008D79BF">
            <w:pPr>
              <w:pStyle w:val="TableTextCentred"/>
              <w:keepNext/>
              <w:keepLines/>
              <w:spacing w:line="240" w:lineRule="auto"/>
              <w:ind w:left="57" w:right="57"/>
              <w:jc w:val="left"/>
              <w:rPr>
                <w:rFonts w:asciiTheme="minorHAnsi" w:hAnsiTheme="minorHAnsi"/>
                <w:szCs w:val="20"/>
              </w:rPr>
            </w:pPr>
            <w:r w:rsidRPr="008D79BF">
              <w:rPr>
                <w:rFonts w:asciiTheme="minorHAnsi" w:hAnsiTheme="minorHAnsi"/>
                <w:szCs w:val="20"/>
              </w:rPr>
              <w:t>DHS</w:t>
            </w:r>
          </w:p>
        </w:tc>
        <w:tc>
          <w:tcPr>
            <w:tcW w:w="686" w:type="pct"/>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-27.3</w:t>
            </w:r>
          </w:p>
        </w:tc>
        <w:tc>
          <w:tcPr>
            <w:tcW w:w="687" w:type="pct"/>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-50.9</w:t>
            </w:r>
          </w:p>
        </w:tc>
        <w:tc>
          <w:tcPr>
            <w:tcW w:w="685" w:type="pct"/>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-53.6</w:t>
            </w:r>
          </w:p>
        </w:tc>
        <w:tc>
          <w:tcPr>
            <w:tcW w:w="687" w:type="pct"/>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szCs w:val="20"/>
              </w:rPr>
            </w:pPr>
            <w:r w:rsidRPr="008D79BF">
              <w:rPr>
                <w:szCs w:val="20"/>
              </w:rPr>
              <w:t>-54.3</w:t>
            </w:r>
          </w:p>
        </w:tc>
        <w:tc>
          <w:tcPr>
            <w:tcW w:w="636" w:type="pct"/>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-186.2</w:t>
            </w:r>
          </w:p>
        </w:tc>
      </w:tr>
      <w:tr w:rsidR="003C2582" w:rsidRPr="0066665A" w:rsidTr="00CC4B20">
        <w:tc>
          <w:tcPr>
            <w:cnfStyle w:val="001000000000" w:firstRow="0" w:lastRow="0" w:firstColumn="1" w:lastColumn="0" w:oddVBand="0" w:evenVBand="0" w:oddHBand="0" w:evenHBand="0" w:firstRowFirstColumn="0" w:firstRowLastColumn="0" w:lastRowFirstColumn="0" w:lastRowLastColumn="0"/>
            <w:tcW w:w="1620" w:type="pct"/>
            <w:tcBorders>
              <w:bottom w:val="single" w:sz="4" w:space="0" w:color="808080"/>
            </w:tcBorders>
          </w:tcPr>
          <w:p w:rsidR="003C2582" w:rsidRPr="008D79BF" w:rsidRDefault="003C2582" w:rsidP="008D79BF">
            <w:pPr>
              <w:pStyle w:val="TableTextCentred"/>
              <w:keepNext/>
              <w:keepLines/>
              <w:spacing w:line="240" w:lineRule="auto"/>
              <w:ind w:left="57" w:right="57"/>
              <w:jc w:val="left"/>
              <w:rPr>
                <w:rFonts w:asciiTheme="minorHAnsi" w:hAnsiTheme="minorHAnsi"/>
                <w:szCs w:val="20"/>
              </w:rPr>
            </w:pPr>
            <w:r w:rsidRPr="008D79BF">
              <w:rPr>
                <w:rFonts w:asciiTheme="minorHAnsi" w:hAnsiTheme="minorHAnsi"/>
                <w:szCs w:val="20"/>
              </w:rPr>
              <w:t>Health</w:t>
            </w:r>
          </w:p>
        </w:tc>
        <w:tc>
          <w:tcPr>
            <w:tcW w:w="686" w:type="pct"/>
            <w:tcBorders>
              <w:bottom w:val="single" w:sz="4" w:space="0" w:color="808080"/>
            </w:tcBorders>
          </w:tcPr>
          <w:p w:rsidR="003C2582" w:rsidRPr="008D79BF" w:rsidRDefault="003C2582"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-1.8</w:t>
            </w:r>
          </w:p>
        </w:tc>
        <w:tc>
          <w:tcPr>
            <w:tcW w:w="687" w:type="pct"/>
            <w:tcBorders>
              <w:bottom w:val="single" w:sz="4" w:space="0" w:color="808080"/>
            </w:tcBorders>
          </w:tcPr>
          <w:p w:rsidR="003C2582" w:rsidRPr="008D79BF" w:rsidRDefault="003C2582"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-3.7</w:t>
            </w:r>
          </w:p>
        </w:tc>
        <w:tc>
          <w:tcPr>
            <w:tcW w:w="685" w:type="pct"/>
            <w:tcBorders>
              <w:bottom w:val="single" w:sz="4" w:space="0" w:color="808080"/>
            </w:tcBorders>
          </w:tcPr>
          <w:p w:rsidR="003C2582" w:rsidRPr="008D79BF" w:rsidRDefault="003C2582"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-3.6</w:t>
            </w:r>
          </w:p>
        </w:tc>
        <w:tc>
          <w:tcPr>
            <w:tcW w:w="687" w:type="pct"/>
            <w:tcBorders>
              <w:bottom w:val="single" w:sz="4" w:space="0" w:color="808080"/>
            </w:tcBorders>
          </w:tcPr>
          <w:p w:rsidR="003C2582" w:rsidRPr="008D79BF" w:rsidRDefault="003C2582"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8D79BF">
              <w:rPr>
                <w:szCs w:val="20"/>
              </w:rPr>
              <w:t>-2.7</w:t>
            </w:r>
          </w:p>
        </w:tc>
        <w:tc>
          <w:tcPr>
            <w:tcW w:w="636" w:type="pct"/>
            <w:tcBorders>
              <w:bottom w:val="single" w:sz="4" w:space="0" w:color="808080"/>
            </w:tcBorders>
          </w:tcPr>
          <w:p w:rsidR="003C2582" w:rsidRPr="008D79BF" w:rsidRDefault="003C2582"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8D79BF">
              <w:rPr>
                <w:b/>
                <w:szCs w:val="20"/>
              </w:rPr>
              <w:t>-11.7</w:t>
            </w:r>
          </w:p>
        </w:tc>
      </w:tr>
      <w:tr w:rsidR="00881C03" w:rsidRPr="0066665A" w:rsidTr="00CC4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pct"/>
            <w:shd w:val="clear" w:color="auto" w:fill="D7DDE9"/>
          </w:tcPr>
          <w:p w:rsidR="003C2582" w:rsidRPr="008D79BF" w:rsidRDefault="003C2582" w:rsidP="008D79BF">
            <w:pPr>
              <w:pStyle w:val="TableTextCentred"/>
              <w:keepNext/>
              <w:keepLines/>
              <w:spacing w:line="240" w:lineRule="auto"/>
              <w:ind w:left="57" w:right="57"/>
              <w:jc w:val="left"/>
              <w:rPr>
                <w:rFonts w:asciiTheme="minorHAnsi" w:hAnsiTheme="minorHAnsi"/>
                <w:b/>
                <w:szCs w:val="20"/>
              </w:rPr>
            </w:pPr>
            <w:r w:rsidRPr="008D79BF">
              <w:rPr>
                <w:rFonts w:asciiTheme="minorHAnsi" w:hAnsiTheme="minorHAnsi"/>
                <w:b/>
                <w:szCs w:val="20"/>
              </w:rPr>
              <w:t xml:space="preserve">Total </w:t>
            </w:r>
            <w:r w:rsidR="008D79BF">
              <w:rPr>
                <w:rFonts w:asciiTheme="minorHAnsi" w:hAnsiTheme="minorHAnsi"/>
                <w:b/>
                <w:szCs w:val="20"/>
              </w:rPr>
              <w:t xml:space="preserve">- </w:t>
            </w:r>
            <w:r w:rsidRPr="008D79BF">
              <w:rPr>
                <w:rFonts w:asciiTheme="minorHAnsi" w:hAnsiTheme="minorHAnsi"/>
                <w:b/>
                <w:szCs w:val="20"/>
              </w:rPr>
              <w:t>departmental</w:t>
            </w:r>
          </w:p>
        </w:tc>
        <w:tc>
          <w:tcPr>
            <w:tcW w:w="686" w:type="pct"/>
            <w:shd w:val="clear" w:color="auto" w:fill="D7DDE9"/>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-29.1</w:t>
            </w:r>
          </w:p>
        </w:tc>
        <w:tc>
          <w:tcPr>
            <w:tcW w:w="687" w:type="pct"/>
            <w:shd w:val="clear" w:color="auto" w:fill="D7DDE9"/>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-54.6</w:t>
            </w:r>
          </w:p>
        </w:tc>
        <w:tc>
          <w:tcPr>
            <w:tcW w:w="685" w:type="pct"/>
            <w:shd w:val="clear" w:color="auto" w:fill="D7DDE9"/>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-57.2</w:t>
            </w:r>
          </w:p>
        </w:tc>
        <w:tc>
          <w:tcPr>
            <w:tcW w:w="687" w:type="pct"/>
            <w:shd w:val="clear" w:color="auto" w:fill="D7DDE9"/>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-57.0</w:t>
            </w:r>
          </w:p>
        </w:tc>
        <w:tc>
          <w:tcPr>
            <w:tcW w:w="636" w:type="pct"/>
            <w:shd w:val="clear" w:color="auto" w:fill="D7DDE9"/>
          </w:tcPr>
          <w:p w:rsidR="003C2582" w:rsidRPr="008D79BF" w:rsidRDefault="003C2582" w:rsidP="007577E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szCs w:val="20"/>
              </w:rPr>
            </w:pPr>
            <w:r w:rsidRPr="008D79BF">
              <w:rPr>
                <w:b/>
                <w:szCs w:val="20"/>
              </w:rPr>
              <w:t>-197.9</w:t>
            </w:r>
          </w:p>
        </w:tc>
      </w:tr>
      <w:tr w:rsidR="00881C03" w:rsidRPr="0055406D" w:rsidTr="00CC4B20">
        <w:tc>
          <w:tcPr>
            <w:cnfStyle w:val="001000000000" w:firstRow="0" w:lastRow="0" w:firstColumn="1" w:lastColumn="0" w:oddVBand="0" w:evenVBand="0" w:oddHBand="0" w:evenHBand="0" w:firstRowFirstColumn="0" w:firstRowLastColumn="0" w:lastRowFirstColumn="0" w:lastRowLastColumn="0"/>
            <w:tcW w:w="1620" w:type="pct"/>
            <w:shd w:val="clear" w:color="auto" w:fill="D7DDE9"/>
          </w:tcPr>
          <w:p w:rsidR="00CC4B20" w:rsidRPr="008D79BF" w:rsidRDefault="00CC4B20" w:rsidP="008D79BF">
            <w:pPr>
              <w:pStyle w:val="TableTextCentred"/>
              <w:keepNext/>
              <w:keepLines/>
              <w:spacing w:line="240" w:lineRule="auto"/>
              <w:ind w:left="57" w:right="57"/>
              <w:jc w:val="left"/>
              <w:rPr>
                <w:rFonts w:asciiTheme="minorHAnsi" w:hAnsiTheme="minorHAnsi"/>
                <w:b/>
                <w:szCs w:val="20"/>
              </w:rPr>
            </w:pPr>
            <w:r w:rsidRPr="008D79BF">
              <w:rPr>
                <w:rFonts w:asciiTheme="minorHAnsi" w:hAnsiTheme="minorHAnsi"/>
                <w:b/>
                <w:szCs w:val="20"/>
              </w:rPr>
              <w:t>Total</w:t>
            </w:r>
          </w:p>
        </w:tc>
        <w:tc>
          <w:tcPr>
            <w:tcW w:w="686" w:type="pct"/>
            <w:shd w:val="clear" w:color="auto" w:fill="D7DDE9"/>
          </w:tcPr>
          <w:p w:rsidR="00CC4B20" w:rsidRPr="008D79BF" w:rsidRDefault="00CC4B20"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szCs w:val="20"/>
              </w:rPr>
              <w:t xml:space="preserve"> 51.2</w:t>
            </w:r>
          </w:p>
        </w:tc>
        <w:tc>
          <w:tcPr>
            <w:tcW w:w="687" w:type="pct"/>
            <w:shd w:val="clear" w:color="auto" w:fill="D7DDE9"/>
          </w:tcPr>
          <w:p w:rsidR="00CC4B20" w:rsidRPr="008D79BF" w:rsidRDefault="00CC4B20"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szCs w:val="20"/>
              </w:rPr>
              <w:t>-1,738.1</w:t>
            </w:r>
          </w:p>
        </w:tc>
        <w:tc>
          <w:tcPr>
            <w:tcW w:w="685" w:type="pct"/>
            <w:shd w:val="clear" w:color="auto" w:fill="D7DDE9"/>
          </w:tcPr>
          <w:p w:rsidR="00CC4B20" w:rsidRPr="008D79BF" w:rsidRDefault="00CC4B20"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szCs w:val="20"/>
              </w:rPr>
              <w:t>-2,172.2</w:t>
            </w:r>
          </w:p>
        </w:tc>
        <w:tc>
          <w:tcPr>
            <w:tcW w:w="687" w:type="pct"/>
            <w:shd w:val="clear" w:color="auto" w:fill="D7DDE9"/>
          </w:tcPr>
          <w:p w:rsidR="00CC4B20" w:rsidRPr="008D79BF" w:rsidRDefault="00CC4B20"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szCs w:val="20"/>
              </w:rPr>
              <w:t>-2,185.5</w:t>
            </w:r>
          </w:p>
        </w:tc>
        <w:tc>
          <w:tcPr>
            <w:tcW w:w="636" w:type="pct"/>
            <w:shd w:val="clear" w:color="auto" w:fill="D7DDE9"/>
          </w:tcPr>
          <w:p w:rsidR="00CC4B20" w:rsidRPr="008D79BF" w:rsidRDefault="00CC4B20" w:rsidP="007577E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8D79BF">
              <w:rPr>
                <w:b/>
                <w:i w:val="0"/>
                <w:szCs w:val="20"/>
              </w:rPr>
              <w:t>-6,044.6</w:t>
            </w:r>
          </w:p>
        </w:tc>
      </w:tr>
    </w:tbl>
    <w:p w:rsidR="006E7494" w:rsidRPr="00881C03" w:rsidRDefault="006E7494" w:rsidP="00881C03">
      <w:pPr>
        <w:pStyle w:val="Footnotes"/>
        <w:numPr>
          <w:ilvl w:val="0"/>
          <w:numId w:val="32"/>
        </w:numPr>
        <w:ind w:left="284" w:hanging="284"/>
        <w:rPr>
          <w:rFonts w:ascii="Calibri" w:hAnsi="Calibri"/>
        </w:rPr>
      </w:pPr>
      <w:r w:rsidRPr="00881C03">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6E7494" w:rsidRPr="00881C03" w:rsidRDefault="006E7494" w:rsidP="00881C03">
      <w:pPr>
        <w:pStyle w:val="Footnotes"/>
        <w:numPr>
          <w:ilvl w:val="0"/>
          <w:numId w:val="32"/>
        </w:numPr>
        <w:ind w:left="284" w:hanging="284"/>
        <w:rPr>
          <w:rFonts w:ascii="Times New Roman" w:eastAsia="Times New Roman" w:hAnsi="Times New Roman"/>
          <w:lang w:eastAsia="en-AU"/>
        </w:rPr>
      </w:pPr>
      <w:r w:rsidRPr="00881C03">
        <w:t>Figures may not sum to totals due to rounding.</w:t>
      </w:r>
    </w:p>
    <w:p w:rsidR="008905B3" w:rsidRPr="00FC6579" w:rsidRDefault="00F2253D" w:rsidP="00881C03">
      <w:pPr>
        <w:pStyle w:val="Footnotes"/>
        <w:numPr>
          <w:ilvl w:val="0"/>
          <w:numId w:val="0"/>
        </w:numPr>
        <w:ind w:left="284" w:hanging="284"/>
      </w:pPr>
      <w:r>
        <w:t>-</w:t>
      </w:r>
      <w:r>
        <w:tab/>
        <w:t>Indicates nil.</w:t>
      </w:r>
    </w:p>
    <w:sectPr w:rsidR="008905B3" w:rsidRPr="00FC6579" w:rsidSect="008905B3">
      <w:headerReference w:type="first" r:id="rId18"/>
      <w:footerReference w:type="first" r:id="rId19"/>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02" w:rsidRDefault="00A27B02" w:rsidP="008F588A">
      <w:pPr>
        <w:spacing w:line="240" w:lineRule="auto"/>
      </w:pPr>
      <w:r>
        <w:separator/>
      </w:r>
    </w:p>
    <w:p w:rsidR="00A27B02" w:rsidRDefault="00A27B02"/>
  </w:endnote>
  <w:endnote w:type="continuationSeparator" w:id="0">
    <w:p w:rsidR="00A27B02" w:rsidRDefault="00A27B02" w:rsidP="008F588A">
      <w:pPr>
        <w:spacing w:line="240" w:lineRule="auto"/>
      </w:pPr>
      <w:r>
        <w:continuationSeparator/>
      </w:r>
    </w:p>
    <w:p w:rsidR="00A27B02" w:rsidRDefault="00A27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C1" w:rsidRDefault="00605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Pr="00C24267" w:rsidRDefault="00A27B0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F4492">
      <w:rPr>
        <w:noProof/>
      </w:rPr>
      <w:t>4</w:t>
    </w:r>
    <w:r w:rsidRPr="00C24267">
      <w:fldChar w:fldCharType="end"/>
    </w:r>
    <w:r w:rsidRPr="00C24267">
      <w:t xml:space="preserve"> of </w:t>
    </w:r>
    <w:fldSimple w:instr=" NUMPAGES  \* Arabic  \* MERGEFORMAT ">
      <w:r w:rsidR="00DF4492">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Pr="00C24267" w:rsidRDefault="00A27B02" w:rsidP="00C24267">
    <w:pPr>
      <w:pStyle w:val="Letterfooter"/>
    </w:pPr>
    <w:r w:rsidRPr="00C24267">
      <w:t>Parliamentary Budget Office   PO Box 6010   Parliament House   Canberra ACT 2600</w:t>
    </w:r>
  </w:p>
  <w:p w:rsidR="00A27B02" w:rsidRPr="00C24267" w:rsidRDefault="00A27B02" w:rsidP="00C24267">
    <w:pPr>
      <w:pStyle w:val="Letterfooter"/>
    </w:pPr>
    <w:r w:rsidRPr="00C24267">
      <w:t>Tel: 02 6277 9500   Web: www.pbo.gov.au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Pr="00C24267" w:rsidRDefault="00A27B0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F4492">
      <w:rPr>
        <w:noProof/>
      </w:rPr>
      <w:t>2</w:t>
    </w:r>
    <w:r w:rsidRPr="00C24267">
      <w:fldChar w:fldCharType="end"/>
    </w:r>
    <w:r w:rsidRPr="00C24267">
      <w:t xml:space="preserve"> of </w:t>
    </w:r>
    <w:fldSimple w:instr=" NUMPAGES  \* Arabic  \* MERGEFORMAT ">
      <w:r w:rsidR="00DF4492">
        <w:rPr>
          <w:noProof/>
        </w:rPr>
        <w:t>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Pr="00C24267" w:rsidRDefault="00A27B0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F4492">
      <w:rPr>
        <w:noProof/>
      </w:rPr>
      <w:t>6</w:t>
    </w:r>
    <w:r w:rsidRPr="00C24267">
      <w:fldChar w:fldCharType="end"/>
    </w:r>
    <w:r w:rsidRPr="00C24267">
      <w:t xml:space="preserve"> of </w:t>
    </w:r>
    <w:fldSimple w:instr=" NUMPAGES  \* Arabic  \* MERGEFORMAT ">
      <w:r w:rsidR="00DF4492">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02" w:rsidRDefault="00A27B02" w:rsidP="008F588A">
      <w:pPr>
        <w:spacing w:line="240" w:lineRule="auto"/>
      </w:pPr>
      <w:r>
        <w:separator/>
      </w:r>
    </w:p>
    <w:p w:rsidR="00A27B02" w:rsidRDefault="00A27B02"/>
  </w:footnote>
  <w:footnote w:type="continuationSeparator" w:id="0">
    <w:p w:rsidR="00A27B02" w:rsidRDefault="00A27B02" w:rsidP="008F588A">
      <w:pPr>
        <w:spacing w:line="240" w:lineRule="auto"/>
      </w:pPr>
      <w:r>
        <w:continuationSeparator/>
      </w:r>
    </w:p>
    <w:p w:rsidR="00A27B02" w:rsidRDefault="00A27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C1" w:rsidRDefault="00605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Pr="006057C1" w:rsidRDefault="00A27B02" w:rsidP="00605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Default="00A27B02" w:rsidP="00CB40E1">
    <w:pPr>
      <w:pStyle w:val="Header"/>
    </w:pPr>
    <w:r>
      <w:rPr>
        <w:noProof/>
        <w:lang w:eastAsia="en-AU"/>
      </w:rPr>
      <w:drawing>
        <wp:inline distT="0" distB="0" distL="0" distR="0" wp14:anchorId="175DB99F" wp14:editId="01A6D33F">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A27B02" w:rsidRPr="00DA1C8A" w:rsidRDefault="00A27B02" w:rsidP="00002D5D">
    <w:pPr>
      <w:pStyle w:val="PBOheader"/>
      <w:spacing w:before="720"/>
      <w:ind w:left="5783"/>
      <w:rPr>
        <w:b w:val="0"/>
      </w:rPr>
    </w:pPr>
    <w:r>
      <w:t>P</w:t>
    </w:r>
    <w:r w:rsidRPr="009030A0">
      <w:t>hil Bowen PSM FCPA</w:t>
    </w:r>
    <w:r>
      <w:br/>
    </w:r>
    <w:r w:rsidRPr="009030A0">
      <w:t>Parliamentary Budget Officer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Pr="00C17112" w:rsidRDefault="00A27B02" w:rsidP="00C17112">
    <w:pPr>
      <w:pStyle w:val="Header"/>
    </w:pPr>
    <w:r>
      <w:rPr>
        <w:noProof/>
        <w:lang w:eastAsia="en-AU"/>
      </w:rPr>
      <w:drawing>
        <wp:inline distT="0" distB="0" distL="0" distR="0" wp14:anchorId="4346D674" wp14:editId="0F9DEC0C">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02" w:rsidRPr="006057C1" w:rsidRDefault="00A27B02" w:rsidP="00605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18D1A0E"/>
    <w:multiLevelType w:val="hybridMultilevel"/>
    <w:tmpl w:val="F8D8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6D3106"/>
    <w:multiLevelType w:val="hybridMultilevel"/>
    <w:tmpl w:val="F9B66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745448"/>
    <w:multiLevelType w:val="multilevel"/>
    <w:tmpl w:val="67302FC4"/>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6">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9">
    <w:nsid w:val="28144C7C"/>
    <w:multiLevelType w:val="hybridMultilevel"/>
    <w:tmpl w:val="EC8E9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11">
    <w:nsid w:val="387B7ABA"/>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12">
    <w:nsid w:val="3B2E19AC"/>
    <w:multiLevelType w:val="singleLevel"/>
    <w:tmpl w:val="032CEB48"/>
    <w:lvl w:ilvl="0">
      <w:start w:val="1"/>
      <w:numFmt w:val="lowerLetter"/>
      <w:lvlRestart w:val="0"/>
      <w:pStyle w:val="ChartandTableFootnoteAlpha"/>
      <w:lvlText w:val="(%1)"/>
      <w:lvlJc w:val="left"/>
      <w:pPr>
        <w:tabs>
          <w:tab w:val="num" w:pos="284"/>
        </w:tabs>
        <w:ind w:left="284" w:hanging="284"/>
      </w:pPr>
      <w:rPr>
        <w:rFonts w:ascii="Times New Roman" w:hAnsi="Times New Roman" w:cs="Times New Roman" w:hint="default"/>
        <w:b w:val="0"/>
        <w:i w:val="0"/>
        <w:color w:val="000000"/>
        <w:sz w:val="18"/>
        <w:szCs w:val="18"/>
      </w:rPr>
    </w:lvl>
  </w:abstractNum>
  <w:abstractNum w:abstractNumId="13">
    <w:nsid w:val="506A2E3A"/>
    <w:multiLevelType w:val="hybridMultilevel"/>
    <w:tmpl w:val="4D2C2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5"/>
  </w:num>
  <w:num w:numId="2">
    <w:abstractNumId w:val="8"/>
  </w:num>
  <w:num w:numId="3">
    <w:abstractNumId w:val="6"/>
  </w:num>
  <w:num w:numId="4">
    <w:abstractNumId w:val="7"/>
  </w:num>
  <w:num w:numId="5">
    <w:abstractNumId w:val="15"/>
  </w:num>
  <w:num w:numId="6">
    <w:abstractNumId w:val="1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3"/>
  </w:num>
  <w:num w:numId="12">
    <w:abstractNumId w:val="0"/>
  </w:num>
  <w:num w:numId="13">
    <w:abstractNumId w:val="10"/>
    <w:lvlOverride w:ilvl="0">
      <w:startOverride w:val="1"/>
    </w:lvlOverride>
  </w:num>
  <w:num w:numId="14">
    <w:abstractNumId w:val="10"/>
    <w:lvlOverride w:ilvl="0">
      <w:startOverride w:val="1"/>
    </w:lvlOverride>
  </w:num>
  <w:num w:numId="15">
    <w:abstractNumId w:val="4"/>
  </w:num>
  <w:num w:numId="16">
    <w:abstractNumId w:val="16"/>
  </w:num>
  <w:num w:numId="17">
    <w:abstractNumId w:val="1"/>
  </w:num>
  <w:num w:numId="18">
    <w:abstractNumId w:val="2"/>
  </w:num>
  <w:num w:numId="19">
    <w:abstractNumId w:val="13"/>
  </w:num>
  <w:num w:numId="20">
    <w:abstractNumId w:val="9"/>
  </w:num>
  <w:num w:numId="21">
    <w:abstractNumId w:val="14"/>
  </w:num>
  <w:num w:numId="22">
    <w:abstractNumId w:val="12"/>
    <w:lvlOverride w:ilvl="0">
      <w:startOverride w:val="1"/>
    </w:lvlOverride>
  </w:num>
  <w:num w:numId="23">
    <w:abstractNumId w:val="12"/>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E2"/>
    <w:rsid w:val="00002D5D"/>
    <w:rsid w:val="00023848"/>
    <w:rsid w:val="00025A49"/>
    <w:rsid w:val="00031128"/>
    <w:rsid w:val="00040DCE"/>
    <w:rsid w:val="00043D87"/>
    <w:rsid w:val="00046E91"/>
    <w:rsid w:val="00050C05"/>
    <w:rsid w:val="00096F3A"/>
    <w:rsid w:val="000C1A75"/>
    <w:rsid w:val="000F4D7D"/>
    <w:rsid w:val="00100D47"/>
    <w:rsid w:val="00101CB4"/>
    <w:rsid w:val="001278D0"/>
    <w:rsid w:val="0014239B"/>
    <w:rsid w:val="00144448"/>
    <w:rsid w:val="00151C6E"/>
    <w:rsid w:val="001521C9"/>
    <w:rsid w:val="001573C8"/>
    <w:rsid w:val="001A02D1"/>
    <w:rsid w:val="001A172B"/>
    <w:rsid w:val="001A1841"/>
    <w:rsid w:val="001C0C08"/>
    <w:rsid w:val="001D3F23"/>
    <w:rsid w:val="001E3DE3"/>
    <w:rsid w:val="00220BE5"/>
    <w:rsid w:val="002422A3"/>
    <w:rsid w:val="002665AC"/>
    <w:rsid w:val="00276929"/>
    <w:rsid w:val="002A0B86"/>
    <w:rsid w:val="002F4184"/>
    <w:rsid w:val="00306DEC"/>
    <w:rsid w:val="00315E34"/>
    <w:rsid w:val="00326DE2"/>
    <w:rsid w:val="00335E81"/>
    <w:rsid w:val="00387400"/>
    <w:rsid w:val="003B390D"/>
    <w:rsid w:val="003C2582"/>
    <w:rsid w:val="003E3FEC"/>
    <w:rsid w:val="003E5726"/>
    <w:rsid w:val="003F1DA2"/>
    <w:rsid w:val="003F73CA"/>
    <w:rsid w:val="00433510"/>
    <w:rsid w:val="0043587B"/>
    <w:rsid w:val="00437D6A"/>
    <w:rsid w:val="00440E32"/>
    <w:rsid w:val="00450BD1"/>
    <w:rsid w:val="00461597"/>
    <w:rsid w:val="00472316"/>
    <w:rsid w:val="00485374"/>
    <w:rsid w:val="004C283B"/>
    <w:rsid w:val="004D13ED"/>
    <w:rsid w:val="004D5525"/>
    <w:rsid w:val="004E2F5C"/>
    <w:rsid w:val="005035DA"/>
    <w:rsid w:val="00507897"/>
    <w:rsid w:val="00515A85"/>
    <w:rsid w:val="00536C5A"/>
    <w:rsid w:val="00545F24"/>
    <w:rsid w:val="0055581F"/>
    <w:rsid w:val="0056229A"/>
    <w:rsid w:val="00564A30"/>
    <w:rsid w:val="00570154"/>
    <w:rsid w:val="00570B5A"/>
    <w:rsid w:val="005865CA"/>
    <w:rsid w:val="00595228"/>
    <w:rsid w:val="005C6967"/>
    <w:rsid w:val="005E3562"/>
    <w:rsid w:val="005F7DE0"/>
    <w:rsid w:val="006057C1"/>
    <w:rsid w:val="00610C95"/>
    <w:rsid w:val="00640346"/>
    <w:rsid w:val="00660385"/>
    <w:rsid w:val="00662E65"/>
    <w:rsid w:val="0066665A"/>
    <w:rsid w:val="0067092D"/>
    <w:rsid w:val="00675742"/>
    <w:rsid w:val="00690140"/>
    <w:rsid w:val="00691A93"/>
    <w:rsid w:val="00692DD8"/>
    <w:rsid w:val="006A2C68"/>
    <w:rsid w:val="006A6A8E"/>
    <w:rsid w:val="006E5EA2"/>
    <w:rsid w:val="006E644F"/>
    <w:rsid w:val="006E7494"/>
    <w:rsid w:val="006F0CE9"/>
    <w:rsid w:val="007054D8"/>
    <w:rsid w:val="007202A8"/>
    <w:rsid w:val="007229A9"/>
    <w:rsid w:val="00747776"/>
    <w:rsid w:val="00753319"/>
    <w:rsid w:val="00754CE5"/>
    <w:rsid w:val="007577EF"/>
    <w:rsid w:val="00766386"/>
    <w:rsid w:val="0077265A"/>
    <w:rsid w:val="00773CD4"/>
    <w:rsid w:val="007776A0"/>
    <w:rsid w:val="007B029A"/>
    <w:rsid w:val="007D33AA"/>
    <w:rsid w:val="007F4C59"/>
    <w:rsid w:val="007F7BCF"/>
    <w:rsid w:val="008030EC"/>
    <w:rsid w:val="00811D6D"/>
    <w:rsid w:val="008132A8"/>
    <w:rsid w:val="008413E2"/>
    <w:rsid w:val="00844776"/>
    <w:rsid w:val="0085426D"/>
    <w:rsid w:val="00862F99"/>
    <w:rsid w:val="00881C03"/>
    <w:rsid w:val="0088240A"/>
    <w:rsid w:val="008850D9"/>
    <w:rsid w:val="008905B3"/>
    <w:rsid w:val="008A11E6"/>
    <w:rsid w:val="008A4578"/>
    <w:rsid w:val="008C03C3"/>
    <w:rsid w:val="008D3909"/>
    <w:rsid w:val="008D79BF"/>
    <w:rsid w:val="008F2CFC"/>
    <w:rsid w:val="008F588A"/>
    <w:rsid w:val="00902D2D"/>
    <w:rsid w:val="0091046C"/>
    <w:rsid w:val="00915804"/>
    <w:rsid w:val="00957285"/>
    <w:rsid w:val="009573AF"/>
    <w:rsid w:val="009963ED"/>
    <w:rsid w:val="009A0390"/>
    <w:rsid w:val="009B044A"/>
    <w:rsid w:val="009C3BFE"/>
    <w:rsid w:val="009D4063"/>
    <w:rsid w:val="009F2BC1"/>
    <w:rsid w:val="00A27B02"/>
    <w:rsid w:val="00A32947"/>
    <w:rsid w:val="00A41BD3"/>
    <w:rsid w:val="00A449C2"/>
    <w:rsid w:val="00A65EA3"/>
    <w:rsid w:val="00A67EE3"/>
    <w:rsid w:val="00A93123"/>
    <w:rsid w:val="00AA3D6F"/>
    <w:rsid w:val="00AB6F7D"/>
    <w:rsid w:val="00AC7878"/>
    <w:rsid w:val="00AD493E"/>
    <w:rsid w:val="00B0185B"/>
    <w:rsid w:val="00B06055"/>
    <w:rsid w:val="00B232A6"/>
    <w:rsid w:val="00B364A7"/>
    <w:rsid w:val="00B44D8A"/>
    <w:rsid w:val="00B65D6C"/>
    <w:rsid w:val="00B6705F"/>
    <w:rsid w:val="00B71FC7"/>
    <w:rsid w:val="00B73AC8"/>
    <w:rsid w:val="00B747A7"/>
    <w:rsid w:val="00B94CD3"/>
    <w:rsid w:val="00BC559C"/>
    <w:rsid w:val="00BE749F"/>
    <w:rsid w:val="00C17112"/>
    <w:rsid w:val="00C24267"/>
    <w:rsid w:val="00C72DDE"/>
    <w:rsid w:val="00C90EA2"/>
    <w:rsid w:val="00CA5D42"/>
    <w:rsid w:val="00CB0B1A"/>
    <w:rsid w:val="00CB40E1"/>
    <w:rsid w:val="00CC00BE"/>
    <w:rsid w:val="00CC4B20"/>
    <w:rsid w:val="00CE78FE"/>
    <w:rsid w:val="00CF6DB6"/>
    <w:rsid w:val="00D134CA"/>
    <w:rsid w:val="00D27789"/>
    <w:rsid w:val="00D44C38"/>
    <w:rsid w:val="00D76930"/>
    <w:rsid w:val="00D8060B"/>
    <w:rsid w:val="00D85095"/>
    <w:rsid w:val="00D8751D"/>
    <w:rsid w:val="00D949A3"/>
    <w:rsid w:val="00DA1C8A"/>
    <w:rsid w:val="00DA5FC7"/>
    <w:rsid w:val="00DA6EF6"/>
    <w:rsid w:val="00DB008D"/>
    <w:rsid w:val="00DB44F0"/>
    <w:rsid w:val="00DD109E"/>
    <w:rsid w:val="00DD3E18"/>
    <w:rsid w:val="00DF4492"/>
    <w:rsid w:val="00E03842"/>
    <w:rsid w:val="00E12103"/>
    <w:rsid w:val="00E15AAE"/>
    <w:rsid w:val="00E20A23"/>
    <w:rsid w:val="00E21184"/>
    <w:rsid w:val="00E24B0E"/>
    <w:rsid w:val="00E40B8B"/>
    <w:rsid w:val="00E50794"/>
    <w:rsid w:val="00E556EF"/>
    <w:rsid w:val="00E5742E"/>
    <w:rsid w:val="00E83DA6"/>
    <w:rsid w:val="00EA265F"/>
    <w:rsid w:val="00EA2B99"/>
    <w:rsid w:val="00EB23F5"/>
    <w:rsid w:val="00EC3FDA"/>
    <w:rsid w:val="00ED43FF"/>
    <w:rsid w:val="00EE6600"/>
    <w:rsid w:val="00EF1D6A"/>
    <w:rsid w:val="00EF2E51"/>
    <w:rsid w:val="00F2253D"/>
    <w:rsid w:val="00F2587E"/>
    <w:rsid w:val="00F31E24"/>
    <w:rsid w:val="00F47130"/>
    <w:rsid w:val="00F47806"/>
    <w:rsid w:val="00F52474"/>
    <w:rsid w:val="00F5529D"/>
    <w:rsid w:val="00F5669E"/>
    <w:rsid w:val="00F56BDC"/>
    <w:rsid w:val="00F75D33"/>
    <w:rsid w:val="00F8328D"/>
    <w:rsid w:val="00F954CF"/>
    <w:rsid w:val="00FA519B"/>
    <w:rsid w:val="00FB080A"/>
    <w:rsid w:val="00FB32BA"/>
    <w:rsid w:val="00FC6579"/>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949A3"/>
    <w:pPr>
      <w:spacing w:before="70" w:after="70" w:line="240" w:lineRule="auto"/>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62F99"/>
    <w:pPr>
      <w:spacing w:before="120"/>
    </w:pPr>
    <w:rPr>
      <w:rFonts w:eastAsia="Times New Roman" w:cs="Times New Roman"/>
      <w:spacing w:val="0"/>
      <w:lang w:eastAsia="en-AU"/>
    </w:rPr>
  </w:style>
  <w:style w:type="paragraph" w:customStyle="1" w:styleId="Bullet2">
    <w:name w:val="Bullet 2"/>
    <w:basedOn w:val="ListBullet2"/>
    <w:link w:val="Bullet2Char"/>
    <w:qFormat/>
    <w:rsid w:val="00862F99"/>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62F99"/>
    <w:rPr>
      <w:rFonts w:eastAsia="Times New Roman" w:cs="Times New Roman"/>
      <w:sz w:val="20"/>
      <w:lang w:eastAsia="en-AU"/>
    </w:rPr>
  </w:style>
  <w:style w:type="paragraph" w:customStyle="1" w:styleId="Bullet3">
    <w:name w:val="Bullet 3"/>
    <w:basedOn w:val="TableTextBullet3"/>
    <w:link w:val="Bullet3Char"/>
    <w:qFormat/>
    <w:rsid w:val="00862F99"/>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62F99"/>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62F99"/>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DB008D"/>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E83DA6"/>
    <w:pPr>
      <w:spacing w:before="120" w:after="0" w:line="240" w:lineRule="auto"/>
      <w:ind w:left="1135" w:hanging="284"/>
    </w:pPr>
    <w:rPr>
      <w:rFonts w:ascii="Times New Roman" w:eastAsia="Times New Roman" w:hAnsi="Times New Roman" w:cs="Times New Roman"/>
      <w:sz w:val="24"/>
      <w:szCs w:val="20"/>
      <w:lang w:eastAsia="en-AU"/>
    </w:rPr>
  </w:style>
  <w:style w:type="paragraph" w:customStyle="1" w:styleId="ChartandTableFootnoteAlpha">
    <w:name w:val="Chart and Table Footnote Alpha"/>
    <w:basedOn w:val="Normal"/>
    <w:next w:val="Normal"/>
    <w:link w:val="ChartandTableFootnoteAlphaChar"/>
    <w:rsid w:val="00E83DA6"/>
    <w:pPr>
      <w:keepLines/>
      <w:numPr>
        <w:numId w:val="22"/>
      </w:numPr>
      <w:spacing w:before="240" w:after="0" w:line="240" w:lineRule="auto"/>
      <w:jc w:val="both"/>
    </w:pPr>
    <w:rPr>
      <w:rFonts w:ascii="Arial" w:eastAsia="Times New Roman" w:hAnsi="Arial" w:cs="Times New Roman"/>
      <w:sz w:val="16"/>
      <w:szCs w:val="20"/>
      <w:lang w:eastAsia="en-AU"/>
    </w:rPr>
  </w:style>
  <w:style w:type="character" w:customStyle="1" w:styleId="ChartandTableFootnoteAlphaChar">
    <w:name w:val="Chart and Table Footnote Alpha Char"/>
    <w:basedOn w:val="DefaultParagraphFont"/>
    <w:link w:val="ChartandTableFootnoteAlpha"/>
    <w:rsid w:val="00E83DA6"/>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E556EF"/>
    <w:rPr>
      <w:sz w:val="16"/>
      <w:szCs w:val="16"/>
    </w:rPr>
  </w:style>
  <w:style w:type="paragraph" w:styleId="CommentText">
    <w:name w:val="annotation text"/>
    <w:basedOn w:val="Normal"/>
    <w:link w:val="CommentTextChar"/>
    <w:uiPriority w:val="99"/>
    <w:semiHidden/>
    <w:unhideWhenUsed/>
    <w:rsid w:val="00E556EF"/>
    <w:pPr>
      <w:spacing w:line="240" w:lineRule="auto"/>
    </w:pPr>
    <w:rPr>
      <w:sz w:val="20"/>
      <w:szCs w:val="20"/>
    </w:rPr>
  </w:style>
  <w:style w:type="character" w:customStyle="1" w:styleId="CommentTextChar">
    <w:name w:val="Comment Text Char"/>
    <w:basedOn w:val="DefaultParagraphFont"/>
    <w:link w:val="CommentText"/>
    <w:uiPriority w:val="99"/>
    <w:semiHidden/>
    <w:rsid w:val="00E556EF"/>
    <w:rPr>
      <w:sz w:val="20"/>
      <w:szCs w:val="20"/>
    </w:rPr>
  </w:style>
  <w:style w:type="paragraph" w:styleId="CommentSubject">
    <w:name w:val="annotation subject"/>
    <w:basedOn w:val="CommentText"/>
    <w:next w:val="CommentText"/>
    <w:link w:val="CommentSubjectChar"/>
    <w:uiPriority w:val="99"/>
    <w:semiHidden/>
    <w:unhideWhenUsed/>
    <w:rsid w:val="00E556EF"/>
    <w:rPr>
      <w:b/>
      <w:bCs/>
    </w:rPr>
  </w:style>
  <w:style w:type="character" w:customStyle="1" w:styleId="CommentSubjectChar">
    <w:name w:val="Comment Subject Char"/>
    <w:basedOn w:val="CommentTextChar"/>
    <w:link w:val="CommentSubject"/>
    <w:uiPriority w:val="99"/>
    <w:semiHidden/>
    <w:rsid w:val="00E556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949A3"/>
    <w:pPr>
      <w:spacing w:before="70" w:after="70" w:line="240" w:lineRule="auto"/>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62F99"/>
    <w:pPr>
      <w:spacing w:before="120"/>
    </w:pPr>
    <w:rPr>
      <w:rFonts w:eastAsia="Times New Roman" w:cs="Times New Roman"/>
      <w:spacing w:val="0"/>
      <w:lang w:eastAsia="en-AU"/>
    </w:rPr>
  </w:style>
  <w:style w:type="paragraph" w:customStyle="1" w:styleId="Bullet2">
    <w:name w:val="Bullet 2"/>
    <w:basedOn w:val="ListBullet2"/>
    <w:link w:val="Bullet2Char"/>
    <w:qFormat/>
    <w:rsid w:val="00862F99"/>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62F99"/>
    <w:rPr>
      <w:rFonts w:eastAsia="Times New Roman" w:cs="Times New Roman"/>
      <w:sz w:val="20"/>
      <w:lang w:eastAsia="en-AU"/>
    </w:rPr>
  </w:style>
  <w:style w:type="paragraph" w:customStyle="1" w:styleId="Bullet3">
    <w:name w:val="Bullet 3"/>
    <w:basedOn w:val="TableTextBullet3"/>
    <w:link w:val="Bullet3Char"/>
    <w:qFormat/>
    <w:rsid w:val="00862F99"/>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62F99"/>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62F99"/>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DB008D"/>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E83DA6"/>
    <w:pPr>
      <w:spacing w:before="120" w:after="0" w:line="240" w:lineRule="auto"/>
      <w:ind w:left="1135" w:hanging="284"/>
    </w:pPr>
    <w:rPr>
      <w:rFonts w:ascii="Times New Roman" w:eastAsia="Times New Roman" w:hAnsi="Times New Roman" w:cs="Times New Roman"/>
      <w:sz w:val="24"/>
      <w:szCs w:val="20"/>
      <w:lang w:eastAsia="en-AU"/>
    </w:rPr>
  </w:style>
  <w:style w:type="paragraph" w:customStyle="1" w:styleId="ChartandTableFootnoteAlpha">
    <w:name w:val="Chart and Table Footnote Alpha"/>
    <w:basedOn w:val="Normal"/>
    <w:next w:val="Normal"/>
    <w:link w:val="ChartandTableFootnoteAlphaChar"/>
    <w:rsid w:val="00E83DA6"/>
    <w:pPr>
      <w:keepLines/>
      <w:numPr>
        <w:numId w:val="22"/>
      </w:numPr>
      <w:spacing w:before="240" w:after="0" w:line="240" w:lineRule="auto"/>
      <w:jc w:val="both"/>
    </w:pPr>
    <w:rPr>
      <w:rFonts w:ascii="Arial" w:eastAsia="Times New Roman" w:hAnsi="Arial" w:cs="Times New Roman"/>
      <w:sz w:val="16"/>
      <w:szCs w:val="20"/>
      <w:lang w:eastAsia="en-AU"/>
    </w:rPr>
  </w:style>
  <w:style w:type="character" w:customStyle="1" w:styleId="ChartandTableFootnoteAlphaChar">
    <w:name w:val="Chart and Table Footnote Alpha Char"/>
    <w:basedOn w:val="DefaultParagraphFont"/>
    <w:link w:val="ChartandTableFootnoteAlpha"/>
    <w:rsid w:val="00E83DA6"/>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E556EF"/>
    <w:rPr>
      <w:sz w:val="16"/>
      <w:szCs w:val="16"/>
    </w:rPr>
  </w:style>
  <w:style w:type="paragraph" w:styleId="CommentText">
    <w:name w:val="annotation text"/>
    <w:basedOn w:val="Normal"/>
    <w:link w:val="CommentTextChar"/>
    <w:uiPriority w:val="99"/>
    <w:semiHidden/>
    <w:unhideWhenUsed/>
    <w:rsid w:val="00E556EF"/>
    <w:pPr>
      <w:spacing w:line="240" w:lineRule="auto"/>
    </w:pPr>
    <w:rPr>
      <w:sz w:val="20"/>
      <w:szCs w:val="20"/>
    </w:rPr>
  </w:style>
  <w:style w:type="character" w:customStyle="1" w:styleId="CommentTextChar">
    <w:name w:val="Comment Text Char"/>
    <w:basedOn w:val="DefaultParagraphFont"/>
    <w:link w:val="CommentText"/>
    <w:uiPriority w:val="99"/>
    <w:semiHidden/>
    <w:rsid w:val="00E556EF"/>
    <w:rPr>
      <w:sz w:val="20"/>
      <w:szCs w:val="20"/>
    </w:rPr>
  </w:style>
  <w:style w:type="paragraph" w:styleId="CommentSubject">
    <w:name w:val="annotation subject"/>
    <w:basedOn w:val="CommentText"/>
    <w:next w:val="CommentText"/>
    <w:link w:val="CommentSubjectChar"/>
    <w:uiPriority w:val="99"/>
    <w:semiHidden/>
    <w:unhideWhenUsed/>
    <w:rsid w:val="00E556EF"/>
    <w:rPr>
      <w:b/>
      <w:bCs/>
    </w:rPr>
  </w:style>
  <w:style w:type="character" w:customStyle="1" w:styleId="CommentSubjectChar">
    <w:name w:val="Comment Subject Char"/>
    <w:basedOn w:val="CommentTextChar"/>
    <w:link w:val="CommentSubject"/>
    <w:uiPriority w:val="99"/>
    <w:semiHidden/>
    <w:rsid w:val="00E55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4088">
      <w:bodyDiv w:val="1"/>
      <w:marLeft w:val="0"/>
      <w:marRight w:val="0"/>
      <w:marTop w:val="0"/>
      <w:marBottom w:val="0"/>
      <w:divBdr>
        <w:top w:val="none" w:sz="0" w:space="0" w:color="auto"/>
        <w:left w:val="none" w:sz="0" w:space="0" w:color="auto"/>
        <w:bottom w:val="none" w:sz="0" w:space="0" w:color="auto"/>
        <w:right w:val="none" w:sz="0" w:space="0" w:color="auto"/>
      </w:divBdr>
    </w:div>
    <w:div w:id="1642267222">
      <w:bodyDiv w:val="1"/>
      <w:marLeft w:val="0"/>
      <w:marRight w:val="0"/>
      <w:marTop w:val="0"/>
      <w:marBottom w:val="0"/>
      <w:divBdr>
        <w:top w:val="none" w:sz="0" w:space="0" w:color="auto"/>
        <w:left w:val="none" w:sz="0" w:space="0" w:color="auto"/>
        <w:bottom w:val="none" w:sz="0" w:space="0" w:color="auto"/>
        <w:right w:val="none" w:sz="0" w:space="0" w:color="auto"/>
      </w:divBdr>
    </w:div>
    <w:div w:id="16698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C4DD2AE-5B78-4306-856E-993AE2F4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TotalTime>
  <Pages>7</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PBO - GRN014 - Expanding Denticare - 27 June 2016</vt:lpstr>
    </vt:vector>
  </TitlesOfParts>
  <Company>Parliament of Australia</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GRN014 - Expanding Denticare - 25 June 2016</dc:title>
  <dc:creator>Parliamentary Budget Office</dc:creator>
  <cp:lastModifiedBy>Milligan, Louise (PBO)</cp:lastModifiedBy>
  <cp:revision>9</cp:revision>
  <cp:lastPrinted>2016-06-25T05:54:00Z</cp:lastPrinted>
  <dcterms:created xsi:type="dcterms:W3CDTF">2016-06-26T23:39:00Z</dcterms:created>
  <dcterms:modified xsi:type="dcterms:W3CDTF">2016-06-27T00:20:00Z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