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BC" w:rsidRDefault="003179BC" w:rsidP="00E16D42">
      <w:pPr>
        <w:pStyle w:val="Lettertext"/>
        <w:spacing w:before="1560"/>
      </w:pPr>
      <w:r>
        <w:t>Senator</w:t>
      </w:r>
      <w:r w:rsidRPr="00002D5D">
        <w:t xml:space="preserve"> </w:t>
      </w:r>
      <w:r>
        <w:t>Richard Di Natale</w:t>
      </w:r>
    </w:p>
    <w:p w:rsidR="003179BC" w:rsidRPr="00002D5D" w:rsidRDefault="003179BC" w:rsidP="00E16D42">
      <w:pPr>
        <w:pStyle w:val="Lettertext"/>
        <w:spacing w:before="0"/>
      </w:pPr>
      <w:r>
        <w:t>Leader of the Australian Greens</w:t>
      </w:r>
    </w:p>
    <w:p w:rsidR="00040DCE" w:rsidRPr="00002D5D" w:rsidRDefault="005C6967" w:rsidP="00E16D42">
      <w:pPr>
        <w:pStyle w:val="Lettertext"/>
        <w:spacing w:before="0"/>
      </w:pPr>
      <w:r>
        <w:t>Parliament House</w:t>
      </w:r>
    </w:p>
    <w:p w:rsidR="00040DCE" w:rsidRPr="00002D5D" w:rsidRDefault="005C6967" w:rsidP="00E16D42">
      <w:pPr>
        <w:pStyle w:val="Lettertext"/>
        <w:spacing w:before="0"/>
      </w:pPr>
      <w:proofErr w:type="gramStart"/>
      <w:r>
        <w:t>CANBERRA  ACT</w:t>
      </w:r>
      <w:proofErr w:type="gramEnd"/>
      <w:r>
        <w:t xml:space="preserve">  2600</w:t>
      </w:r>
    </w:p>
    <w:p w:rsidR="00040DCE" w:rsidRPr="00002D5D" w:rsidRDefault="00040DCE" w:rsidP="00E16D42">
      <w:pPr>
        <w:pStyle w:val="Lettertext"/>
        <w:spacing w:before="480"/>
      </w:pPr>
      <w:r w:rsidRPr="00002D5D">
        <w:t xml:space="preserve">Dear </w:t>
      </w:r>
      <w:r w:rsidR="003179BC">
        <w:t>Senator Di Natale</w:t>
      </w:r>
    </w:p>
    <w:p w:rsidR="00040DCE" w:rsidRPr="00002D5D" w:rsidRDefault="00040DCE" w:rsidP="00E16D42">
      <w:pPr>
        <w:pStyle w:val="Lettertext"/>
      </w:pPr>
      <w:r w:rsidRPr="00002D5D">
        <w:t xml:space="preserve">Please find attached a response to your costing request, </w:t>
      </w:r>
      <w:r w:rsidR="003179BC" w:rsidRPr="003179BC">
        <w:rPr>
          <w:i/>
          <w:sz w:val="22"/>
        </w:rPr>
        <w:t>Save ARENA from Labor and Liberal Cuts</w:t>
      </w:r>
      <w:r w:rsidR="003179BC" w:rsidRPr="00002D5D">
        <w:t xml:space="preserve"> </w:t>
      </w:r>
      <w:r w:rsidRPr="00002D5D">
        <w:t xml:space="preserve">(letter of </w:t>
      </w:r>
      <w:r w:rsidR="003179BC">
        <w:t xml:space="preserve">24 June </w:t>
      </w:r>
      <w:r w:rsidRPr="00002D5D">
        <w:t>2016).</w:t>
      </w:r>
    </w:p>
    <w:p w:rsidR="00040DCE" w:rsidRPr="00002D5D" w:rsidRDefault="00040DCE" w:rsidP="00E16D4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E16D4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E16D42">
      <w:pPr>
        <w:pStyle w:val="Lettertext"/>
      </w:pPr>
      <w:r w:rsidRPr="00002D5D">
        <w:t>Yours sincerely</w:t>
      </w:r>
    </w:p>
    <w:p w:rsidR="00040DCE" w:rsidRPr="00002D5D" w:rsidRDefault="00DA1C8A" w:rsidP="00E16D42">
      <w:pPr>
        <w:pStyle w:val="Lettertext"/>
        <w:spacing w:before="960"/>
      </w:pPr>
      <w:r w:rsidRPr="00002D5D">
        <w:t>Phil Bowen</w:t>
      </w:r>
    </w:p>
    <w:p w:rsidR="00096F3A" w:rsidRPr="00002D5D" w:rsidRDefault="00026DA7" w:rsidP="00026DA7">
      <w:pPr>
        <w:pStyle w:val="Lettertext"/>
        <w:spacing w:before="120"/>
      </w:pPr>
      <w:r>
        <w:t xml:space="preserve">25 </w:t>
      </w:r>
      <w:bookmarkStart w:id="0" w:name="_GoBack"/>
      <w:bookmarkEnd w:id="0"/>
      <w:r w:rsidR="003179BC">
        <w:t>June</w:t>
      </w:r>
      <w:r w:rsidR="00040DCE" w:rsidRPr="00002D5D">
        <w:t xml:space="preserve"> </w:t>
      </w:r>
      <w:r w:rsidR="00DA1C8A" w:rsidRPr="00002D5D"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6E5BE0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6E5BE0" w:rsidRDefault="004D5525" w:rsidP="006E5BE0">
            <w:pPr>
              <w:rPr>
                <w:sz w:val="22"/>
              </w:rPr>
            </w:pPr>
            <w:r w:rsidRPr="006E5BE0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6E5BE0" w:rsidRDefault="003179BC" w:rsidP="006E5BE0">
            <w:pPr>
              <w:rPr>
                <w:sz w:val="22"/>
              </w:rPr>
            </w:pPr>
            <w:r w:rsidRPr="006E5BE0">
              <w:rPr>
                <w:sz w:val="22"/>
              </w:rPr>
              <w:t>Save ARENA from Labor and Liberal cuts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3179BC" w:rsidRDefault="003179BC" w:rsidP="003179BC">
            <w:r>
              <w:t>The proposal would:</w:t>
            </w:r>
          </w:p>
          <w:p w:rsidR="003179BC" w:rsidRDefault="003179BC" w:rsidP="003179BC">
            <w:pPr>
              <w:pStyle w:val="Bullet1"/>
            </w:pPr>
            <w:proofErr w:type="gramStart"/>
            <w:r>
              <w:t>restore</w:t>
            </w:r>
            <w:proofErr w:type="gramEnd"/>
            <w:r>
              <w:t xml:space="preserve"> the Australian Renewable Energy Agency’s (ARENA’s) appropriation provided in the 2016-17 financial year to the level it was at prior to changes from Schedule 5 of the </w:t>
            </w:r>
            <w:r w:rsidRPr="00AE73FD">
              <w:rPr>
                <w:i/>
              </w:rPr>
              <w:t>Clean Energy Legislation (Carbon Tax Repeal) Act 2014</w:t>
            </w:r>
            <w:r>
              <w:t>, namely $299,550,000.  The existing appropriation schedule beyond 2016-17 would remain unchanged.</w:t>
            </w:r>
          </w:p>
          <w:p w:rsidR="003179BC" w:rsidRDefault="003179BC" w:rsidP="003179BC">
            <w:pPr>
              <w:pStyle w:val="Bullet1"/>
            </w:pPr>
            <w:proofErr w:type="gramStart"/>
            <w:r>
              <w:t>allow</w:t>
            </w:r>
            <w:proofErr w:type="gramEnd"/>
            <w:r>
              <w:t xml:space="preserve"> ARENA to enter into new spending commitments.</w:t>
            </w:r>
          </w:p>
          <w:p w:rsidR="004D5525" w:rsidRDefault="003179BC" w:rsidP="003179BC">
            <w:pPr>
              <w:pStyle w:val="BodyText"/>
            </w:pPr>
            <w:r>
              <w:t>This proposal would commence on 1 September 2016.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3179BC" w:rsidP="004D5525">
            <w:pPr>
              <w:pStyle w:val="BodyText"/>
            </w:pPr>
            <w:r w:rsidRPr="003179BC"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7D3577" w:rsidRPr="00C17112" w:rsidRDefault="003179BC" w:rsidP="00060F22">
            <w:pPr>
              <w:pStyle w:val="BodyText"/>
            </w:pPr>
            <w:r>
              <w:t>17 May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Default="0056295A" w:rsidP="0056295A">
            <w:pPr>
              <w:pStyle w:val="BodyText"/>
            </w:pPr>
            <w:r>
              <w:t xml:space="preserve">24 </w:t>
            </w:r>
            <w:r w:rsidR="003179BC">
              <w:t>June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</w:p>
        </w:tc>
        <w:tc>
          <w:tcPr>
            <w:tcW w:w="5335" w:type="dxa"/>
          </w:tcPr>
          <w:p w:rsidR="004D5525" w:rsidRPr="00C17112" w:rsidRDefault="0056295A" w:rsidP="004D1A35">
            <w:pPr>
              <w:pStyle w:val="BodyText"/>
            </w:pPr>
            <w:r>
              <w:t>2</w:t>
            </w:r>
            <w:r w:rsidR="004D1A35">
              <w:t>5</w:t>
            </w:r>
            <w:r>
              <w:t xml:space="preserve"> </w:t>
            </w:r>
            <w:r w:rsidR="003179BC">
              <w:t>June 2016</w:t>
            </w:r>
          </w:p>
        </w:tc>
      </w:tr>
      <w:tr w:rsidR="003179BC" w:rsidTr="00D52D5F">
        <w:tc>
          <w:tcPr>
            <w:tcW w:w="3005" w:type="dxa"/>
          </w:tcPr>
          <w:p w:rsidR="003179BC" w:rsidRDefault="003179BC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3179BC" w:rsidRPr="00C17112" w:rsidRDefault="003179BC" w:rsidP="004D552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3179BC" w:rsidRDefault="003179BC">
      <w:r>
        <w:t xml:space="preserve">This proposal has two </w:t>
      </w:r>
      <w:r w:rsidR="004C23E1">
        <w:t>components</w:t>
      </w:r>
      <w:r>
        <w:t>: an increase in the 2016</w:t>
      </w:r>
      <w:r w:rsidR="004C23E1">
        <w:t>-</w:t>
      </w:r>
      <w:r>
        <w:t>17 appropriation for ARENA; and a removal of the current restriction on ARENA entering into new contractual commitments.</w:t>
      </w:r>
    </w:p>
    <w:p w:rsidR="003179BC" w:rsidRDefault="003179BC">
      <w:r>
        <w:t xml:space="preserve">The 2016-17 Budget measure, </w:t>
      </w:r>
      <w:r>
        <w:rPr>
          <w:i/>
        </w:rPr>
        <w:t>Clean and Renewable Energy Innovation – Clean Energy Finance Corporation and the Australian Renewable Energy Agency</w:t>
      </w:r>
      <w:r w:rsidRPr="0053193D">
        <w:t xml:space="preserve"> </w:t>
      </w:r>
      <w:r>
        <w:t xml:space="preserve">reversed the </w:t>
      </w:r>
      <w:r>
        <w:rPr>
          <w:i/>
        </w:rPr>
        <w:t>Australian Renewable Energy Agency (Repeal) Bill 2014</w:t>
      </w:r>
      <w:r w:rsidRPr="0053193D">
        <w:t>.</w:t>
      </w:r>
      <w:r>
        <w:t xml:space="preserve">  It did not, however, enable ARENA to undertake new spending commitments.</w:t>
      </w:r>
    </w:p>
    <w:p w:rsidR="003179BC" w:rsidRDefault="003179BC">
      <w:r>
        <w:t>I</w:t>
      </w:r>
      <w:r w:rsidRPr="006141CA">
        <w:t xml:space="preserve">ncreasing the 2016-17 appropriation does not of itself have a financial impact.  The budgetary impact only occurs when ARENA undertakes expenditure resulting in the appropriated funds leaving the general government sector.  A comparison of the current and proposed ARENA appropriation and expenditure profiles is provided at </w:t>
      </w:r>
      <w:r w:rsidRPr="006141CA">
        <w:rPr>
          <w:u w:val="single"/>
        </w:rPr>
        <w:t>Attachment A</w:t>
      </w:r>
      <w:r w:rsidRPr="006141CA">
        <w:t>.</w:t>
      </w:r>
    </w:p>
    <w:p w:rsidR="003179BC" w:rsidRDefault="003179BC">
      <w:r w:rsidRPr="0053193D">
        <w:lastRenderedPageBreak/>
        <w:t xml:space="preserve">This </w:t>
      </w:r>
      <w:r>
        <w:t>proposal</w:t>
      </w:r>
      <w:r w:rsidRPr="0053193D">
        <w:t xml:space="preserve"> would </w:t>
      </w:r>
      <w:r>
        <w:t>be expected to decrease the</w:t>
      </w:r>
      <w:r w:rsidR="006403D8">
        <w:t xml:space="preserve"> fiscal and </w:t>
      </w:r>
      <w:r>
        <w:t>underlying cash balances by $1,029.3 million over the 2016-17 Budget forward estimates period.  This reflects an increase in administered expenditure of $1,012.7 and in departmental expenditure of $16.6 million.</w:t>
      </w:r>
    </w:p>
    <w:p w:rsidR="003179BC" w:rsidRDefault="003179BC">
      <w:r>
        <w:t xml:space="preserve">This proposal would have </w:t>
      </w:r>
      <w:r w:rsidR="004C23E1">
        <w:t>financial implications</w:t>
      </w:r>
      <w:r>
        <w:t xml:space="preserve"> beyond the 2016-17 Budget forward estimates period.  The financial </w:t>
      </w:r>
      <w:r w:rsidR="004C23E1">
        <w:t xml:space="preserve">implications </w:t>
      </w:r>
      <w:r>
        <w:t>to 2022-23</w:t>
      </w:r>
      <w:r w:rsidR="004D1A35">
        <w:t xml:space="preserve">, the time at which the </w:t>
      </w:r>
      <w:r w:rsidR="006403D8">
        <w:t>Parliamentary Budget Office (</w:t>
      </w:r>
      <w:r w:rsidR="004D1A35">
        <w:t>PBO</w:t>
      </w:r>
      <w:r w:rsidR="006403D8">
        <w:t>)</w:t>
      </w:r>
      <w:r w:rsidR="004D1A35">
        <w:t xml:space="preserve"> estimates ARENA would exhaust </w:t>
      </w:r>
      <w:r w:rsidR="00DA7D46">
        <w:t>its</w:t>
      </w:r>
      <w:r w:rsidR="004D1A35">
        <w:t xml:space="preserve"> legislated appropriation under this proposal,</w:t>
      </w:r>
      <w:r>
        <w:t xml:space="preserve"> is provided at </w:t>
      </w:r>
      <w:r w:rsidRPr="006141CA">
        <w:rPr>
          <w:u w:val="single"/>
        </w:rPr>
        <w:t xml:space="preserve">Attachment </w:t>
      </w:r>
      <w:r>
        <w:rPr>
          <w:u w:val="single"/>
        </w:rPr>
        <w:t>B</w:t>
      </w:r>
      <w:r>
        <w:t>.</w:t>
      </w:r>
    </w:p>
    <w:p w:rsidR="003179BC" w:rsidRPr="0053193D" w:rsidRDefault="003179BC">
      <w:r>
        <w:t>This costing is considered to be of medium reliability</w:t>
      </w:r>
      <w:r w:rsidR="004C23E1">
        <w:t xml:space="preserve">. </w:t>
      </w:r>
      <w:r>
        <w:t xml:space="preserve"> </w:t>
      </w:r>
      <w:r w:rsidR="004C23E1">
        <w:t>W</w:t>
      </w:r>
      <w:r>
        <w:t>hil</w:t>
      </w:r>
      <w:r w:rsidR="004C23E1">
        <w:t>e</w:t>
      </w:r>
      <w:r>
        <w:t xml:space="preserve"> information regarding prescribed changes in ARENA’s appropriation </w:t>
      </w:r>
      <w:r w:rsidR="006403D8">
        <w:t xml:space="preserve">is </w:t>
      </w:r>
      <w:r>
        <w:t xml:space="preserve">known, estimates of future expenditure are less certain. </w:t>
      </w:r>
    </w:p>
    <w:p w:rsidR="005E3562" w:rsidRPr="00FC6579" w:rsidRDefault="005E3562" w:rsidP="00FC6579">
      <w:pPr>
        <w:pStyle w:val="Captionheading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B73AC8" w:rsidRDefault="00CA5D42" w:rsidP="00CF7D9A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F97DFF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3179BC" w:rsidRPr="00B73AC8" w:rsidTr="00765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3179BC" w:rsidRPr="00B73AC8" w:rsidRDefault="003179BC" w:rsidP="00765314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3179BC" w:rsidRPr="00E40237" w:rsidRDefault="003179BC" w:rsidP="002D656A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237">
              <w:t>-</w:t>
            </w:r>
          </w:p>
        </w:tc>
        <w:tc>
          <w:tcPr>
            <w:tcW w:w="682" w:type="pct"/>
          </w:tcPr>
          <w:p w:rsidR="003179BC" w:rsidRPr="00E40237" w:rsidRDefault="003179BC" w:rsidP="002D656A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237">
              <w:t>-379.5</w:t>
            </w:r>
          </w:p>
        </w:tc>
        <w:tc>
          <w:tcPr>
            <w:tcW w:w="682" w:type="pct"/>
          </w:tcPr>
          <w:p w:rsidR="003179BC" w:rsidRPr="00E40237" w:rsidRDefault="003179BC" w:rsidP="002D656A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237">
              <w:t>-258.5</w:t>
            </w:r>
          </w:p>
        </w:tc>
        <w:tc>
          <w:tcPr>
            <w:tcW w:w="682" w:type="pct"/>
          </w:tcPr>
          <w:p w:rsidR="003179BC" w:rsidRPr="00E40237" w:rsidRDefault="003179BC" w:rsidP="004C23E1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237">
              <w:t>-391.</w:t>
            </w:r>
            <w:r w:rsidR="004C23E1">
              <w:t>2</w:t>
            </w:r>
          </w:p>
        </w:tc>
        <w:tc>
          <w:tcPr>
            <w:tcW w:w="681" w:type="pct"/>
          </w:tcPr>
          <w:p w:rsidR="003179BC" w:rsidRPr="00E40237" w:rsidRDefault="003179BC" w:rsidP="002D656A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0237">
              <w:t>-1,029.3</w:t>
            </w:r>
          </w:p>
        </w:tc>
      </w:tr>
      <w:tr w:rsidR="003179BC" w:rsidRPr="00B73AC8" w:rsidTr="00765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3179BC" w:rsidRPr="00B73AC8" w:rsidRDefault="003179BC" w:rsidP="00765314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3179BC" w:rsidRPr="00E40237" w:rsidRDefault="003179BC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0237">
              <w:t>-</w:t>
            </w:r>
          </w:p>
        </w:tc>
        <w:tc>
          <w:tcPr>
            <w:tcW w:w="682" w:type="pct"/>
          </w:tcPr>
          <w:p w:rsidR="003179BC" w:rsidRPr="00E40237" w:rsidRDefault="003179BC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0237">
              <w:t>-379.5</w:t>
            </w:r>
          </w:p>
        </w:tc>
        <w:tc>
          <w:tcPr>
            <w:tcW w:w="682" w:type="pct"/>
          </w:tcPr>
          <w:p w:rsidR="003179BC" w:rsidRPr="00E40237" w:rsidRDefault="003179BC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0237">
              <w:t>-258.5</w:t>
            </w:r>
          </w:p>
        </w:tc>
        <w:tc>
          <w:tcPr>
            <w:tcW w:w="682" w:type="pct"/>
          </w:tcPr>
          <w:p w:rsidR="003179BC" w:rsidRPr="00E40237" w:rsidRDefault="003179BC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0237">
              <w:t>-391.</w:t>
            </w:r>
            <w:r w:rsidR="004C23E1">
              <w:t>2</w:t>
            </w:r>
          </w:p>
        </w:tc>
        <w:tc>
          <w:tcPr>
            <w:tcW w:w="681" w:type="pct"/>
          </w:tcPr>
          <w:p w:rsidR="003179BC" w:rsidRDefault="003179BC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0237">
              <w:t>-1,029.3</w:t>
            </w:r>
          </w:p>
        </w:tc>
      </w:tr>
    </w:tbl>
    <w:p w:rsidR="003179BC" w:rsidRPr="006403D8" w:rsidRDefault="003179BC" w:rsidP="00AE73FD">
      <w:pPr>
        <w:pStyle w:val="Footnotes"/>
      </w:pPr>
      <w:r>
        <w:t xml:space="preserve">A </w:t>
      </w:r>
      <w:r w:rsidRPr="006403D8">
        <w:t>positive number indicates an increase in the relevant budget balance, a negative number a decrease.</w:t>
      </w:r>
    </w:p>
    <w:p w:rsidR="004C23E1" w:rsidRDefault="004C23E1" w:rsidP="00AE73FD">
      <w:pPr>
        <w:pStyle w:val="Footnotes"/>
        <w:numPr>
          <w:ilvl w:val="0"/>
          <w:numId w:val="0"/>
        </w:numPr>
        <w:ind w:left="284" w:hanging="284"/>
      </w:pPr>
      <w:r w:rsidRPr="006403D8">
        <w:t>-</w:t>
      </w:r>
      <w:r w:rsidRPr="006403D8">
        <w:tab/>
        <w:t>Indicates</w:t>
      </w:r>
      <w:r>
        <w:t xml:space="preserve"> nil</w:t>
      </w:r>
      <w:r w:rsidR="006403D8">
        <w:t>.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765314" w:rsidRDefault="00765314" w:rsidP="00765314">
      <w:pPr>
        <w:rPr>
          <w:b/>
        </w:rPr>
      </w:pPr>
      <w:r>
        <w:t>I</w:t>
      </w:r>
      <w:r w:rsidRPr="006141CA">
        <w:t>n costing this proposal it has been assumed that</w:t>
      </w:r>
      <w:r>
        <w:t>:</w:t>
      </w:r>
      <w:r w:rsidRPr="006141CA">
        <w:t xml:space="preserve"> </w:t>
      </w:r>
    </w:p>
    <w:p w:rsidR="00765314" w:rsidRPr="00765314" w:rsidRDefault="00765314" w:rsidP="00765314">
      <w:pPr>
        <w:pStyle w:val="Bullet1"/>
      </w:pPr>
      <w:r w:rsidRPr="00765314">
        <w:t xml:space="preserve">increases in appropriation available in 2016-17 would have no impact on commitments in that year.  This reflects advice from the </w:t>
      </w:r>
      <w:r w:rsidR="004C23E1">
        <w:t>Department of the Environment</w:t>
      </w:r>
      <w:r w:rsidRPr="00765314">
        <w:t xml:space="preserve"> regarding the considerable timeframes associated with developing and committing to particular projects. </w:t>
      </w:r>
    </w:p>
    <w:p w:rsidR="00765314" w:rsidRPr="00765314" w:rsidRDefault="00765314" w:rsidP="00765314">
      <w:pPr>
        <w:pStyle w:val="Bullet1"/>
      </w:pPr>
      <w:r w:rsidRPr="00765314">
        <w:t>ARENA would also undertake its role to jointly manage the Clean Energy Innovation Fund (as outlined in 2016-17 Budget measure</w:t>
      </w:r>
      <w:r w:rsidR="006403D8">
        <w:t>,</w:t>
      </w:r>
      <w:r w:rsidRPr="00765314">
        <w:t xml:space="preserve"> </w:t>
      </w:r>
      <w:r w:rsidRPr="00D20CAD">
        <w:rPr>
          <w:i/>
        </w:rPr>
        <w:t>Clean and Renewable Energy Innovation – Clean Energy Finance Corporation and the Australian Renewable Energy Agency</w:t>
      </w:r>
      <w:r w:rsidRPr="00765314">
        <w:t>).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765314" w:rsidRDefault="00765314" w:rsidP="00765314">
      <w:r w:rsidRPr="006141CA">
        <w:t>Consistent with the policy specification</w:t>
      </w:r>
      <w:r w:rsidR="004C23E1">
        <w:t>,</w:t>
      </w:r>
      <w:r w:rsidRPr="006141CA">
        <w:t xml:space="preserve"> the 2016-17 appropriation for ARENA </w:t>
      </w:r>
      <w:r>
        <w:t>was</w:t>
      </w:r>
      <w:r w:rsidRPr="006141CA">
        <w:t xml:space="preserve"> increased from the level outlined in Schedule 5 of the </w:t>
      </w:r>
      <w:r w:rsidRPr="00E00D2B">
        <w:rPr>
          <w:i/>
        </w:rPr>
        <w:t>Clean Energy Legislation (Carbon Tax Repeal) Act</w:t>
      </w:r>
      <w:r w:rsidR="006403D8">
        <w:rPr>
          <w:i/>
        </w:rPr>
        <w:t> </w:t>
      </w:r>
      <w:r w:rsidRPr="00E00D2B">
        <w:rPr>
          <w:i/>
        </w:rPr>
        <w:t>2014</w:t>
      </w:r>
      <w:r w:rsidRPr="006141CA">
        <w:t xml:space="preserve"> to the level outlined in the </w:t>
      </w:r>
      <w:r w:rsidRPr="00E00D2B">
        <w:rPr>
          <w:i/>
        </w:rPr>
        <w:t>Australian Renewable Energy Agency Act 2011</w:t>
      </w:r>
      <w:r w:rsidRPr="006141CA">
        <w:t xml:space="preserve">.   </w:t>
      </w:r>
    </w:p>
    <w:p w:rsidR="005E3562" w:rsidRPr="00002D5D" w:rsidRDefault="00765314" w:rsidP="00FC6579">
      <w:r w:rsidRPr="006141CA">
        <w:t xml:space="preserve">Departmental expenditure </w:t>
      </w:r>
      <w:r w:rsidR="004C23E1">
        <w:t>was</w:t>
      </w:r>
      <w:r w:rsidRPr="006141CA">
        <w:t xml:space="preserve"> increased in line with the increa</w:t>
      </w:r>
      <w:r>
        <w:t>se in administered expenditure.</w:t>
      </w:r>
    </w:p>
    <w:p w:rsidR="005E3562" w:rsidRPr="00FC6579" w:rsidRDefault="005E3562" w:rsidP="00E40B8B">
      <w:pPr>
        <w:pStyle w:val="Heading2"/>
      </w:pPr>
      <w:r w:rsidRPr="00FC6579">
        <w:lastRenderedPageBreak/>
        <w:t>Data sources</w:t>
      </w:r>
    </w:p>
    <w:p w:rsidR="00765314" w:rsidRDefault="00765314" w:rsidP="00D20CAD">
      <w:pPr>
        <w:pStyle w:val="Bullet1"/>
      </w:pPr>
      <w:r>
        <w:t xml:space="preserve">The </w:t>
      </w:r>
      <w:r w:rsidR="006403D8">
        <w:t>Department of the Environment</w:t>
      </w:r>
      <w:r>
        <w:t xml:space="preserve"> provided data on projected ARENA investments and on the available balance from rolled over unused appropriation for the 2016-17 Budget forward estimates period.</w:t>
      </w:r>
    </w:p>
    <w:p w:rsidR="00765314" w:rsidRDefault="00765314" w:rsidP="00D20CAD">
      <w:pPr>
        <w:pStyle w:val="Bullet1"/>
      </w:pPr>
      <w:r>
        <w:t>The Department of Finance provide</w:t>
      </w:r>
      <w:r w:rsidR="00972F5A">
        <w:t>d</w:t>
      </w:r>
      <w:r>
        <w:t xml:space="preserve"> indexation and efficiency dividend parameters. </w:t>
      </w:r>
    </w:p>
    <w:p w:rsidR="00765314" w:rsidRPr="00765314" w:rsidRDefault="00765314" w:rsidP="00765314">
      <w:pPr>
        <w:pStyle w:val="Bullet1"/>
      </w:pPr>
      <w:r w:rsidRPr="00765314">
        <w:t xml:space="preserve">The </w:t>
      </w:r>
      <w:r w:rsidRPr="00AE73FD">
        <w:rPr>
          <w:i/>
        </w:rPr>
        <w:t>Australian Renewable Energy Act 2011</w:t>
      </w:r>
      <w:r w:rsidRPr="00765314">
        <w:t>,</w:t>
      </w:r>
      <w:r w:rsidR="00972F5A">
        <w:t xml:space="preserve"> </w:t>
      </w:r>
      <w:hyperlink r:id="rId14" w:history="1">
        <w:r w:rsidRPr="00765314">
          <w:rPr>
            <w:rStyle w:val="Hyperlink"/>
          </w:rPr>
          <w:t>https://www.comlaw.gov.au/Details/C2012C00629</w:t>
        </w:r>
        <w:r w:rsidRPr="00E16D42">
          <w:rPr>
            <w:rStyle w:val="Hyperlink"/>
            <w:color w:val="auto"/>
            <w:u w:val="none"/>
          </w:rPr>
          <w:t>.</w:t>
        </w:r>
      </w:hyperlink>
    </w:p>
    <w:p w:rsidR="00765314" w:rsidRDefault="00765314" w:rsidP="006D6EDE">
      <w:pPr>
        <w:pStyle w:val="Bullet1"/>
        <w:rPr>
          <w:rStyle w:val="Hyperlink"/>
        </w:rPr>
      </w:pPr>
      <w:r w:rsidRPr="006D712F">
        <w:t>The</w:t>
      </w:r>
      <w:r>
        <w:t xml:space="preserve"> </w:t>
      </w:r>
      <w:r w:rsidRPr="00E00D2B">
        <w:rPr>
          <w:i/>
        </w:rPr>
        <w:t>Clean Energy Legislation (Carbon Tax Repeal) Act 2014</w:t>
      </w:r>
      <w:r>
        <w:t xml:space="preserve">, </w:t>
      </w:r>
      <w:hyperlink r:id="rId15" w:history="1">
        <w:r w:rsidRPr="00A21F99">
          <w:rPr>
            <w:rStyle w:val="Hyperlink"/>
          </w:rPr>
          <w:t>https://www.comlaw.gov.au/Details/C2014A00083</w:t>
        </w:r>
      </w:hyperlink>
      <w:r w:rsidR="006D6EDE" w:rsidRPr="00E16D42">
        <w:rPr>
          <w:rStyle w:val="Hyperlink"/>
          <w:color w:val="auto"/>
          <w:u w:val="none"/>
        </w:rPr>
        <w:t>.</w:t>
      </w:r>
    </w:p>
    <w:p w:rsidR="00CA5D42" w:rsidRPr="00FC6579" w:rsidRDefault="00CA5D42" w:rsidP="00765314">
      <w:pPr>
        <w:pStyle w:val="Bullet1"/>
        <w:rPr>
          <w:highlight w:val="yellow"/>
        </w:rPr>
        <w:sectPr w:rsidR="00CA5D42" w:rsidRPr="00FC6579" w:rsidSect="00002D5D">
          <w:headerReference w:type="first" r:id="rId16"/>
          <w:footerReference w:type="first" r:id="rId17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1A02D1" w:rsidRPr="00FC6579" w:rsidRDefault="001A02D1" w:rsidP="00AE73FD">
      <w:pPr>
        <w:pStyle w:val="Heading1"/>
        <w:spacing w:before="240" w:after="240"/>
      </w:pPr>
      <w:r w:rsidRPr="00FC6579">
        <w:lastRenderedPageBreak/>
        <w:t>Attachment A:</w:t>
      </w:r>
      <w:r w:rsidR="00841C3A">
        <w:t xml:space="preserve"> </w:t>
      </w:r>
      <w:r w:rsidR="00977399">
        <w:t>ARENA appropriation and expenditure profiles</w:t>
      </w:r>
    </w:p>
    <w:p w:rsidR="00F52474" w:rsidRPr="00FC6579" w:rsidRDefault="00F52474" w:rsidP="00AE73FD">
      <w:pPr>
        <w:pStyle w:val="Captionheading"/>
        <w:spacing w:before="0"/>
      </w:pPr>
      <w:r w:rsidRPr="00FC6579">
        <w:t xml:space="preserve">Table </w:t>
      </w:r>
      <w:r w:rsidR="00765314">
        <w:t>A1</w:t>
      </w:r>
      <w:r w:rsidRPr="00FC6579">
        <w:t xml:space="preserve">: </w:t>
      </w:r>
      <w:r w:rsidR="00765314" w:rsidRPr="00765314">
        <w:t>ARENA appropriation and expenditure profile</w:t>
      </w:r>
      <w:r w:rsidR="00972F5A">
        <w:t xml:space="preserve">s – baseline, proposed policy and </w:t>
      </w:r>
      <w:proofErr w:type="gramStart"/>
      <w:r w:rsidR="00972F5A">
        <w:t>deviation</w:t>
      </w:r>
      <w:r w:rsidR="00EF207B" w:rsidRPr="00DA7D46">
        <w:rPr>
          <w:vertAlign w:val="superscript"/>
        </w:rPr>
        <w:t>(</w:t>
      </w:r>
      <w:proofErr w:type="gramEnd"/>
      <w:r w:rsidR="00EF207B" w:rsidRPr="00DA7D46">
        <w:rPr>
          <w:vertAlign w:val="superscript"/>
        </w:rPr>
        <w:t>a)</w:t>
      </w:r>
    </w:p>
    <w:tbl>
      <w:tblPr>
        <w:tblStyle w:val="TableGrid"/>
        <w:tblW w:w="5000" w:type="pct"/>
        <w:tblLayout w:type="fixed"/>
        <w:tblLook w:val="0680" w:firstRow="0" w:lastRow="0" w:firstColumn="1" w:lastColumn="0" w:noHBand="1" w:noVBand="1"/>
      </w:tblPr>
      <w:tblGrid>
        <w:gridCol w:w="3264"/>
        <w:gridCol w:w="1064"/>
        <w:gridCol w:w="1211"/>
        <w:gridCol w:w="1211"/>
        <w:gridCol w:w="1211"/>
        <w:gridCol w:w="1211"/>
        <w:gridCol w:w="1211"/>
        <w:gridCol w:w="1211"/>
        <w:gridCol w:w="1211"/>
        <w:gridCol w:w="1208"/>
      </w:tblGrid>
      <w:tr w:rsidR="00765314" w:rsidRPr="00B31810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shd w:val="clear" w:color="auto" w:fill="D7DDE9"/>
          </w:tcPr>
          <w:p w:rsidR="00765314" w:rsidRPr="00B31810" w:rsidRDefault="00765314">
            <w:pPr>
              <w:keepNext/>
              <w:keepLines/>
              <w:spacing w:before="70" w:after="70" w:line="240" w:lineRule="auto"/>
              <w:ind w:left="57" w:right="57"/>
            </w:pPr>
            <w:r w:rsidRPr="00B31810">
              <w:t>($m)</w:t>
            </w:r>
          </w:p>
        </w:tc>
        <w:tc>
          <w:tcPr>
            <w:tcW w:w="380" w:type="pct"/>
            <w:shd w:val="clear" w:color="auto" w:fill="D7DDE9"/>
          </w:tcPr>
          <w:p w:rsidR="00765314" w:rsidRPr="00C24267" w:rsidRDefault="00765314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432" w:type="pct"/>
            <w:shd w:val="clear" w:color="auto" w:fill="D7DDE9"/>
          </w:tcPr>
          <w:p w:rsidR="00765314" w:rsidRPr="00C24267" w:rsidRDefault="00765314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432" w:type="pct"/>
            <w:shd w:val="clear" w:color="auto" w:fill="D7DDE9"/>
          </w:tcPr>
          <w:p w:rsidR="00765314" w:rsidRPr="00C24267" w:rsidRDefault="00765314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432" w:type="pct"/>
            <w:shd w:val="clear" w:color="auto" w:fill="D7DDE9"/>
          </w:tcPr>
          <w:p w:rsidR="00765314" w:rsidRPr="00C24267" w:rsidRDefault="00765314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432" w:type="pct"/>
            <w:shd w:val="clear" w:color="auto" w:fill="D7DDE9"/>
          </w:tcPr>
          <w:p w:rsidR="00765314" w:rsidRPr="00AE30B5" w:rsidRDefault="00765314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E30B5">
              <w:rPr>
                <w:b/>
              </w:rPr>
              <w:t>Total to 2019–20</w:t>
            </w:r>
          </w:p>
        </w:tc>
        <w:tc>
          <w:tcPr>
            <w:tcW w:w="432" w:type="pct"/>
            <w:shd w:val="clear" w:color="auto" w:fill="D7DDE9"/>
          </w:tcPr>
          <w:p w:rsidR="00765314" w:rsidRPr="00C24267" w:rsidRDefault="00765314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432" w:type="pct"/>
            <w:shd w:val="clear" w:color="auto" w:fill="D7DDE9"/>
          </w:tcPr>
          <w:p w:rsidR="00765314" w:rsidRPr="00C24267" w:rsidRDefault="00765314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432" w:type="pct"/>
            <w:shd w:val="clear" w:color="auto" w:fill="D7DDE9"/>
          </w:tcPr>
          <w:p w:rsidR="00765314" w:rsidRPr="00C24267" w:rsidRDefault="00765314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430" w:type="pct"/>
            <w:shd w:val="clear" w:color="auto" w:fill="D7DDE9"/>
          </w:tcPr>
          <w:p w:rsidR="00765314" w:rsidRPr="00AE30B5" w:rsidRDefault="00765314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Total to 2022–23</w:t>
            </w:r>
          </w:p>
        </w:tc>
      </w:tr>
      <w:tr w:rsidR="00765314" w:rsidTr="0097739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shd w:val="clear" w:color="auto" w:fill="EEF1F6"/>
          </w:tcPr>
          <w:p w:rsidR="00765314" w:rsidRPr="00977399" w:rsidRDefault="00977399" w:rsidP="00AE73FD">
            <w:pPr>
              <w:pStyle w:val="TableTextRight"/>
              <w:jc w:val="left"/>
              <w:rPr>
                <w:b/>
                <w:i w:val="0"/>
              </w:rPr>
            </w:pPr>
            <w:r w:rsidRPr="00977399">
              <w:rPr>
                <w:b/>
                <w:i w:val="0"/>
              </w:rPr>
              <w:t>Baseline</w:t>
            </w:r>
          </w:p>
        </w:tc>
      </w:tr>
      <w:tr w:rsidR="00765314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bottom"/>
          </w:tcPr>
          <w:p w:rsidR="00765314" w:rsidRPr="0080735A" w:rsidRDefault="00765314" w:rsidP="00AE73FD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80735A">
              <w:rPr>
                <w:color w:val="000000"/>
              </w:rPr>
              <w:t>Opening balance of</w:t>
            </w:r>
            <w:r w:rsidR="00EF207B">
              <w:rPr>
                <w:color w:val="000000"/>
              </w:rPr>
              <w:t xml:space="preserve"> </w:t>
            </w:r>
            <w:r w:rsidRPr="0080735A">
              <w:rPr>
                <w:color w:val="000000"/>
              </w:rPr>
              <w:t>appropriation</w:t>
            </w:r>
            <w:r w:rsidR="00EF207B" w:rsidRPr="00DA7D46">
              <w:rPr>
                <w:color w:val="000000"/>
                <w:vertAlign w:val="superscript"/>
              </w:rPr>
              <w:t>(</w:t>
            </w:r>
            <w:r w:rsidR="00EF207B">
              <w:rPr>
                <w:color w:val="000000"/>
                <w:vertAlign w:val="superscript"/>
              </w:rPr>
              <w:t>b</w:t>
            </w:r>
            <w:r w:rsidR="00EF207B" w:rsidRPr="00DA7D46">
              <w:rPr>
                <w:color w:val="000000"/>
                <w:vertAlign w:val="superscript"/>
              </w:rPr>
              <w:t>)</w:t>
            </w:r>
          </w:p>
        </w:tc>
        <w:tc>
          <w:tcPr>
            <w:tcW w:w="380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193.4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52.9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436.0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597.0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N/A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1,038.6</w:t>
            </w:r>
          </w:p>
        </w:tc>
        <w:tc>
          <w:tcPr>
            <w:tcW w:w="432" w:type="pct"/>
          </w:tcPr>
          <w:p w:rsidR="00765314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1,154.4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1,274.6</w:t>
            </w:r>
          </w:p>
        </w:tc>
        <w:tc>
          <w:tcPr>
            <w:tcW w:w="430" w:type="pct"/>
          </w:tcPr>
          <w:p w:rsidR="00765314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N/A</w:t>
            </w:r>
          </w:p>
        </w:tc>
      </w:tr>
      <w:tr w:rsidR="00765314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bottom"/>
          </w:tcPr>
          <w:p w:rsidR="00765314" w:rsidRPr="0080735A" w:rsidRDefault="00765314" w:rsidP="00AE73FD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80735A">
              <w:rPr>
                <w:color w:val="000000"/>
              </w:rPr>
              <w:t>New appropriation</w:t>
            </w:r>
            <w:r w:rsidR="00EF207B" w:rsidRPr="00E2658D">
              <w:rPr>
                <w:color w:val="000000"/>
                <w:vertAlign w:val="superscript"/>
              </w:rPr>
              <w:t>(</w:t>
            </w:r>
            <w:r w:rsidR="00EF207B">
              <w:rPr>
                <w:color w:val="000000"/>
                <w:vertAlign w:val="superscript"/>
              </w:rPr>
              <w:t>b</w:t>
            </w:r>
            <w:r w:rsidR="00EF207B" w:rsidRPr="00E2658D">
              <w:rPr>
                <w:color w:val="000000"/>
                <w:vertAlign w:val="superscript"/>
              </w:rPr>
              <w:t>)</w:t>
            </w:r>
          </w:p>
        </w:tc>
        <w:tc>
          <w:tcPr>
            <w:tcW w:w="380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57.0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499.9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237.0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468.3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1,262.2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135.0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135.0</w:t>
            </w:r>
          </w:p>
        </w:tc>
        <w:tc>
          <w:tcPr>
            <w:tcW w:w="432" w:type="pct"/>
          </w:tcPr>
          <w:p w:rsidR="00765314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430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1,532.2</w:t>
            </w:r>
          </w:p>
        </w:tc>
      </w:tr>
      <w:tr w:rsidR="00765314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bottom"/>
          </w:tcPr>
          <w:p w:rsidR="00765314" w:rsidRPr="0080735A" w:rsidRDefault="00765314" w:rsidP="00AE73FD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80735A">
              <w:rPr>
                <w:color w:val="000000"/>
              </w:rPr>
              <w:t>Expenditure</w:t>
            </w:r>
          </w:p>
        </w:tc>
        <w:tc>
          <w:tcPr>
            <w:tcW w:w="380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-197.5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-116.8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-76.0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-26.7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-417.0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-19.2</w:t>
            </w:r>
          </w:p>
        </w:tc>
        <w:tc>
          <w:tcPr>
            <w:tcW w:w="432" w:type="pct"/>
          </w:tcPr>
          <w:p w:rsidR="00765314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-14.8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</w:t>
            </w:r>
          </w:p>
        </w:tc>
        <w:tc>
          <w:tcPr>
            <w:tcW w:w="430" w:type="pct"/>
          </w:tcPr>
          <w:p w:rsidR="00765314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-451.0</w:t>
            </w:r>
          </w:p>
        </w:tc>
      </w:tr>
      <w:tr w:rsidR="00765314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Align w:val="bottom"/>
          </w:tcPr>
          <w:p w:rsidR="00765314" w:rsidRPr="0080735A" w:rsidRDefault="00765314" w:rsidP="00AE73FD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80735A">
              <w:rPr>
                <w:color w:val="000000"/>
              </w:rPr>
              <w:t>Closing balance of appropriation</w:t>
            </w:r>
            <w:r w:rsidR="00EF207B" w:rsidRPr="00E2658D">
              <w:rPr>
                <w:color w:val="000000"/>
                <w:vertAlign w:val="superscript"/>
              </w:rPr>
              <w:t>(</w:t>
            </w:r>
            <w:r w:rsidR="00EF207B">
              <w:rPr>
                <w:color w:val="000000"/>
                <w:vertAlign w:val="superscript"/>
              </w:rPr>
              <w:t>b</w:t>
            </w:r>
            <w:r w:rsidR="00EF207B" w:rsidRPr="00E2658D">
              <w:rPr>
                <w:color w:val="000000"/>
                <w:vertAlign w:val="superscript"/>
              </w:rPr>
              <w:t>)</w:t>
            </w:r>
          </w:p>
        </w:tc>
        <w:tc>
          <w:tcPr>
            <w:tcW w:w="380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52.9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436.0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597.0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1,038.6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N/A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1,154.4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1,274.6</w:t>
            </w:r>
          </w:p>
        </w:tc>
        <w:tc>
          <w:tcPr>
            <w:tcW w:w="432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1,274.6</w:t>
            </w:r>
          </w:p>
        </w:tc>
        <w:tc>
          <w:tcPr>
            <w:tcW w:w="430" w:type="pct"/>
          </w:tcPr>
          <w:p w:rsidR="00765314" w:rsidRPr="00977399" w:rsidRDefault="00765314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N/A</w:t>
            </w:r>
          </w:p>
        </w:tc>
      </w:tr>
      <w:tr w:rsidR="00765314" w:rsidTr="0097739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shd w:val="clear" w:color="auto" w:fill="EEF1F6"/>
          </w:tcPr>
          <w:p w:rsidR="00765314" w:rsidRPr="00DA7D46" w:rsidRDefault="00977399" w:rsidP="00AE73FD">
            <w:pPr>
              <w:pStyle w:val="TableTextRight"/>
              <w:jc w:val="left"/>
              <w:rPr>
                <w:b/>
                <w:i w:val="0"/>
              </w:rPr>
            </w:pPr>
            <w:r w:rsidRPr="00DA7D46">
              <w:rPr>
                <w:b/>
                <w:i w:val="0"/>
              </w:rPr>
              <w:t>Proposed policy</w:t>
            </w:r>
          </w:p>
        </w:tc>
      </w:tr>
      <w:tr w:rsidR="00977399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="00977399" w:rsidRPr="00F52491" w:rsidRDefault="00977399" w:rsidP="00AE73FD">
            <w:pPr>
              <w:spacing w:before="70" w:after="70" w:line="240" w:lineRule="auto"/>
              <w:ind w:left="57" w:right="57"/>
            </w:pPr>
            <w:r w:rsidRPr="00F52491">
              <w:t>Opening balance of appropriation</w:t>
            </w:r>
            <w:r w:rsidR="00EF207B">
              <w:rPr>
                <w:color w:val="000000"/>
                <w:vertAlign w:val="superscript"/>
              </w:rPr>
              <w:t>(b</w:t>
            </w:r>
            <w:r w:rsidR="00EF207B" w:rsidRPr="00E2658D">
              <w:rPr>
                <w:color w:val="000000"/>
                <w:vertAlign w:val="superscript"/>
              </w:rPr>
              <w:t>)</w:t>
            </w:r>
          </w:p>
        </w:tc>
        <w:tc>
          <w:tcPr>
            <w:tcW w:w="380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193.4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295.5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299.1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201.6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N/A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251.9</w:t>
            </w:r>
          </w:p>
        </w:tc>
        <w:tc>
          <w:tcPr>
            <w:tcW w:w="432" w:type="pct"/>
          </w:tcPr>
          <w:p w:rsidR="00977399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145.5</w:t>
            </w:r>
          </w:p>
        </w:tc>
        <w:tc>
          <w:tcPr>
            <w:tcW w:w="432" w:type="pct"/>
          </w:tcPr>
          <w:p w:rsidR="00977399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105.5</w:t>
            </w:r>
          </w:p>
        </w:tc>
        <w:tc>
          <w:tcPr>
            <w:tcW w:w="430" w:type="pct"/>
          </w:tcPr>
          <w:p w:rsidR="00977399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N/A</w:t>
            </w:r>
          </w:p>
        </w:tc>
      </w:tr>
      <w:tr w:rsidR="00977399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="00977399" w:rsidRPr="00F52491" w:rsidRDefault="00977399" w:rsidP="00AE73FD">
            <w:pPr>
              <w:spacing w:before="70" w:after="70" w:line="240" w:lineRule="auto"/>
              <w:ind w:left="57" w:right="57"/>
            </w:pPr>
            <w:r w:rsidRPr="00F52491">
              <w:t>New appropriation</w:t>
            </w:r>
            <w:r w:rsidR="00EF207B">
              <w:rPr>
                <w:color w:val="000000"/>
                <w:vertAlign w:val="superscript"/>
              </w:rPr>
              <w:t>(b</w:t>
            </w:r>
            <w:r w:rsidR="00EF207B" w:rsidRPr="00E2658D">
              <w:rPr>
                <w:color w:val="000000"/>
                <w:vertAlign w:val="superscript"/>
              </w:rPr>
              <w:t>)</w:t>
            </w:r>
          </w:p>
        </w:tc>
        <w:tc>
          <w:tcPr>
            <w:tcW w:w="380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299.6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499.9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237.0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468.3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1,504.8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135.0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135.0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</w:t>
            </w:r>
          </w:p>
        </w:tc>
        <w:tc>
          <w:tcPr>
            <w:tcW w:w="430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1,774.8</w:t>
            </w:r>
          </w:p>
        </w:tc>
      </w:tr>
      <w:tr w:rsidR="00977399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="00977399" w:rsidRPr="00F52491" w:rsidRDefault="00977399" w:rsidP="00AE73FD">
            <w:pPr>
              <w:spacing w:before="70" w:after="70" w:line="240" w:lineRule="auto"/>
              <w:ind w:left="57" w:right="57"/>
            </w:pPr>
            <w:r w:rsidRPr="00F52491">
              <w:t>Expenditure</w:t>
            </w:r>
          </w:p>
        </w:tc>
        <w:tc>
          <w:tcPr>
            <w:tcW w:w="380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-197.5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-496.3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-334.5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-418.0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-1,446.3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-241.4</w:t>
            </w:r>
          </w:p>
        </w:tc>
        <w:tc>
          <w:tcPr>
            <w:tcW w:w="432" w:type="pct"/>
          </w:tcPr>
          <w:p w:rsidR="00977399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-175.0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-105.5</w:t>
            </w:r>
          </w:p>
        </w:tc>
        <w:tc>
          <w:tcPr>
            <w:tcW w:w="430" w:type="pct"/>
          </w:tcPr>
          <w:p w:rsidR="00977399" w:rsidRPr="00977399" w:rsidRDefault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-1,968.2</w:t>
            </w:r>
          </w:p>
        </w:tc>
      </w:tr>
      <w:tr w:rsidR="00977399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="00977399" w:rsidRDefault="00977399" w:rsidP="00AE73FD">
            <w:pPr>
              <w:spacing w:before="70" w:after="70" w:line="240" w:lineRule="auto"/>
              <w:ind w:left="57" w:right="57"/>
            </w:pPr>
            <w:r w:rsidRPr="00F52491">
              <w:t>Closing balance of appropriation</w:t>
            </w:r>
            <w:r w:rsidR="00EF207B" w:rsidRPr="00E2658D">
              <w:rPr>
                <w:color w:val="000000"/>
                <w:vertAlign w:val="superscript"/>
              </w:rPr>
              <w:t>(</w:t>
            </w:r>
            <w:r w:rsidR="00EF207B">
              <w:rPr>
                <w:color w:val="000000"/>
                <w:vertAlign w:val="superscript"/>
              </w:rPr>
              <w:t>b</w:t>
            </w:r>
            <w:r w:rsidR="00EF207B" w:rsidRPr="00E2658D">
              <w:rPr>
                <w:color w:val="000000"/>
                <w:vertAlign w:val="superscript"/>
              </w:rPr>
              <w:t>)</w:t>
            </w:r>
          </w:p>
        </w:tc>
        <w:tc>
          <w:tcPr>
            <w:tcW w:w="380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295.5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299.1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201.6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251.9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N/A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145.5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105.5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</w:t>
            </w:r>
          </w:p>
        </w:tc>
        <w:tc>
          <w:tcPr>
            <w:tcW w:w="430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N/A</w:t>
            </w:r>
          </w:p>
        </w:tc>
      </w:tr>
      <w:tr w:rsidR="00765314" w:rsidTr="0097739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shd w:val="clear" w:color="auto" w:fill="EEF1F6"/>
          </w:tcPr>
          <w:p w:rsidR="00765314" w:rsidRPr="00DA7D46" w:rsidRDefault="00977399" w:rsidP="00AE73FD">
            <w:pPr>
              <w:pStyle w:val="TableTextRight"/>
              <w:jc w:val="left"/>
              <w:rPr>
                <w:b/>
                <w:i w:val="0"/>
              </w:rPr>
            </w:pPr>
            <w:r w:rsidRPr="00DA7D46">
              <w:rPr>
                <w:b/>
                <w:i w:val="0"/>
              </w:rPr>
              <w:t>Deviation</w:t>
            </w:r>
          </w:p>
        </w:tc>
      </w:tr>
      <w:tr w:rsidR="00977399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="00977399" w:rsidRDefault="00977399">
            <w:pPr>
              <w:keepNext/>
              <w:keepLines/>
              <w:spacing w:before="70" w:after="70" w:line="240" w:lineRule="auto"/>
              <w:ind w:left="57" w:right="57"/>
            </w:pPr>
            <w:r>
              <w:t>Expenditure</w:t>
            </w:r>
            <w:r w:rsidR="00EF207B" w:rsidRPr="00E2658D">
              <w:rPr>
                <w:color w:val="000000"/>
                <w:vertAlign w:val="superscript"/>
              </w:rPr>
              <w:t>(c)</w:t>
            </w:r>
          </w:p>
        </w:tc>
        <w:tc>
          <w:tcPr>
            <w:tcW w:w="380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-379.5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-258.5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-391.</w:t>
            </w:r>
            <w:r w:rsidR="00972F5A">
              <w:rPr>
                <w:i/>
                <w:color w:val="000000"/>
              </w:rPr>
              <w:t>2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-1,029.3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-222.</w:t>
            </w:r>
            <w:r w:rsidR="007F1387">
              <w:rPr>
                <w:i/>
                <w:color w:val="000000"/>
              </w:rPr>
              <w:t>3</w:t>
            </w:r>
          </w:p>
        </w:tc>
        <w:tc>
          <w:tcPr>
            <w:tcW w:w="432" w:type="pct"/>
          </w:tcPr>
          <w:p w:rsidR="00977399" w:rsidRPr="00977399" w:rsidRDefault="00977399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-160.</w:t>
            </w:r>
            <w:r w:rsidR="00972F5A">
              <w:rPr>
                <w:i/>
                <w:color w:val="000000"/>
              </w:rPr>
              <w:t>3</w:t>
            </w:r>
          </w:p>
        </w:tc>
        <w:tc>
          <w:tcPr>
            <w:tcW w:w="432" w:type="pct"/>
          </w:tcPr>
          <w:p w:rsidR="00977399" w:rsidRPr="00977399" w:rsidRDefault="00977399" w:rsidP="002D656A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977399">
              <w:rPr>
                <w:i/>
                <w:color w:val="000000"/>
              </w:rPr>
              <w:t>-105.5</w:t>
            </w:r>
          </w:p>
        </w:tc>
        <w:tc>
          <w:tcPr>
            <w:tcW w:w="430" w:type="pct"/>
          </w:tcPr>
          <w:p w:rsidR="00977399" w:rsidRPr="00977399" w:rsidRDefault="00977399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977399">
              <w:rPr>
                <w:b/>
                <w:bCs/>
                <w:i/>
                <w:color w:val="000000"/>
              </w:rPr>
              <w:t>-1,517.</w:t>
            </w:r>
            <w:r w:rsidR="00972F5A">
              <w:rPr>
                <w:b/>
                <w:bCs/>
                <w:i/>
                <w:color w:val="000000"/>
              </w:rPr>
              <w:t>3</w:t>
            </w:r>
          </w:p>
        </w:tc>
      </w:tr>
    </w:tbl>
    <w:p w:rsidR="00EF207B" w:rsidRPr="006D6EDE" w:rsidRDefault="00DA7D46" w:rsidP="00AE73FD">
      <w:pPr>
        <w:pStyle w:val="Footnotes"/>
        <w:numPr>
          <w:ilvl w:val="0"/>
          <w:numId w:val="23"/>
        </w:numPr>
        <w:ind w:left="284" w:hanging="284"/>
      </w:pPr>
      <w:r>
        <w:t xml:space="preserve">Figures may not </w:t>
      </w:r>
      <w:r w:rsidRPr="006D6EDE">
        <w:t>sum to totals due to rounding.</w:t>
      </w:r>
    </w:p>
    <w:p w:rsidR="00EF207B" w:rsidRPr="006D6EDE" w:rsidRDefault="00EF207B">
      <w:pPr>
        <w:pStyle w:val="Footnotes"/>
      </w:pPr>
      <w:r w:rsidRPr="006D6EDE">
        <w:t xml:space="preserve">Figures related to </w:t>
      </w:r>
      <w:r w:rsidR="00DA7D46" w:rsidRPr="006D6EDE">
        <w:t xml:space="preserve">the </w:t>
      </w:r>
      <w:r w:rsidRPr="006D6EDE">
        <w:t xml:space="preserve">level of or changes to </w:t>
      </w:r>
      <w:r w:rsidR="00DA7D46" w:rsidRPr="006D6EDE">
        <w:t xml:space="preserve">the </w:t>
      </w:r>
      <w:r w:rsidRPr="006D6EDE">
        <w:t>level</w:t>
      </w:r>
      <w:r w:rsidR="00DA7D46" w:rsidRPr="006D6EDE">
        <w:t>s</w:t>
      </w:r>
      <w:r w:rsidRPr="006D6EDE">
        <w:t xml:space="preserve"> of appropriation relate to the stock of funding available to ARENA and do not reflect changes to the fiscal or underlying cash balances.</w:t>
      </w:r>
    </w:p>
    <w:p w:rsidR="00795F41" w:rsidRPr="00795F41" w:rsidRDefault="00EF207B">
      <w:pPr>
        <w:pStyle w:val="Footnotes"/>
      </w:pPr>
      <w:r w:rsidRPr="006D6EDE">
        <w:t>A negative figure for expenditure</w:t>
      </w:r>
      <w:r>
        <w:t xml:space="preserve"> indicates an increase in expenses and therefore a decrease in the fiscal and underlying cash balances.</w:t>
      </w:r>
    </w:p>
    <w:p w:rsidR="00060F22" w:rsidRDefault="001F7D6A" w:rsidP="00977399">
      <w:pPr>
        <w:pStyle w:val="Footnotes"/>
        <w:numPr>
          <w:ilvl w:val="0"/>
          <w:numId w:val="0"/>
        </w:numPr>
        <w:ind w:left="284" w:hanging="284"/>
        <w:sectPr w:rsidR="00060F22" w:rsidSect="00957285">
          <w:headerReference w:type="first" r:id="rId18"/>
          <w:footerReference w:type="first" r:id="rId19"/>
          <w:pgSz w:w="16838" w:h="11906" w:orient="landscape"/>
          <w:pgMar w:top="1797" w:right="1361" w:bottom="1797" w:left="1474" w:header="709" w:footer="709" w:gutter="0"/>
          <w:cols w:space="708"/>
          <w:titlePg/>
          <w:docGrid w:linePitch="360"/>
        </w:sectPr>
      </w:pPr>
      <w:r>
        <w:t>-</w:t>
      </w:r>
      <w:r>
        <w:tab/>
        <w:t>Indicates nil.</w:t>
      </w:r>
    </w:p>
    <w:p w:rsidR="00977399" w:rsidRPr="00FC6579" w:rsidRDefault="00977399" w:rsidP="00AE73FD">
      <w:pPr>
        <w:pStyle w:val="Heading1"/>
        <w:spacing w:before="240" w:after="240"/>
      </w:pPr>
      <w:r w:rsidRPr="00FC6579">
        <w:lastRenderedPageBreak/>
        <w:t xml:space="preserve">Attachment </w:t>
      </w:r>
      <w:r>
        <w:t>B</w:t>
      </w:r>
      <w:r w:rsidRPr="00FC6579">
        <w:t>:</w:t>
      </w:r>
      <w:r>
        <w:t xml:space="preserve"> Save ARENA from </w:t>
      </w:r>
      <w:proofErr w:type="spellStart"/>
      <w:r>
        <w:t>Labor</w:t>
      </w:r>
      <w:proofErr w:type="spellEnd"/>
      <w:r>
        <w:t xml:space="preserve"> and Liberal cuts—financial implications</w:t>
      </w:r>
    </w:p>
    <w:p w:rsidR="00DA3B55" w:rsidRDefault="00F21865" w:rsidP="00AE73FD">
      <w:pPr>
        <w:pStyle w:val="Captionheading"/>
        <w:spacing w:before="0"/>
      </w:pPr>
      <w:r>
        <w:t xml:space="preserve">Table </w:t>
      </w:r>
      <w:r w:rsidR="00795F41">
        <w:t>B1</w:t>
      </w:r>
      <w:r w:rsidRPr="00FC6579">
        <w:t>:</w:t>
      </w:r>
      <w:r w:rsidR="00795F41">
        <w:t xml:space="preserve"> Save ARENA from Labor and Liberal cuts</w:t>
      </w:r>
      <w:r w:rsidR="006D6EDE">
        <w:t>—</w:t>
      </w:r>
      <w:r w:rsidR="00795F41">
        <w:t>Financial implications (outturn prices</w:t>
      </w:r>
      <w:proofErr w:type="gramStart"/>
      <w:r w:rsidR="00795F41">
        <w:t>)</w:t>
      </w:r>
      <w:r w:rsidR="001F7D6A" w:rsidRPr="001F7D6A">
        <w:rPr>
          <w:vertAlign w:val="superscript"/>
        </w:rPr>
        <w:t>(</w:t>
      </w:r>
      <w:proofErr w:type="gramEnd"/>
      <w:r w:rsidR="001F7D6A" w:rsidRPr="001F7D6A">
        <w:rPr>
          <w:vertAlign w:val="superscript"/>
        </w:rPr>
        <w:t>a)(b)</w:t>
      </w:r>
    </w:p>
    <w:tbl>
      <w:tblPr>
        <w:tblStyle w:val="TableGrid"/>
        <w:tblW w:w="5000" w:type="pct"/>
        <w:tblLayout w:type="fixed"/>
        <w:tblLook w:val="0680" w:firstRow="0" w:lastRow="0" w:firstColumn="1" w:lastColumn="0" w:noHBand="1" w:noVBand="1"/>
      </w:tblPr>
      <w:tblGrid>
        <w:gridCol w:w="3124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1202"/>
      </w:tblGrid>
      <w:tr w:rsidR="00795F41" w:rsidRPr="00B31810" w:rsidTr="00795F41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pct"/>
            <w:shd w:val="clear" w:color="auto" w:fill="D7DDE9"/>
          </w:tcPr>
          <w:p w:rsidR="00795F41" w:rsidRPr="00A65EA3" w:rsidRDefault="00795F41">
            <w:pPr>
              <w:spacing w:before="70" w:after="70" w:line="240" w:lineRule="auto"/>
              <w:ind w:left="57" w:right="57"/>
            </w:pPr>
            <w:r w:rsidRPr="00A65EA3">
              <w:t>($m)</w:t>
            </w:r>
          </w:p>
        </w:tc>
        <w:tc>
          <w:tcPr>
            <w:tcW w:w="432" w:type="pct"/>
            <w:shd w:val="clear" w:color="auto" w:fill="D7DDE9"/>
          </w:tcPr>
          <w:p w:rsidR="00795F41" w:rsidRPr="00C24267" w:rsidRDefault="00795F41">
            <w:pPr>
              <w:pStyle w:val="TableHeadingCentred"/>
              <w:keepNext w:val="0"/>
              <w:keepLine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432" w:type="pct"/>
            <w:shd w:val="clear" w:color="auto" w:fill="D7DDE9"/>
          </w:tcPr>
          <w:p w:rsidR="00795F41" w:rsidRPr="00C24267" w:rsidRDefault="00795F41">
            <w:pPr>
              <w:pStyle w:val="TableHeadingCentred"/>
              <w:keepNext w:val="0"/>
              <w:keepLine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432" w:type="pct"/>
            <w:shd w:val="clear" w:color="auto" w:fill="D7DDE9"/>
          </w:tcPr>
          <w:p w:rsidR="00795F41" w:rsidRPr="00C24267" w:rsidRDefault="00795F41">
            <w:pPr>
              <w:pStyle w:val="TableHeadingCentred"/>
              <w:keepNext w:val="0"/>
              <w:keepLine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432" w:type="pct"/>
            <w:shd w:val="clear" w:color="auto" w:fill="D7DDE9"/>
          </w:tcPr>
          <w:p w:rsidR="00795F41" w:rsidRPr="00C24267" w:rsidRDefault="00795F41">
            <w:pPr>
              <w:pStyle w:val="TableHeadingCentred"/>
              <w:keepNext w:val="0"/>
              <w:keepLine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432" w:type="pct"/>
            <w:shd w:val="clear" w:color="auto" w:fill="D7DDE9"/>
          </w:tcPr>
          <w:p w:rsidR="00795F41" w:rsidRPr="00AE30B5" w:rsidRDefault="00795F41">
            <w:pPr>
              <w:pStyle w:val="TableHeadingCentred"/>
              <w:keepNext w:val="0"/>
              <w:keepLine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E30B5">
              <w:rPr>
                <w:b/>
              </w:rPr>
              <w:t>Total to 2019–20</w:t>
            </w:r>
          </w:p>
        </w:tc>
        <w:tc>
          <w:tcPr>
            <w:tcW w:w="432" w:type="pct"/>
            <w:shd w:val="clear" w:color="auto" w:fill="D7DDE9"/>
          </w:tcPr>
          <w:p w:rsidR="00795F41" w:rsidRPr="00C24267" w:rsidRDefault="00795F41">
            <w:pPr>
              <w:pStyle w:val="TableHeadingCentred"/>
              <w:keepNext w:val="0"/>
              <w:keepLine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432" w:type="pct"/>
            <w:shd w:val="clear" w:color="auto" w:fill="D7DDE9"/>
          </w:tcPr>
          <w:p w:rsidR="00795F41" w:rsidRPr="00C24267" w:rsidRDefault="00795F41">
            <w:pPr>
              <w:pStyle w:val="TableHeadingCentred"/>
              <w:keepNext w:val="0"/>
              <w:keepLine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432" w:type="pct"/>
            <w:shd w:val="clear" w:color="auto" w:fill="D7DDE9"/>
          </w:tcPr>
          <w:p w:rsidR="00795F41" w:rsidRPr="00C24267" w:rsidRDefault="00795F41">
            <w:pPr>
              <w:pStyle w:val="TableHeadingCentred"/>
              <w:keepNext w:val="0"/>
              <w:keepLine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429" w:type="pct"/>
            <w:shd w:val="clear" w:color="auto" w:fill="D7DDE9"/>
          </w:tcPr>
          <w:p w:rsidR="00795F41" w:rsidRPr="00AE30B5" w:rsidRDefault="00795F41">
            <w:pPr>
              <w:pStyle w:val="TableHeadingCentred"/>
              <w:keepNext w:val="0"/>
              <w:keepLine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E30B5">
              <w:rPr>
                <w:b/>
              </w:rPr>
              <w:t>Total to 2026–27</w:t>
            </w:r>
          </w:p>
        </w:tc>
      </w:tr>
      <w:tr w:rsidR="004D1A35" w:rsidTr="00DA7D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shd w:val="clear" w:color="auto" w:fill="E9ECF3"/>
          </w:tcPr>
          <w:p w:rsidR="004D1A35" w:rsidRPr="00DA7D46" w:rsidRDefault="004D1A35" w:rsidP="00AE73FD">
            <w:pPr>
              <w:spacing w:before="70" w:after="70" w:line="240" w:lineRule="auto"/>
              <w:ind w:left="57" w:right="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Impact on fiscal and underlying cash balances</w:t>
            </w:r>
          </w:p>
        </w:tc>
      </w:tr>
      <w:tr w:rsidR="00795F41" w:rsidTr="00795F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pct"/>
          </w:tcPr>
          <w:p w:rsidR="00795F41" w:rsidRPr="00A65EA3" w:rsidRDefault="00795F41" w:rsidP="00AE73FD">
            <w:pPr>
              <w:spacing w:before="70" w:after="70" w:line="240" w:lineRule="auto"/>
              <w:ind w:left="57" w:right="57"/>
            </w:pPr>
            <w:r>
              <w:t>Administered</w:t>
            </w:r>
          </w:p>
        </w:tc>
        <w:tc>
          <w:tcPr>
            <w:tcW w:w="432" w:type="pct"/>
            <w:vAlign w:val="bottom"/>
          </w:tcPr>
          <w:p w:rsid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32" w:type="pct"/>
            <w:vAlign w:val="bottom"/>
          </w:tcPr>
          <w:p w:rsidR="00795F41" w:rsidRPr="00795F41" w:rsidRDefault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-372.9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795F41">
              <w:rPr>
                <w:i/>
                <w:color w:val="000000"/>
              </w:rPr>
              <w:t>-255.7</w:t>
            </w:r>
          </w:p>
        </w:tc>
        <w:tc>
          <w:tcPr>
            <w:tcW w:w="432" w:type="pct"/>
            <w:vAlign w:val="bottom"/>
          </w:tcPr>
          <w:p w:rsidR="00795F41" w:rsidRPr="00795F41" w:rsidRDefault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-384.1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795F41">
              <w:rPr>
                <w:b/>
                <w:bCs/>
                <w:i/>
                <w:color w:val="000000"/>
              </w:rPr>
              <w:t>-1,012.7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795F41">
              <w:rPr>
                <w:i/>
                <w:color w:val="000000"/>
              </w:rPr>
              <w:t>-219.9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795F41">
              <w:rPr>
                <w:i/>
                <w:color w:val="000000"/>
              </w:rPr>
              <w:t>-159.7</w:t>
            </w:r>
          </w:p>
        </w:tc>
        <w:tc>
          <w:tcPr>
            <w:tcW w:w="432" w:type="pct"/>
            <w:vAlign w:val="bottom"/>
          </w:tcPr>
          <w:p w:rsidR="00795F41" w:rsidRPr="00795F41" w:rsidRDefault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-102.6</w:t>
            </w:r>
          </w:p>
        </w:tc>
        <w:tc>
          <w:tcPr>
            <w:tcW w:w="429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795F41">
              <w:rPr>
                <w:b/>
                <w:bCs/>
                <w:i/>
                <w:color w:val="000000"/>
              </w:rPr>
              <w:t>-1,494.9</w:t>
            </w:r>
          </w:p>
        </w:tc>
      </w:tr>
      <w:tr w:rsidR="00795F41" w:rsidTr="00795F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pct"/>
          </w:tcPr>
          <w:p w:rsidR="00795F41" w:rsidRPr="00A65EA3" w:rsidRDefault="00795F41" w:rsidP="00AE73FD">
            <w:pPr>
              <w:spacing w:before="70" w:after="70" w:line="240" w:lineRule="auto"/>
              <w:ind w:left="57" w:right="57"/>
            </w:pPr>
            <w:r>
              <w:t>Departmental</w:t>
            </w:r>
          </w:p>
        </w:tc>
        <w:tc>
          <w:tcPr>
            <w:tcW w:w="432" w:type="pct"/>
            <w:vAlign w:val="bottom"/>
          </w:tcPr>
          <w:p w:rsid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795F41">
              <w:rPr>
                <w:i/>
                <w:color w:val="000000"/>
              </w:rPr>
              <w:t>-6.6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795F41">
              <w:rPr>
                <w:i/>
                <w:color w:val="000000"/>
              </w:rPr>
              <w:t>-2.8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795F41">
              <w:rPr>
                <w:i/>
                <w:color w:val="000000"/>
              </w:rPr>
              <w:t>-7.1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795F41">
              <w:rPr>
                <w:b/>
                <w:bCs/>
                <w:i/>
                <w:color w:val="000000"/>
              </w:rPr>
              <w:t>-16.6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795F41">
              <w:rPr>
                <w:i/>
                <w:color w:val="000000"/>
              </w:rPr>
              <w:t>-2.4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795F41">
              <w:rPr>
                <w:i/>
                <w:color w:val="000000"/>
              </w:rPr>
              <w:t>-0.6</w:t>
            </w:r>
          </w:p>
        </w:tc>
        <w:tc>
          <w:tcPr>
            <w:tcW w:w="432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795F41">
              <w:rPr>
                <w:i/>
                <w:color w:val="000000"/>
              </w:rPr>
              <w:t>-2.9</w:t>
            </w:r>
          </w:p>
        </w:tc>
        <w:tc>
          <w:tcPr>
            <w:tcW w:w="429" w:type="pct"/>
            <w:vAlign w:val="bottom"/>
          </w:tcPr>
          <w:p w:rsidR="00795F41" w:rsidRP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 w:rsidRPr="00795F41">
              <w:rPr>
                <w:b/>
                <w:bCs/>
                <w:i/>
                <w:color w:val="000000"/>
              </w:rPr>
              <w:t>-22.4</w:t>
            </w:r>
          </w:p>
        </w:tc>
      </w:tr>
      <w:tr w:rsidR="00795F41" w:rsidRPr="00AB55AE" w:rsidTr="00795F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pct"/>
            <w:shd w:val="clear" w:color="auto" w:fill="D7DDE9"/>
          </w:tcPr>
          <w:p w:rsidR="00795F41" w:rsidRPr="00AB55AE" w:rsidRDefault="00795F41">
            <w:pPr>
              <w:spacing w:before="70" w:after="70" w:line="240" w:lineRule="auto"/>
              <w:ind w:left="57" w:right="5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32" w:type="pct"/>
            <w:shd w:val="clear" w:color="auto" w:fill="D7DDE9"/>
            <w:vAlign w:val="bottom"/>
          </w:tcPr>
          <w:p w:rsidR="00795F41" w:rsidRDefault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432" w:type="pct"/>
            <w:shd w:val="clear" w:color="auto" w:fill="D7DDE9"/>
            <w:vAlign w:val="bottom"/>
          </w:tcPr>
          <w:p w:rsid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-379.5</w:t>
            </w:r>
          </w:p>
        </w:tc>
        <w:tc>
          <w:tcPr>
            <w:tcW w:w="432" w:type="pct"/>
            <w:shd w:val="clear" w:color="auto" w:fill="D7DDE9"/>
            <w:vAlign w:val="bottom"/>
          </w:tcPr>
          <w:p w:rsidR="00795F41" w:rsidRDefault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-258.5</w:t>
            </w:r>
          </w:p>
        </w:tc>
        <w:tc>
          <w:tcPr>
            <w:tcW w:w="432" w:type="pct"/>
            <w:shd w:val="clear" w:color="auto" w:fill="D7DDE9"/>
            <w:vAlign w:val="bottom"/>
          </w:tcPr>
          <w:p w:rsid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-391.</w:t>
            </w:r>
            <w:r w:rsidR="007F1387">
              <w:rPr>
                <w:b/>
                <w:bCs/>
                <w:color w:val="000000"/>
              </w:rPr>
              <w:t>2</w:t>
            </w:r>
          </w:p>
        </w:tc>
        <w:tc>
          <w:tcPr>
            <w:tcW w:w="432" w:type="pct"/>
            <w:shd w:val="clear" w:color="auto" w:fill="D7DDE9"/>
            <w:vAlign w:val="bottom"/>
          </w:tcPr>
          <w:p w:rsid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-1,029.3</w:t>
            </w:r>
          </w:p>
        </w:tc>
        <w:tc>
          <w:tcPr>
            <w:tcW w:w="432" w:type="pct"/>
            <w:shd w:val="clear" w:color="auto" w:fill="D7DDE9"/>
            <w:vAlign w:val="bottom"/>
          </w:tcPr>
          <w:p w:rsid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-222.</w:t>
            </w:r>
            <w:r w:rsidR="007F1387">
              <w:rPr>
                <w:b/>
                <w:bCs/>
                <w:color w:val="000000"/>
              </w:rPr>
              <w:t>3</w:t>
            </w:r>
          </w:p>
        </w:tc>
        <w:tc>
          <w:tcPr>
            <w:tcW w:w="432" w:type="pct"/>
            <w:shd w:val="clear" w:color="auto" w:fill="D7DDE9"/>
            <w:vAlign w:val="bottom"/>
          </w:tcPr>
          <w:p w:rsidR="00795F41" w:rsidRDefault="00795F41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-160.</w:t>
            </w:r>
            <w:r w:rsidR="007F1387">
              <w:rPr>
                <w:b/>
                <w:bCs/>
                <w:color w:val="000000"/>
              </w:rPr>
              <w:t>3</w:t>
            </w:r>
          </w:p>
        </w:tc>
        <w:tc>
          <w:tcPr>
            <w:tcW w:w="432" w:type="pct"/>
            <w:shd w:val="clear" w:color="auto" w:fill="D7DDE9"/>
            <w:vAlign w:val="bottom"/>
          </w:tcPr>
          <w:p w:rsidR="00795F41" w:rsidRDefault="00795F41" w:rsidP="00C23AA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-105.5</w:t>
            </w:r>
          </w:p>
        </w:tc>
        <w:tc>
          <w:tcPr>
            <w:tcW w:w="429" w:type="pct"/>
            <w:shd w:val="clear" w:color="auto" w:fill="D7DDE9"/>
            <w:vAlign w:val="bottom"/>
          </w:tcPr>
          <w:p w:rsidR="00795F41" w:rsidRDefault="007F1387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-1,517.3</w:t>
            </w:r>
          </w:p>
        </w:tc>
      </w:tr>
    </w:tbl>
    <w:p w:rsidR="00795F41" w:rsidRPr="00795F41" w:rsidRDefault="00795F41" w:rsidP="00795F41">
      <w:pPr>
        <w:pStyle w:val="Footnotes"/>
        <w:numPr>
          <w:ilvl w:val="0"/>
          <w:numId w:val="21"/>
        </w:numPr>
        <w:ind w:left="284" w:hanging="284"/>
        <w:rPr>
          <w:rFonts w:ascii="Calibri" w:hAnsi="Calibri"/>
        </w:rPr>
      </w:pPr>
      <w:r w:rsidRPr="00795F41">
        <w:t xml:space="preserve">A positive </w:t>
      </w:r>
      <w:r w:rsidR="00DA7D46">
        <w:t>number indicates an increase in revenue or a decrease in expenses or net capital investment in accrual and cash terms. A negative number indicates a decrease in revenue or an increase in expenses or net capital investment in accrual or cash terms.</w:t>
      </w:r>
    </w:p>
    <w:p w:rsidR="001F7D6A" w:rsidRDefault="001F7D6A" w:rsidP="001F7D6A">
      <w:pPr>
        <w:pStyle w:val="Footnotes"/>
      </w:pPr>
      <w:r>
        <w:t>Figures may not sum to totals due to rounding.</w:t>
      </w:r>
    </w:p>
    <w:p w:rsidR="001F7D6A" w:rsidRPr="00FC6579" w:rsidRDefault="001F7D6A" w:rsidP="001F7D6A">
      <w:pPr>
        <w:pStyle w:val="Footnotes"/>
        <w:numPr>
          <w:ilvl w:val="0"/>
          <w:numId w:val="0"/>
        </w:numPr>
        <w:ind w:left="284" w:hanging="284"/>
      </w:pPr>
      <w:r>
        <w:t>-</w:t>
      </w:r>
      <w:r>
        <w:tab/>
        <w:t>Indicates nil.</w:t>
      </w:r>
    </w:p>
    <w:sectPr w:rsidR="001F7D6A" w:rsidRPr="00FC6579" w:rsidSect="00CA12A0">
      <w:headerReference w:type="first" r:id="rId20"/>
      <w:footerReference w:type="first" r:id="rId21"/>
      <w:pgSz w:w="16839" w:h="11907" w:orient="landscape" w:code="9"/>
      <w:pgMar w:top="1797" w:right="1361" w:bottom="179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BC" w:rsidRDefault="003179BC" w:rsidP="008F588A">
      <w:pPr>
        <w:spacing w:line="240" w:lineRule="auto"/>
      </w:pPr>
      <w:r>
        <w:separator/>
      </w:r>
    </w:p>
    <w:p w:rsidR="003179BC" w:rsidRDefault="003179BC"/>
  </w:endnote>
  <w:endnote w:type="continuationSeparator" w:id="0">
    <w:p w:rsidR="003179BC" w:rsidRDefault="003179BC" w:rsidP="008F588A">
      <w:pPr>
        <w:spacing w:line="240" w:lineRule="auto"/>
      </w:pPr>
      <w:r>
        <w:continuationSeparator/>
      </w:r>
    </w:p>
    <w:p w:rsidR="003179BC" w:rsidRDefault="00317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Pr="00C24267" w:rsidRDefault="003179B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A93653">
      <w:rPr>
        <w:noProof/>
      </w:rPr>
      <w:t>3</w:t>
    </w:r>
    <w:r w:rsidRPr="00C24267">
      <w:fldChar w:fldCharType="end"/>
    </w:r>
    <w:r w:rsidRPr="00C24267">
      <w:t xml:space="preserve"> of </w:t>
    </w:r>
    <w:r w:rsidR="00A93653">
      <w:fldChar w:fldCharType="begin"/>
    </w:r>
    <w:r w:rsidR="00A93653">
      <w:instrText xml:space="preserve"> NUMPAGES  \* Arabic  \* MERGEFORMAT </w:instrText>
    </w:r>
    <w:r w:rsidR="00A93653">
      <w:fldChar w:fldCharType="separate"/>
    </w:r>
    <w:r w:rsidR="00A93653">
      <w:rPr>
        <w:noProof/>
      </w:rPr>
      <w:t>6</w:t>
    </w:r>
    <w:r w:rsidR="00A9365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Pr="00C24267" w:rsidRDefault="003179BC" w:rsidP="00C24267">
    <w:pPr>
      <w:pStyle w:val="Letterfooter"/>
    </w:pPr>
    <w:r w:rsidRPr="00C24267">
      <w:t>Parliamentary Budget Office   PO Box 6010   Parliament House   Canberra ACT 2600</w:t>
    </w:r>
  </w:p>
  <w:p w:rsidR="003179BC" w:rsidRPr="00C24267" w:rsidRDefault="003179BC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Pr="00C24267" w:rsidRDefault="003179B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A93653">
      <w:rPr>
        <w:noProof/>
      </w:rPr>
      <w:t>2</w:t>
    </w:r>
    <w:r w:rsidRPr="00C24267">
      <w:fldChar w:fldCharType="end"/>
    </w:r>
    <w:r w:rsidRPr="00C24267">
      <w:t xml:space="preserve"> of </w:t>
    </w:r>
    <w:r w:rsidR="00A93653">
      <w:fldChar w:fldCharType="begin"/>
    </w:r>
    <w:r w:rsidR="00A93653">
      <w:instrText xml:space="preserve"> NUMPAGES  \* Arabic  \* MERGEFORMAT </w:instrText>
    </w:r>
    <w:r w:rsidR="00A93653">
      <w:fldChar w:fldCharType="separate"/>
    </w:r>
    <w:r w:rsidR="00A93653">
      <w:rPr>
        <w:noProof/>
      </w:rPr>
      <w:t>6</w:t>
    </w:r>
    <w:r w:rsidR="00A93653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Pr="00C24267" w:rsidRDefault="003179B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A93653">
      <w:rPr>
        <w:noProof/>
      </w:rPr>
      <w:t>5</w:t>
    </w:r>
    <w:r w:rsidRPr="00C24267">
      <w:fldChar w:fldCharType="end"/>
    </w:r>
    <w:r w:rsidRPr="00C24267">
      <w:t xml:space="preserve"> of </w:t>
    </w:r>
    <w:r w:rsidR="00A93653">
      <w:fldChar w:fldCharType="begin"/>
    </w:r>
    <w:r w:rsidR="00A93653">
      <w:instrText xml:space="preserve"> NUMPAGES  \* Arabic  \* MERGEFORMAT </w:instrText>
    </w:r>
    <w:r w:rsidR="00A93653">
      <w:fldChar w:fldCharType="separate"/>
    </w:r>
    <w:r w:rsidR="00A93653">
      <w:rPr>
        <w:noProof/>
      </w:rPr>
      <w:t>6</w:t>
    </w:r>
    <w:r w:rsidR="00A93653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Pr="00C24267" w:rsidRDefault="003179B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A93653">
      <w:rPr>
        <w:noProof/>
      </w:rPr>
      <w:t>6</w:t>
    </w:r>
    <w:r w:rsidRPr="00C24267">
      <w:fldChar w:fldCharType="end"/>
    </w:r>
    <w:r w:rsidRPr="00C24267">
      <w:t xml:space="preserve"> of </w:t>
    </w:r>
    <w:r w:rsidR="00A93653">
      <w:fldChar w:fldCharType="begin"/>
    </w:r>
    <w:r w:rsidR="00A93653">
      <w:instrText xml:space="preserve"> NUMPAGES  \* Arabic  \* MERGEFORMAT </w:instrText>
    </w:r>
    <w:r w:rsidR="00A93653">
      <w:fldChar w:fldCharType="separate"/>
    </w:r>
    <w:r w:rsidR="00A93653">
      <w:rPr>
        <w:noProof/>
      </w:rPr>
      <w:t>6</w:t>
    </w:r>
    <w:r w:rsidR="00A936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BC" w:rsidRDefault="003179BC" w:rsidP="008F588A">
      <w:pPr>
        <w:spacing w:line="240" w:lineRule="auto"/>
      </w:pPr>
      <w:r>
        <w:separator/>
      </w:r>
    </w:p>
    <w:p w:rsidR="003179BC" w:rsidRDefault="003179BC"/>
  </w:footnote>
  <w:footnote w:type="continuationSeparator" w:id="0">
    <w:p w:rsidR="003179BC" w:rsidRDefault="003179BC" w:rsidP="008F588A">
      <w:pPr>
        <w:spacing w:line="240" w:lineRule="auto"/>
      </w:pPr>
      <w:r>
        <w:continuationSeparator/>
      </w:r>
    </w:p>
    <w:p w:rsidR="003179BC" w:rsidRDefault="003179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Pr="00AE73FD" w:rsidRDefault="003179BC" w:rsidP="00C17112">
    <w:pPr>
      <w:pStyle w:val="Header"/>
      <w:spacing w:before="0" w:after="0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Default="003179BC" w:rsidP="00CB40E1">
    <w:pPr>
      <w:pStyle w:val="Header"/>
    </w:pPr>
    <w:r>
      <w:rPr>
        <w:noProof/>
        <w:lang w:eastAsia="en-AU"/>
      </w:rPr>
      <w:drawing>
        <wp:inline distT="0" distB="0" distL="0" distR="0" wp14:anchorId="27ED859E" wp14:editId="5E2BC19C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79BC" w:rsidRPr="00DA1C8A" w:rsidRDefault="003179BC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Pr="00C17112" w:rsidRDefault="003179BC" w:rsidP="00C17112">
    <w:pPr>
      <w:pStyle w:val="Header"/>
    </w:pPr>
    <w:r>
      <w:rPr>
        <w:noProof/>
        <w:lang w:eastAsia="en-AU"/>
      </w:rPr>
      <w:drawing>
        <wp:inline distT="0" distB="0" distL="0" distR="0" wp14:anchorId="2B7381D7" wp14:editId="0948E98E">
          <wp:extent cx="2696845" cy="572135"/>
          <wp:effectExtent l="0" t="0" r="825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Pr="00AE73FD" w:rsidRDefault="003179BC" w:rsidP="00C17112">
    <w:pPr>
      <w:pStyle w:val="Header"/>
      <w:spacing w:before="0" w:after="0"/>
      <w:jc w:val="right"/>
      <w:rPr>
        <w:b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BC" w:rsidRPr="00AE73FD" w:rsidRDefault="003179BC" w:rsidP="00C17112">
    <w:pPr>
      <w:pStyle w:val="Header"/>
      <w:spacing w:before="0" w:after="0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C5E12A0"/>
    <w:multiLevelType w:val="hybridMultilevel"/>
    <w:tmpl w:val="71E26D08"/>
    <w:lvl w:ilvl="0" w:tplc="003A2CD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03A2C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7ABA"/>
    <w:multiLevelType w:val="hybridMultilevel"/>
    <w:tmpl w:val="0004F682"/>
    <w:lvl w:ilvl="0" w:tplc="F54E42C8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abstractNum w:abstractNumId="9">
    <w:nsid w:val="393E46D7"/>
    <w:multiLevelType w:val="hybridMultilevel"/>
    <w:tmpl w:val="9CA4EC32"/>
    <w:lvl w:ilvl="0" w:tplc="CBDC45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1">
    <w:nsid w:val="745C3AB2"/>
    <w:multiLevelType w:val="hybridMultilevel"/>
    <w:tmpl w:val="5EB0E89C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EA63D9"/>
    <w:multiLevelType w:val="hybridMultilevel"/>
    <w:tmpl w:val="7ADA6986"/>
    <w:lvl w:ilvl="0" w:tplc="7F6A985C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1"/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</w:num>
  <w:num w:numId="22">
    <w:abstractNumId w:val="9"/>
  </w:num>
  <w:num w:numId="2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86"/>
    <w:rsid w:val="00002D5D"/>
    <w:rsid w:val="00015FB2"/>
    <w:rsid w:val="00026C0E"/>
    <w:rsid w:val="00026DA7"/>
    <w:rsid w:val="00040DCE"/>
    <w:rsid w:val="00060F22"/>
    <w:rsid w:val="00096F3A"/>
    <w:rsid w:val="000C1A75"/>
    <w:rsid w:val="001278D0"/>
    <w:rsid w:val="0014239B"/>
    <w:rsid w:val="00173586"/>
    <w:rsid w:val="001A02D1"/>
    <w:rsid w:val="001F7D6A"/>
    <w:rsid w:val="00220BE5"/>
    <w:rsid w:val="002422A3"/>
    <w:rsid w:val="00256FAE"/>
    <w:rsid w:val="002D656A"/>
    <w:rsid w:val="002E260D"/>
    <w:rsid w:val="00304DF6"/>
    <w:rsid w:val="00315E34"/>
    <w:rsid w:val="003179BC"/>
    <w:rsid w:val="00326DE2"/>
    <w:rsid w:val="003B474B"/>
    <w:rsid w:val="003D7744"/>
    <w:rsid w:val="003E4F5F"/>
    <w:rsid w:val="003F73CA"/>
    <w:rsid w:val="00410A2C"/>
    <w:rsid w:val="00440E32"/>
    <w:rsid w:val="00453705"/>
    <w:rsid w:val="00461597"/>
    <w:rsid w:val="00485374"/>
    <w:rsid w:val="004C23E1"/>
    <w:rsid w:val="004C283B"/>
    <w:rsid w:val="004D13ED"/>
    <w:rsid w:val="004D1A35"/>
    <w:rsid w:val="004D5525"/>
    <w:rsid w:val="005035DA"/>
    <w:rsid w:val="00507897"/>
    <w:rsid w:val="00515A85"/>
    <w:rsid w:val="00545F24"/>
    <w:rsid w:val="0055581F"/>
    <w:rsid w:val="0056229A"/>
    <w:rsid w:val="0056295A"/>
    <w:rsid w:val="00570154"/>
    <w:rsid w:val="00570B5A"/>
    <w:rsid w:val="00587422"/>
    <w:rsid w:val="005B1A4A"/>
    <w:rsid w:val="005B7B75"/>
    <w:rsid w:val="005C6967"/>
    <w:rsid w:val="005E3562"/>
    <w:rsid w:val="005F7DE0"/>
    <w:rsid w:val="00640346"/>
    <w:rsid w:val="006403D8"/>
    <w:rsid w:val="0064619A"/>
    <w:rsid w:val="00660385"/>
    <w:rsid w:val="00662E65"/>
    <w:rsid w:val="0066665A"/>
    <w:rsid w:val="00690005"/>
    <w:rsid w:val="00692DD8"/>
    <w:rsid w:val="006D1490"/>
    <w:rsid w:val="006D6EDE"/>
    <w:rsid w:val="006E5BE0"/>
    <w:rsid w:val="006F0CE9"/>
    <w:rsid w:val="007202A8"/>
    <w:rsid w:val="007229A9"/>
    <w:rsid w:val="00765314"/>
    <w:rsid w:val="00795F41"/>
    <w:rsid w:val="007B029A"/>
    <w:rsid w:val="007D33AA"/>
    <w:rsid w:val="007D3577"/>
    <w:rsid w:val="007F1387"/>
    <w:rsid w:val="007F7BCF"/>
    <w:rsid w:val="008030EC"/>
    <w:rsid w:val="00811D6D"/>
    <w:rsid w:val="00817E8E"/>
    <w:rsid w:val="00841C3A"/>
    <w:rsid w:val="00844776"/>
    <w:rsid w:val="008850D9"/>
    <w:rsid w:val="008908AF"/>
    <w:rsid w:val="008A4578"/>
    <w:rsid w:val="008C03C3"/>
    <w:rsid w:val="008D3909"/>
    <w:rsid w:val="008D6ECA"/>
    <w:rsid w:val="008F588A"/>
    <w:rsid w:val="00902D2D"/>
    <w:rsid w:val="00915804"/>
    <w:rsid w:val="00957285"/>
    <w:rsid w:val="009573AF"/>
    <w:rsid w:val="00972F5A"/>
    <w:rsid w:val="00977399"/>
    <w:rsid w:val="00977D7B"/>
    <w:rsid w:val="009963ED"/>
    <w:rsid w:val="009D4063"/>
    <w:rsid w:val="00A41BD3"/>
    <w:rsid w:val="00A449C2"/>
    <w:rsid w:val="00A65EA3"/>
    <w:rsid w:val="00A7322F"/>
    <w:rsid w:val="00A93653"/>
    <w:rsid w:val="00AA3D6F"/>
    <w:rsid w:val="00AA4C47"/>
    <w:rsid w:val="00AB55AE"/>
    <w:rsid w:val="00AB6F7D"/>
    <w:rsid w:val="00AC7878"/>
    <w:rsid w:val="00AD493E"/>
    <w:rsid w:val="00AD5692"/>
    <w:rsid w:val="00AD663C"/>
    <w:rsid w:val="00AE30B5"/>
    <w:rsid w:val="00AE5755"/>
    <w:rsid w:val="00AE73FD"/>
    <w:rsid w:val="00B06055"/>
    <w:rsid w:val="00B44D8A"/>
    <w:rsid w:val="00B73AC8"/>
    <w:rsid w:val="00B747A7"/>
    <w:rsid w:val="00BA2BBF"/>
    <w:rsid w:val="00BC559C"/>
    <w:rsid w:val="00C17112"/>
    <w:rsid w:val="00C23AA5"/>
    <w:rsid w:val="00C24267"/>
    <w:rsid w:val="00CA12A0"/>
    <w:rsid w:val="00CA5D42"/>
    <w:rsid w:val="00CB40E1"/>
    <w:rsid w:val="00CF6DB6"/>
    <w:rsid w:val="00CF7D9A"/>
    <w:rsid w:val="00D134CA"/>
    <w:rsid w:val="00D20CAD"/>
    <w:rsid w:val="00D46858"/>
    <w:rsid w:val="00D52D5F"/>
    <w:rsid w:val="00D747D2"/>
    <w:rsid w:val="00D74E25"/>
    <w:rsid w:val="00D949A3"/>
    <w:rsid w:val="00DA1506"/>
    <w:rsid w:val="00DA1C8A"/>
    <w:rsid w:val="00DA3B55"/>
    <w:rsid w:val="00DA7D46"/>
    <w:rsid w:val="00DB44F0"/>
    <w:rsid w:val="00DD109E"/>
    <w:rsid w:val="00DD3E18"/>
    <w:rsid w:val="00E12103"/>
    <w:rsid w:val="00E15AAE"/>
    <w:rsid w:val="00E16D42"/>
    <w:rsid w:val="00E21184"/>
    <w:rsid w:val="00E40B8B"/>
    <w:rsid w:val="00E5742E"/>
    <w:rsid w:val="00E63810"/>
    <w:rsid w:val="00EA265F"/>
    <w:rsid w:val="00EA5685"/>
    <w:rsid w:val="00ED43FF"/>
    <w:rsid w:val="00EE6600"/>
    <w:rsid w:val="00EF1D6A"/>
    <w:rsid w:val="00EF207B"/>
    <w:rsid w:val="00EF2E51"/>
    <w:rsid w:val="00F21865"/>
    <w:rsid w:val="00F31E24"/>
    <w:rsid w:val="00F4535C"/>
    <w:rsid w:val="00F52474"/>
    <w:rsid w:val="00F5529D"/>
    <w:rsid w:val="00F5669E"/>
    <w:rsid w:val="00F75D33"/>
    <w:rsid w:val="00F954CF"/>
    <w:rsid w:val="00F97DFF"/>
    <w:rsid w:val="00FC6579"/>
    <w:rsid w:val="00FD3FB3"/>
    <w:rsid w:val="00FE105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omlaw.gov.au/Details/C2014A00083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yperlink" Target="https://www.comlaw.gov.au/Details/C2012C00629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6C9E90-238A-4657-8BF5-C6EC73A2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0</TotalTime>
  <Pages>6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GRN012 - Save ARENA from Labor and Liberal cuts - 25 June 2016</vt:lpstr>
    </vt:vector>
  </TitlesOfParts>
  <Company>Parliament of Australia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GRN012 - Save ARENA from Labor and Liberal cuts - 25 June 2016</dc:title>
  <dc:creator>Parliamentary Budget Office</dc:creator>
  <cp:lastModifiedBy>Milligan, Louise (PBO)</cp:lastModifiedBy>
  <cp:revision>4</cp:revision>
  <cp:lastPrinted>2016-06-25T01:26:00Z</cp:lastPrinted>
  <dcterms:created xsi:type="dcterms:W3CDTF">2016-06-26T03:06:00Z</dcterms:created>
  <dcterms:modified xsi:type="dcterms:W3CDTF">2016-06-27T01:42:00Z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