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F57D93"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 xml:space="preserve">Senator Richard Di Natale </w:t>
      </w:r>
    </w:p>
    <w:p w:rsidR="00F57D93" w:rsidRDefault="00F57D93" w:rsidP="00C17112">
      <w:pPr>
        <w:spacing w:before="0" w:after="0" w:line="240" w:lineRule="auto"/>
        <w:rPr>
          <w:rFonts w:ascii="Times New Roman" w:hAnsi="Times New Roman" w:cs="Times New Roman"/>
          <w:sz w:val="24"/>
          <w:szCs w:val="24"/>
        </w:rPr>
      </w:pPr>
      <w:r w:rsidRPr="00F57D93">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F57D93" w:rsidRPr="00F57D93">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657D97" w:rsidRPr="00657D97">
        <w:rPr>
          <w:i/>
        </w:rPr>
        <w:t xml:space="preserve">Restoring </w:t>
      </w:r>
      <w:r w:rsidR="00CA75A3">
        <w:rPr>
          <w:i/>
        </w:rPr>
        <w:t>T</w:t>
      </w:r>
      <w:r w:rsidR="000A5380">
        <w:rPr>
          <w:i/>
        </w:rPr>
        <w:t xml:space="preserve">rust in </w:t>
      </w:r>
      <w:r w:rsidR="00CA75A3">
        <w:rPr>
          <w:i/>
        </w:rPr>
        <w:t>T</w:t>
      </w:r>
      <w:r w:rsidR="00657D97" w:rsidRPr="00657D97">
        <w:rPr>
          <w:i/>
        </w:rPr>
        <w:t>rusts</w:t>
      </w:r>
      <w:r w:rsidRPr="00002D5D">
        <w:t xml:space="preserve"> (letter of </w:t>
      </w:r>
      <w:r w:rsidR="00657D97">
        <w:t>23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421512" w:rsidP="00421512">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24 </w:t>
      </w:r>
      <w:bookmarkStart w:id="0" w:name="_GoBack"/>
      <w:bookmarkEnd w:id="0"/>
      <w:r w:rsidR="00F57D93">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943"/>
        <w:gridCol w:w="5585"/>
      </w:tblGrid>
      <w:tr w:rsidR="004D5525" w:rsidTr="00750B4B">
        <w:trPr>
          <w:cnfStyle w:val="100000000000" w:firstRow="1" w:lastRow="0" w:firstColumn="0" w:lastColumn="0" w:oddVBand="0" w:evenVBand="0" w:oddHBand="0" w:evenHBand="0" w:firstRowFirstColumn="0" w:firstRowLastColumn="0" w:lastRowFirstColumn="0" w:lastRowLastColumn="0"/>
        </w:trPr>
        <w:tc>
          <w:tcPr>
            <w:tcW w:w="2943" w:type="dxa"/>
          </w:tcPr>
          <w:p w:rsidR="004D5525" w:rsidRDefault="004D5525" w:rsidP="004D5525">
            <w:pPr>
              <w:pStyle w:val="BodyText"/>
            </w:pPr>
            <w:r>
              <w:t>Name of proposal:</w:t>
            </w:r>
          </w:p>
        </w:tc>
        <w:tc>
          <w:tcPr>
            <w:tcW w:w="5585" w:type="dxa"/>
          </w:tcPr>
          <w:p w:rsidR="004D5525" w:rsidRDefault="000A5380" w:rsidP="00CA75A3">
            <w:pPr>
              <w:pStyle w:val="BodyText"/>
            </w:pPr>
            <w:r>
              <w:t xml:space="preserve">Restoring </w:t>
            </w:r>
            <w:r w:rsidR="00CA75A3">
              <w:t>T</w:t>
            </w:r>
            <w:r>
              <w:t xml:space="preserve">rust in </w:t>
            </w:r>
            <w:r w:rsidR="00CA75A3">
              <w:t>T</w:t>
            </w:r>
            <w:r w:rsidR="00F93F34" w:rsidRPr="00F93F34">
              <w:t xml:space="preserve">rusts </w:t>
            </w:r>
          </w:p>
        </w:tc>
      </w:tr>
      <w:tr w:rsidR="004D5525" w:rsidTr="00750B4B">
        <w:tc>
          <w:tcPr>
            <w:tcW w:w="2943" w:type="dxa"/>
          </w:tcPr>
          <w:p w:rsidR="004D5525" w:rsidRDefault="004D5525" w:rsidP="004D5525">
            <w:pPr>
              <w:pStyle w:val="BodyText"/>
            </w:pPr>
            <w:r>
              <w:t>Summary of proposal:</w:t>
            </w:r>
          </w:p>
        </w:tc>
        <w:tc>
          <w:tcPr>
            <w:tcW w:w="5585" w:type="dxa"/>
          </w:tcPr>
          <w:p w:rsidR="004D5525" w:rsidRPr="00F93F34" w:rsidRDefault="004D5525" w:rsidP="004D5525">
            <w:r w:rsidRPr="00F93F34">
              <w:t xml:space="preserve">The proposal would </w:t>
            </w:r>
            <w:r w:rsidR="00F93F34" w:rsidRPr="00F93F34">
              <w:t xml:space="preserve">reform the taxation treatment of </w:t>
            </w:r>
            <w:r w:rsidR="00F93F34">
              <w:t xml:space="preserve">discretionary </w:t>
            </w:r>
            <w:r w:rsidR="00F93F34" w:rsidRPr="00F93F34">
              <w:t xml:space="preserve">trusts (except trusts used for farming businesses) so that they are taxed as companies. </w:t>
            </w:r>
          </w:p>
          <w:p w:rsidR="004D5525" w:rsidRDefault="004D5525" w:rsidP="004D5525">
            <w:pPr>
              <w:pStyle w:val="BodyText"/>
            </w:pPr>
            <w:r w:rsidRPr="00F93F34">
              <w:t xml:space="preserve">The proposal would have effect from </w:t>
            </w:r>
            <w:r w:rsidR="00F93F34" w:rsidRPr="00F93F34">
              <w:t>1 September 2016</w:t>
            </w:r>
            <w:r w:rsidRPr="00F93F34">
              <w:t>.</w:t>
            </w:r>
          </w:p>
        </w:tc>
      </w:tr>
      <w:tr w:rsidR="004D5525" w:rsidTr="00750B4B">
        <w:tc>
          <w:tcPr>
            <w:tcW w:w="2943" w:type="dxa"/>
          </w:tcPr>
          <w:p w:rsidR="004D5525" w:rsidRDefault="004D5525" w:rsidP="004D5525">
            <w:pPr>
              <w:pStyle w:val="BodyText"/>
            </w:pPr>
            <w:r>
              <w:t>Person/party requesting costing:</w:t>
            </w:r>
          </w:p>
        </w:tc>
        <w:tc>
          <w:tcPr>
            <w:tcW w:w="5585" w:type="dxa"/>
          </w:tcPr>
          <w:p w:rsidR="004D5525" w:rsidRDefault="00BE3BF9" w:rsidP="004D5525">
            <w:pPr>
              <w:pStyle w:val="BodyText"/>
            </w:pPr>
            <w:r w:rsidRPr="00BE3BF9">
              <w:t>Senator Richard Di Natale, Australian Greens</w:t>
            </w:r>
          </w:p>
        </w:tc>
      </w:tr>
      <w:tr w:rsidR="007D3577" w:rsidTr="00750B4B">
        <w:tc>
          <w:tcPr>
            <w:tcW w:w="2943" w:type="dxa"/>
          </w:tcPr>
          <w:p w:rsidR="007D3577" w:rsidRDefault="007D3577" w:rsidP="00060F22">
            <w:pPr>
              <w:pStyle w:val="BodyText"/>
            </w:pPr>
            <w:r>
              <w:t>Date of public release of policy:</w:t>
            </w:r>
          </w:p>
        </w:tc>
        <w:tc>
          <w:tcPr>
            <w:tcW w:w="5585" w:type="dxa"/>
          </w:tcPr>
          <w:p w:rsidR="007D3577" w:rsidRPr="00C17112" w:rsidRDefault="00660D63" w:rsidP="00660D63">
            <w:pPr>
              <w:pStyle w:val="BodyText"/>
            </w:pPr>
            <w:r>
              <w:t>22 June</w:t>
            </w:r>
            <w:r w:rsidR="00F404E1">
              <w:t xml:space="preserve"> 2016 </w:t>
            </w:r>
            <w:hyperlink r:id="rId14" w:history="1">
              <w:r w:rsidR="00F404E1" w:rsidRPr="00F41C7D">
                <w:rPr>
                  <w:rStyle w:val="Hyperlink"/>
                </w:rPr>
                <w:t>http://greens.org.au/sites/greens.org.au/files/Tax%20Avoidance%20Package_0.pdf</w:t>
              </w:r>
            </w:hyperlink>
            <w:r w:rsidR="00F404E1">
              <w:t xml:space="preserve"> </w:t>
            </w:r>
          </w:p>
        </w:tc>
      </w:tr>
      <w:tr w:rsidR="004D5525" w:rsidTr="00750B4B">
        <w:tc>
          <w:tcPr>
            <w:tcW w:w="2943" w:type="dxa"/>
          </w:tcPr>
          <w:p w:rsidR="004D5525" w:rsidRDefault="004D5525" w:rsidP="004D5525">
            <w:pPr>
              <w:pStyle w:val="BodyText"/>
            </w:pPr>
            <w:r>
              <w:t>Date costing request received:</w:t>
            </w:r>
          </w:p>
        </w:tc>
        <w:tc>
          <w:tcPr>
            <w:tcW w:w="5585" w:type="dxa"/>
          </w:tcPr>
          <w:p w:rsidR="004D5525" w:rsidRDefault="00F93F34" w:rsidP="004D5525">
            <w:pPr>
              <w:pStyle w:val="BodyText"/>
            </w:pPr>
            <w:r>
              <w:t>23 June 2016</w:t>
            </w:r>
          </w:p>
        </w:tc>
      </w:tr>
      <w:tr w:rsidR="004D5525" w:rsidTr="00750B4B">
        <w:tc>
          <w:tcPr>
            <w:tcW w:w="2943" w:type="dxa"/>
          </w:tcPr>
          <w:p w:rsidR="004D5525" w:rsidRDefault="004D5525" w:rsidP="004D5525">
            <w:pPr>
              <w:pStyle w:val="BodyText"/>
            </w:pPr>
            <w:r>
              <w:t>Date costing completed</w:t>
            </w:r>
          </w:p>
        </w:tc>
        <w:tc>
          <w:tcPr>
            <w:tcW w:w="5585" w:type="dxa"/>
          </w:tcPr>
          <w:p w:rsidR="004D5525" w:rsidRPr="00C17112" w:rsidRDefault="007844B0" w:rsidP="004D5525">
            <w:pPr>
              <w:pStyle w:val="BodyText"/>
            </w:pPr>
            <w:r>
              <w:t>24 June 2016</w:t>
            </w:r>
          </w:p>
        </w:tc>
      </w:tr>
      <w:tr w:rsidR="004D5525" w:rsidTr="00750B4B">
        <w:tc>
          <w:tcPr>
            <w:tcW w:w="2943" w:type="dxa"/>
          </w:tcPr>
          <w:p w:rsidR="004D5525" w:rsidRPr="00220BE5" w:rsidRDefault="004D5525" w:rsidP="004D5525">
            <w:pPr>
              <w:pStyle w:val="BodyText"/>
            </w:pPr>
            <w:r w:rsidRPr="00220BE5">
              <w:t>Expiry date for the costing:</w:t>
            </w:r>
          </w:p>
        </w:tc>
        <w:tc>
          <w:tcPr>
            <w:tcW w:w="558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8030EC" w:rsidRPr="00002D5D" w:rsidRDefault="00F93F34" w:rsidP="00F93F34">
      <w:pPr>
        <w:keepNext/>
        <w:keepLines/>
      </w:pPr>
      <w:r w:rsidRPr="00F93F34">
        <w:t xml:space="preserve">This proposal would be expected to increase both the fiscal and </w:t>
      </w:r>
      <w:r w:rsidR="00381F70">
        <w:t>underlying cash balances by $3,</w:t>
      </w:r>
      <w:r w:rsidR="00AA4D51">
        <w:t>3</w:t>
      </w:r>
      <w:r w:rsidR="00AA4D51" w:rsidRPr="00F93F34">
        <w:t>00</w:t>
      </w:r>
      <w:r w:rsidR="00F20081">
        <w:t xml:space="preserve"> million over the 2016</w:t>
      </w:r>
      <w:r w:rsidR="001F2FDB">
        <w:t>-</w:t>
      </w:r>
      <w:r w:rsidRPr="00F93F34">
        <w:t>17 Budget forward estimates period.  This reflect</w:t>
      </w:r>
      <w:r w:rsidR="00381F70">
        <w:t>s an increase in revenue of $3,</w:t>
      </w:r>
      <w:r w:rsidR="00AA4D51">
        <w:t>4</w:t>
      </w:r>
      <w:r w:rsidR="00AA4D51" w:rsidRPr="00F93F34">
        <w:t xml:space="preserve">00 </w:t>
      </w:r>
      <w:r w:rsidRPr="00F93F34">
        <w:t xml:space="preserve">million and an increase in departmental </w:t>
      </w:r>
      <w:r w:rsidR="00660D63">
        <w:t>expenditure</w:t>
      </w:r>
      <w:r w:rsidRPr="00F93F34">
        <w:t xml:space="preserve"> of $</w:t>
      </w:r>
      <w:r w:rsidR="001F2FDB" w:rsidRPr="00F93F34">
        <w:t>100</w:t>
      </w:r>
      <w:r w:rsidR="00660D63">
        <w:t> </w:t>
      </w:r>
      <w:r w:rsidRPr="00F93F34">
        <w:t>million over this period.</w:t>
      </w:r>
      <w:r w:rsidRPr="00F93F34">
        <w:rPr>
          <w:highlight w:val="yellow"/>
        </w:rPr>
        <w:t xml:space="preserve"> </w:t>
      </w:r>
    </w:p>
    <w:p w:rsidR="008D3909" w:rsidRPr="00AB1745" w:rsidRDefault="00AB1745" w:rsidP="00002D5D">
      <w:r w:rsidRPr="005A71B1">
        <w:t xml:space="preserve">This </w:t>
      </w:r>
      <w:r>
        <w:t>proposal would</w:t>
      </w:r>
      <w:r w:rsidRPr="005A71B1">
        <w:t xml:space="preserve"> have an ongoing impact that extends beyond the </w:t>
      </w:r>
      <w:r w:rsidR="00660D63">
        <w:t>2016</w:t>
      </w:r>
      <w:r w:rsidR="00660D63">
        <w:noBreakHyphen/>
        <w:t>17</w:t>
      </w:r>
      <w:r w:rsidR="00BB0FBD">
        <w:t> Budget</w:t>
      </w:r>
      <w:r w:rsidR="00660D63">
        <w:t xml:space="preserve"> </w:t>
      </w:r>
      <w:r w:rsidRPr="005A71B1">
        <w:t>forward estimates period.</w:t>
      </w:r>
      <w:r>
        <w:t xml:space="preserve"> </w:t>
      </w:r>
      <w:r w:rsidR="004461FC">
        <w:t xml:space="preserve"> </w:t>
      </w:r>
      <w:r w:rsidR="00F93F34" w:rsidRPr="00F93F34">
        <w:t xml:space="preserve">The financial impact would be expected to decrease </w:t>
      </w:r>
      <w:r w:rsidR="00E64AF5">
        <w:t>over</w:t>
      </w:r>
      <w:r w:rsidR="00F93F34" w:rsidRPr="00F93F34">
        <w:t xml:space="preserve"> the period to 2026</w:t>
      </w:r>
      <w:r w:rsidR="001F2FDB">
        <w:t>-</w:t>
      </w:r>
      <w:r w:rsidR="00F93F34" w:rsidRPr="00F93F34">
        <w:t xml:space="preserve">27, reflecting the </w:t>
      </w:r>
      <w:r w:rsidR="00E64AF5">
        <w:t>changes</w:t>
      </w:r>
      <w:r w:rsidR="0036797D">
        <w:t xml:space="preserve"> in the</w:t>
      </w:r>
      <w:r w:rsidR="00F93F34" w:rsidRPr="00F93F34">
        <w:t xml:space="preserve"> </w:t>
      </w:r>
      <w:r w:rsidR="00F93F34">
        <w:t>compan</w:t>
      </w:r>
      <w:r w:rsidR="00E64AF5">
        <w:t>y tax rate</w:t>
      </w:r>
      <w:r w:rsidR="00F93F34">
        <w:t>.</w:t>
      </w:r>
    </w:p>
    <w:p w:rsidR="00F93F34" w:rsidRDefault="009D609B" w:rsidP="00F93F34">
      <w:r>
        <w:t>D</w:t>
      </w:r>
      <w:r w:rsidR="00F93F34" w:rsidRPr="00867938">
        <w:t xml:space="preserve">epartmental </w:t>
      </w:r>
      <w:r w:rsidR="00F93F34">
        <w:t>costs are expected to increase by</w:t>
      </w:r>
      <w:r w:rsidR="00F93F34" w:rsidRPr="00867938">
        <w:t xml:space="preserve"> </w:t>
      </w:r>
      <w:r w:rsidR="00F93F34">
        <w:t>$40 million in 2016</w:t>
      </w:r>
      <w:r w:rsidR="001F2FDB">
        <w:t>-</w:t>
      </w:r>
      <w:r w:rsidR="00F93F34">
        <w:t xml:space="preserve">17 and </w:t>
      </w:r>
      <w:r w:rsidR="00F93F34" w:rsidRPr="00867938">
        <w:t>$20 million per</w:t>
      </w:r>
      <w:r w:rsidR="00F93F34">
        <w:t xml:space="preserve"> annum from 2017</w:t>
      </w:r>
      <w:r w:rsidR="001F2FDB">
        <w:t>-</w:t>
      </w:r>
      <w:r w:rsidR="00F93F34">
        <w:t>18 as a result of the proposal</w:t>
      </w:r>
      <w:r w:rsidR="00F93F34" w:rsidRPr="00867938">
        <w:t xml:space="preserve">.  This is based on the cost of implementing other large-scale </w:t>
      </w:r>
      <w:r w:rsidR="00F93F34">
        <w:t xml:space="preserve">tax </w:t>
      </w:r>
      <w:r w:rsidR="00F93F34" w:rsidRPr="00867938">
        <w:t>proposals</w:t>
      </w:r>
      <w:r w:rsidR="00F93F34">
        <w:t>.</w:t>
      </w:r>
      <w:r w:rsidR="00F93F34" w:rsidRPr="00F73C51">
        <w:t xml:space="preserve"> </w:t>
      </w:r>
    </w:p>
    <w:p w:rsidR="00A41D75" w:rsidRDefault="00A41D75" w:rsidP="00002D5D">
      <w:r>
        <w:t xml:space="preserve">A detailed breakdown of this costing is presented at </w:t>
      </w:r>
      <w:r w:rsidRPr="00CF61CD">
        <w:rPr>
          <w:u w:val="single"/>
        </w:rPr>
        <w:t>Attachment A</w:t>
      </w:r>
      <w:r>
        <w:t>.</w:t>
      </w:r>
    </w:p>
    <w:p w:rsidR="00F93F34" w:rsidRDefault="00F93F34" w:rsidP="00002D5D">
      <w:r w:rsidRPr="00F93F34">
        <w:t>This costing is considered to be of low reliability.  The model relies on several assumptions and aggregate trust distribution data.  Possible behavioural responses to this proposal are extremely uncertain.</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727237">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DA3B55">
            <w:pPr>
              <w:pStyle w:val="TableText"/>
              <w:keepNext/>
              <w:keepLines/>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DA3B55">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DA3B55">
            <w:pPr>
              <w:pStyle w:val="TableTextCentred"/>
              <w:keepNext/>
              <w:keepLines/>
              <w:ind w:left="57" w:right="57"/>
              <w:jc w:val="left"/>
              <w:rPr>
                <w:szCs w:val="20"/>
              </w:rPr>
            </w:pPr>
            <w:r w:rsidRPr="00B73AC8">
              <w:rPr>
                <w:szCs w:val="20"/>
              </w:rPr>
              <w:t>Fiscal balance</w:t>
            </w:r>
          </w:p>
        </w:tc>
        <w:tc>
          <w:tcPr>
            <w:tcW w:w="682" w:type="pct"/>
          </w:tcPr>
          <w:p w:rsidR="00EA265F" w:rsidRPr="00B73AC8" w:rsidRDefault="00F93F34" w:rsidP="00DA3B55">
            <w:pPr>
              <w:pStyle w:val="TableTextCentred"/>
              <w:keepNext/>
              <w:keepLines/>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460.0</w:t>
            </w:r>
          </w:p>
        </w:tc>
        <w:tc>
          <w:tcPr>
            <w:tcW w:w="682" w:type="pct"/>
          </w:tcPr>
          <w:p w:rsidR="00EA265F" w:rsidRPr="00B73AC8" w:rsidRDefault="00F93F34" w:rsidP="00DA3B55">
            <w:pPr>
              <w:pStyle w:val="TableTextCentred"/>
              <w:keepNext/>
              <w:keepLines/>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880.0</w:t>
            </w:r>
          </w:p>
        </w:tc>
        <w:tc>
          <w:tcPr>
            <w:tcW w:w="682" w:type="pct"/>
          </w:tcPr>
          <w:p w:rsidR="00EA265F" w:rsidRPr="00B73AC8" w:rsidRDefault="00F93F34" w:rsidP="00DA3B55">
            <w:pPr>
              <w:pStyle w:val="TableTextCentred"/>
              <w:keepNext/>
              <w:keepLines/>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980.0</w:t>
            </w:r>
          </w:p>
        </w:tc>
        <w:tc>
          <w:tcPr>
            <w:tcW w:w="682" w:type="pct"/>
          </w:tcPr>
          <w:p w:rsidR="00EA265F" w:rsidRPr="00B73AC8" w:rsidRDefault="00F93F34" w:rsidP="00DA3B55">
            <w:pPr>
              <w:pStyle w:val="TableTextCentred"/>
              <w:keepNext/>
              <w:keepLines/>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980.0</w:t>
            </w:r>
          </w:p>
        </w:tc>
        <w:tc>
          <w:tcPr>
            <w:tcW w:w="681" w:type="pct"/>
          </w:tcPr>
          <w:p w:rsidR="00EA265F" w:rsidRPr="00F97DFF" w:rsidRDefault="00B5271A" w:rsidP="00AA4D51">
            <w:pPr>
              <w:pStyle w:val="TableTextCentred"/>
              <w:keepNext/>
              <w:keepLines/>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3,</w:t>
            </w:r>
            <w:r w:rsidR="00AA4D51">
              <w:rPr>
                <w:rFonts w:ascii="Calibri" w:hAnsi="Calibri"/>
                <w:b/>
                <w:szCs w:val="20"/>
              </w:rPr>
              <w:t>3</w:t>
            </w:r>
            <w:r w:rsidR="00F93F34">
              <w:rPr>
                <w:rFonts w:ascii="Calibri" w:hAnsi="Calibri"/>
                <w:b/>
                <w:szCs w:val="20"/>
              </w:rPr>
              <w:t>00.0</w:t>
            </w:r>
          </w:p>
        </w:tc>
      </w:tr>
      <w:tr w:rsidR="00F93F34"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F93F34" w:rsidRPr="00B73AC8" w:rsidRDefault="00F93F34" w:rsidP="00DA3B55">
            <w:pPr>
              <w:pStyle w:val="TableTextCentred"/>
              <w:keepNext/>
              <w:keepLines/>
              <w:ind w:left="57" w:right="57"/>
              <w:jc w:val="left"/>
              <w:rPr>
                <w:szCs w:val="20"/>
              </w:rPr>
            </w:pPr>
            <w:r w:rsidRPr="00B73AC8">
              <w:rPr>
                <w:szCs w:val="20"/>
              </w:rPr>
              <w:t>Underlying cash balance</w:t>
            </w:r>
          </w:p>
        </w:tc>
        <w:tc>
          <w:tcPr>
            <w:tcW w:w="682" w:type="pct"/>
          </w:tcPr>
          <w:p w:rsidR="00F93F34" w:rsidRPr="00B73AC8" w:rsidRDefault="00F93F34" w:rsidP="006D17DE">
            <w:pPr>
              <w:pStyle w:val="TableTextCentred"/>
              <w:keepNext/>
              <w:keepLines/>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460.0</w:t>
            </w:r>
          </w:p>
        </w:tc>
        <w:tc>
          <w:tcPr>
            <w:tcW w:w="682" w:type="pct"/>
          </w:tcPr>
          <w:p w:rsidR="00F93F34" w:rsidRPr="00B73AC8" w:rsidRDefault="00F93F34" w:rsidP="006D17DE">
            <w:pPr>
              <w:pStyle w:val="TableTextCentred"/>
              <w:keepNext/>
              <w:keepLines/>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880.0</w:t>
            </w:r>
          </w:p>
        </w:tc>
        <w:tc>
          <w:tcPr>
            <w:tcW w:w="682" w:type="pct"/>
          </w:tcPr>
          <w:p w:rsidR="00F93F34" w:rsidRPr="00B73AC8" w:rsidRDefault="00F93F34" w:rsidP="006D17DE">
            <w:pPr>
              <w:pStyle w:val="TableTextCentred"/>
              <w:keepNext/>
              <w:keepLines/>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980.0</w:t>
            </w:r>
          </w:p>
        </w:tc>
        <w:tc>
          <w:tcPr>
            <w:tcW w:w="682" w:type="pct"/>
          </w:tcPr>
          <w:p w:rsidR="00F93F34" w:rsidRPr="00B73AC8" w:rsidRDefault="00F93F34" w:rsidP="006D17DE">
            <w:pPr>
              <w:pStyle w:val="TableTextCentred"/>
              <w:keepNext/>
              <w:keepLines/>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980.0</w:t>
            </w:r>
          </w:p>
        </w:tc>
        <w:tc>
          <w:tcPr>
            <w:tcW w:w="681" w:type="pct"/>
          </w:tcPr>
          <w:p w:rsidR="00F93F34" w:rsidRPr="00F97DFF" w:rsidRDefault="00B5271A" w:rsidP="006D17DE">
            <w:pPr>
              <w:pStyle w:val="TableTextCentred"/>
              <w:keepNext/>
              <w:keepLines/>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3,</w:t>
            </w:r>
            <w:r w:rsidR="00AA4D51">
              <w:rPr>
                <w:rFonts w:ascii="Calibri" w:hAnsi="Calibri"/>
                <w:b/>
                <w:szCs w:val="20"/>
              </w:rPr>
              <w:t>3</w:t>
            </w:r>
            <w:r w:rsidR="00F93F34">
              <w:rPr>
                <w:rFonts w:ascii="Calibri" w:hAnsi="Calibri"/>
                <w:b/>
                <w:szCs w:val="20"/>
              </w:rPr>
              <w:t>00.0</w:t>
            </w:r>
          </w:p>
        </w:tc>
      </w:tr>
    </w:tbl>
    <w:p w:rsidR="00727237" w:rsidRDefault="009D4063" w:rsidP="009D4063">
      <w:pPr>
        <w:pStyle w:val="Footnotes"/>
        <w:keepNext/>
        <w:keepLines/>
        <w:ind w:left="284" w:hanging="284"/>
      </w:pPr>
      <w:r w:rsidRPr="00F93F34">
        <w:t xml:space="preserve">A positive number indicates an increase in </w:t>
      </w:r>
      <w:r w:rsidR="00727237">
        <w:t>the relevant budget balance, a negative number a decrease.</w:t>
      </w:r>
    </w:p>
    <w:p w:rsidR="009D4063" w:rsidRPr="00F93F34" w:rsidRDefault="00B5271A" w:rsidP="009D4063">
      <w:pPr>
        <w:pStyle w:val="Footnotes"/>
        <w:keepNext/>
        <w:keepLines/>
        <w:ind w:left="284" w:hanging="284"/>
      </w:pPr>
      <w:r>
        <w:t>Figures may not sum to totals due to rounding.</w:t>
      </w:r>
    </w:p>
    <w:p w:rsidR="008D3909" w:rsidRPr="00F93F34" w:rsidRDefault="005E3562" w:rsidP="00E40B8B">
      <w:pPr>
        <w:pStyle w:val="Heading2"/>
      </w:pPr>
      <w:r w:rsidRPr="00F93F34">
        <w:t>Key assumptions</w:t>
      </w:r>
    </w:p>
    <w:p w:rsidR="00F93F34" w:rsidRDefault="00F93F34" w:rsidP="00F93F34">
      <w:pPr>
        <w:keepNext/>
        <w:keepLines/>
      </w:pPr>
      <w:r>
        <w:t>The Parliamentary Budget Office has made the following assumpt</w:t>
      </w:r>
      <w:r w:rsidR="00F20081">
        <w:t>ions in relation to this proposal</w:t>
      </w:r>
      <w:r>
        <w:t>:</w:t>
      </w:r>
    </w:p>
    <w:p w:rsidR="00F93F34" w:rsidRDefault="00F93F34" w:rsidP="00F93F34">
      <w:pPr>
        <w:pStyle w:val="Bullet1"/>
      </w:pPr>
      <w:r>
        <w:t>Trust income is comprised of income from interest, dividends, capital gains and general sources.</w:t>
      </w:r>
    </w:p>
    <w:p w:rsidR="00F93F34" w:rsidRDefault="00F93F34" w:rsidP="00F93F34">
      <w:pPr>
        <w:pStyle w:val="Bullet1"/>
      </w:pPr>
      <w:r>
        <w:t>Trust income is assumed to be distributed in the following way:</w:t>
      </w:r>
    </w:p>
    <w:p w:rsidR="00F93F34" w:rsidRDefault="00F93F34" w:rsidP="00F93F34">
      <w:pPr>
        <w:pStyle w:val="Bullet2"/>
      </w:pPr>
      <w:r>
        <w:t>30 per cent to individuals (of which 70 per cent are Australian residents and 30</w:t>
      </w:r>
      <w:r w:rsidR="00750D5C">
        <w:t> </w:t>
      </w:r>
      <w:r>
        <w:t>per</w:t>
      </w:r>
      <w:r w:rsidR="00750D5C">
        <w:t> </w:t>
      </w:r>
      <w:r>
        <w:t>cent are non-residents)</w:t>
      </w:r>
    </w:p>
    <w:p w:rsidR="00F93F34" w:rsidRDefault="00F93F34" w:rsidP="00F93F34">
      <w:pPr>
        <w:pStyle w:val="Bullet2"/>
      </w:pPr>
      <w:r>
        <w:t>20 per cent to superannuation funds</w:t>
      </w:r>
    </w:p>
    <w:p w:rsidR="00F93F34" w:rsidRDefault="002818F6" w:rsidP="00F93F34">
      <w:pPr>
        <w:pStyle w:val="Bullet2"/>
      </w:pPr>
      <w:r>
        <w:t>50 per cent to companies</w:t>
      </w:r>
      <w:r w:rsidR="00CA75A3">
        <w:t>.</w:t>
      </w:r>
    </w:p>
    <w:p w:rsidR="00F93F34" w:rsidRDefault="00F93F34" w:rsidP="00F93F34">
      <w:pPr>
        <w:pStyle w:val="Bullet1"/>
      </w:pPr>
      <w:r>
        <w:t>Taxing discretionary trusts as companies would mean that the imputation system for franked dividends that applies to companies would also apply to trust distributions.</w:t>
      </w:r>
    </w:p>
    <w:p w:rsidR="00F93F34" w:rsidRDefault="00F93F34" w:rsidP="00F93F34">
      <w:pPr>
        <w:pStyle w:val="Bullet1"/>
      </w:pPr>
      <w:r>
        <w:t>It is assumed that 50 per cent of income would be retained in trusts in response to this proposal.</w:t>
      </w:r>
    </w:p>
    <w:p w:rsidR="00F93F34" w:rsidRDefault="00F93F34" w:rsidP="00F93F34">
      <w:pPr>
        <w:pStyle w:val="Bullet2"/>
      </w:pPr>
      <w:r>
        <w:t xml:space="preserve">This would mean that 100 per cent of the trust income is taxed at </w:t>
      </w:r>
      <w:r w:rsidR="00B122A5">
        <w:t>the company tax rate</w:t>
      </w:r>
      <w:r>
        <w:t xml:space="preserve">, however only 50 per cent of the after-tax amount would be distributed to beneficiaries as a ‘dividend’, which would be eligible for franking credits at </w:t>
      </w:r>
      <w:r w:rsidR="00B122A5">
        <w:t>the company tax rate</w:t>
      </w:r>
      <w:r>
        <w:t>, as per company tax arrangements.</w:t>
      </w:r>
    </w:p>
    <w:p w:rsidR="00F93F34" w:rsidRDefault="00F93F34" w:rsidP="00F93F34">
      <w:pPr>
        <w:pStyle w:val="Bullet1"/>
      </w:pPr>
      <w:r>
        <w:t xml:space="preserve">Generally, superannuation funds currently have a tax rate of 15 per cent and would receive a refund of </w:t>
      </w:r>
      <w:r w:rsidR="007844B0">
        <w:t xml:space="preserve">a portion of </w:t>
      </w:r>
      <w:r>
        <w:t xml:space="preserve">the tax paid at the </w:t>
      </w:r>
      <w:r w:rsidR="007844B0">
        <w:t>company tax</w:t>
      </w:r>
      <w:r>
        <w:t xml:space="preserve"> rate </w:t>
      </w:r>
      <w:r w:rsidR="00F70A61">
        <w:t xml:space="preserve">through the imputation system. </w:t>
      </w:r>
    </w:p>
    <w:p w:rsidR="00323737" w:rsidRDefault="00F93F34" w:rsidP="00F20081">
      <w:pPr>
        <w:pStyle w:val="Bullet2"/>
      </w:pPr>
      <w:r>
        <w:t>If superannuation funds were to invest in trusts which do not distribute 100 per cent of their income, they would not be able to access refunded imputation credits and would face a</w:t>
      </w:r>
      <w:r w:rsidR="00323737">
        <w:t xml:space="preserve"> higher</w:t>
      </w:r>
      <w:r>
        <w:t xml:space="preserve"> effective tax rate on undistributed income.</w:t>
      </w:r>
    </w:p>
    <w:p w:rsidR="00F93F34" w:rsidRDefault="00F93F34" w:rsidP="00F20081">
      <w:pPr>
        <w:pStyle w:val="Bullet2"/>
      </w:pPr>
      <w:r>
        <w:t xml:space="preserve">Under this proposal, it is assumed that superannuation funds would only invest in trusts that distribute 100 per cent of their income and would therefore continue to </w:t>
      </w:r>
      <w:r w:rsidR="00323737">
        <w:t>have an effective tax rate of</w:t>
      </w:r>
      <w:r>
        <w:t xml:space="preserve"> 15 per cent.</w:t>
      </w:r>
    </w:p>
    <w:p w:rsidR="00F93F34" w:rsidRDefault="00F93F34" w:rsidP="00750D5C">
      <w:pPr>
        <w:pStyle w:val="Bullet1"/>
        <w:keepNext/>
      </w:pPr>
      <w:r>
        <w:lastRenderedPageBreak/>
        <w:t xml:space="preserve">It is assumed that </w:t>
      </w:r>
      <w:r w:rsidR="00800E8A">
        <w:t xml:space="preserve">on average </w:t>
      </w:r>
      <w:r>
        <w:t>trusts would</w:t>
      </w:r>
      <w:r w:rsidR="00800E8A">
        <w:t xml:space="preserve"> pay tax on a quarterly basis.</w:t>
      </w:r>
    </w:p>
    <w:p w:rsidR="00F93F34" w:rsidRDefault="00F93F34" w:rsidP="00750D5C">
      <w:pPr>
        <w:pStyle w:val="Bullet1"/>
        <w:keepNext/>
      </w:pPr>
      <w:r>
        <w:t>It is assumed that, in response to this proposal, a proportion of trust beneficiaries would find alternative investments that would give them a similar return to their trust structure, which means that the proposal does not raise as much revenue as it would have done in the absence of this behavioural response.</w:t>
      </w:r>
    </w:p>
    <w:p w:rsidR="005E3562" w:rsidRPr="00FC6579" w:rsidRDefault="005E3562" w:rsidP="00E40B8B">
      <w:pPr>
        <w:pStyle w:val="Heading2"/>
      </w:pPr>
      <w:r w:rsidRPr="00FC6579">
        <w:t>Methodology</w:t>
      </w:r>
    </w:p>
    <w:p w:rsidR="00F20081" w:rsidRDefault="00F20081" w:rsidP="00F20081">
      <w:r>
        <w:t xml:space="preserve">The </w:t>
      </w:r>
      <w:r w:rsidR="00323737">
        <w:t xml:space="preserve">financial </w:t>
      </w:r>
      <w:r>
        <w:t>impact of this proposal w</w:t>
      </w:r>
      <w:r w:rsidR="00323737">
        <w:t>as</w:t>
      </w:r>
      <w:r>
        <w:t xml:space="preserve"> estimated by calculating the tax revenue to be paid by affected di</w:t>
      </w:r>
      <w:r w:rsidR="0036797D">
        <w:t xml:space="preserve">scretionary trusts at the </w:t>
      </w:r>
      <w:r>
        <w:t>company tax rate and the tax paid by beneficiaries on their distributions under the proposal, less the amount of base tax to be paid on distributions from trusts that is expected to be collected over the same period.  Base trust distribution amounts are grown at a rate equivalent to growth in Gross Domestic Product.</w:t>
      </w:r>
    </w:p>
    <w:p w:rsidR="005E3562" w:rsidRPr="00002D5D" w:rsidRDefault="00F20081" w:rsidP="00F20081">
      <w:r>
        <w:t>Revenue estimates have been rounded to the nearest $100 million.  Expense estimates have been rounded to the nearest $10 million.</w:t>
      </w:r>
    </w:p>
    <w:p w:rsidR="005E3562" w:rsidRPr="00FC6579" w:rsidRDefault="005E3562" w:rsidP="00E40B8B">
      <w:pPr>
        <w:pStyle w:val="Heading2"/>
      </w:pPr>
      <w:r w:rsidRPr="00FC6579">
        <w:t>Data sources</w:t>
      </w:r>
    </w:p>
    <w:p w:rsidR="00F20081" w:rsidRDefault="00F20081" w:rsidP="00783A2B">
      <w:pPr>
        <w:pStyle w:val="Bullet1"/>
      </w:pPr>
      <w:r>
        <w:t>Trust distribution data from Australian Taxation Office (ATO) Taxation Statistics</w:t>
      </w:r>
    </w:p>
    <w:p w:rsidR="00F20081" w:rsidRDefault="00F20081" w:rsidP="00F20081">
      <w:pPr>
        <w:pStyle w:val="Bullet1"/>
      </w:pPr>
      <w:r>
        <w:t>Australian tax treaties data from the Treasury website</w:t>
      </w:r>
    </w:p>
    <w:p w:rsidR="00F20081" w:rsidRDefault="00F20081" w:rsidP="00F20081">
      <w:pPr>
        <w:pStyle w:val="Bullet1"/>
      </w:pPr>
      <w:r>
        <w:t>Austr</w:t>
      </w:r>
      <w:r w:rsidR="00EE1F27">
        <w:t>alian Bureau of Statistics</w:t>
      </w:r>
      <w:r>
        <w:t xml:space="preserve"> </w:t>
      </w:r>
      <w:r w:rsidRPr="00BB0FBD">
        <w:rPr>
          <w:i/>
        </w:rPr>
        <w:t>International Investment Position, Australia: Supplementary Statistics</w:t>
      </w:r>
      <w:r>
        <w:t xml:space="preserve"> Cat. No. 5352.0</w:t>
      </w:r>
    </w:p>
    <w:p w:rsidR="00F20081" w:rsidRDefault="00F20081" w:rsidP="00F20081">
      <w:pPr>
        <w:pStyle w:val="Bullet1"/>
      </w:pPr>
      <w:r>
        <w:t>Taxation parameters from the 2016 Pre-election Economic and Fiscal Outlook</w:t>
      </w:r>
    </w:p>
    <w:p w:rsidR="00CA5D42" w:rsidRPr="00F20081" w:rsidRDefault="00F20081" w:rsidP="00783A2B">
      <w:pPr>
        <w:pStyle w:val="Bullet1"/>
        <w:sectPr w:rsidR="00CA5D42" w:rsidRPr="00F20081" w:rsidSect="00002D5D">
          <w:headerReference w:type="first" r:id="rId15"/>
          <w:footerReference w:type="first" r:id="rId16"/>
          <w:pgSz w:w="11906" w:h="16838"/>
          <w:pgMar w:top="1361" w:right="1797" w:bottom="1474" w:left="1797" w:header="709" w:footer="709" w:gutter="0"/>
          <w:cols w:space="708"/>
          <w:titlePg/>
          <w:docGrid w:linePitch="360"/>
        </w:sectPr>
      </w:pPr>
      <w:r w:rsidRPr="00F20081">
        <w:t>2016</w:t>
      </w:r>
      <w:r w:rsidR="00750D5C">
        <w:noBreakHyphen/>
      </w:r>
      <w:r w:rsidRPr="00F20081">
        <w:t>17 Budget Paper No. 2</w:t>
      </w:r>
    </w:p>
    <w:p w:rsidR="001A02D1" w:rsidRPr="00FC6579" w:rsidRDefault="001A02D1" w:rsidP="00FC6579">
      <w:pPr>
        <w:pStyle w:val="Heading1"/>
      </w:pPr>
      <w:r w:rsidRPr="00FC6579">
        <w:lastRenderedPageBreak/>
        <w:t>Attachment A:</w:t>
      </w:r>
      <w:r w:rsidR="00841C3A">
        <w:t xml:space="preserve"> </w:t>
      </w:r>
      <w:r w:rsidR="00F20081">
        <w:t xml:space="preserve">Restoring </w:t>
      </w:r>
      <w:r w:rsidR="00CA75A3">
        <w:t>T</w:t>
      </w:r>
      <w:r w:rsidR="00F20081">
        <w:t xml:space="preserve">rust in </w:t>
      </w:r>
      <w:r w:rsidR="00CA75A3">
        <w:t>T</w:t>
      </w:r>
      <w:r w:rsidR="00F20081">
        <w:t>rusts</w:t>
      </w:r>
      <w:r w:rsidR="00440E32">
        <w:t>—financial</w:t>
      </w:r>
      <w:r w:rsidR="00841C3A">
        <w:t> </w:t>
      </w:r>
      <w:r w:rsidR="00440E32">
        <w:t>implications</w:t>
      </w:r>
    </w:p>
    <w:p w:rsidR="00EA265F" w:rsidRDefault="00EA265F" w:rsidP="00EA265F">
      <w:pPr>
        <w:pStyle w:val="Captionheading"/>
        <w:rPr>
          <w:vertAlign w:val="superscript"/>
        </w:rPr>
      </w:pPr>
      <w:r w:rsidRPr="00FC5643">
        <w:t xml:space="preserve">Table </w:t>
      </w:r>
      <w:r>
        <w:t>A1</w:t>
      </w:r>
      <w:r w:rsidRPr="00FC5643">
        <w:t xml:space="preserve">: </w:t>
      </w:r>
      <w:r w:rsidR="00F20081">
        <w:t xml:space="preserve">Restoring </w:t>
      </w:r>
      <w:r w:rsidR="00CA75A3">
        <w:t>T</w:t>
      </w:r>
      <w:r w:rsidR="00F20081">
        <w:t xml:space="preserve">rust in </w:t>
      </w:r>
      <w:r w:rsidR="00CA75A3">
        <w:t>T</w:t>
      </w:r>
      <w:r w:rsidR="00F20081">
        <w:t>rusts</w:t>
      </w:r>
      <w:r w:rsidR="00EA5685">
        <w:t>—</w:t>
      </w:r>
      <w:r w:rsidR="00F20081" w:rsidRPr="00F20081">
        <w:t xml:space="preserve"> Financial </w:t>
      </w:r>
      <w:r w:rsidR="00F20081">
        <w:t>implications (outturn prices</w:t>
      </w:r>
      <w:proofErr w:type="gramStart"/>
      <w:r w:rsidR="00F20081">
        <w:t>)</w:t>
      </w:r>
      <w:r>
        <w:rPr>
          <w:vertAlign w:val="superscript"/>
        </w:rPr>
        <w:t>(</w:t>
      </w:r>
      <w:proofErr w:type="gramEnd"/>
      <w:r>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582437" w:rsidRPr="00EF1D6A" w:rsidTr="003930D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82437" w:rsidRPr="00EF1D6A" w:rsidRDefault="00582437" w:rsidP="003930D4">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82437" w:rsidRPr="00C24267" w:rsidRDefault="00582437" w:rsidP="003930D4">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82437" w:rsidRPr="00C24267" w:rsidRDefault="00582437" w:rsidP="003930D4">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82437" w:rsidRPr="00C24267" w:rsidRDefault="00582437" w:rsidP="003930D4">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82437" w:rsidRPr="00C24267" w:rsidRDefault="00582437" w:rsidP="003930D4">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82437" w:rsidRPr="00AE30B5" w:rsidRDefault="00582437" w:rsidP="003930D4">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582437" w:rsidRPr="00EF1D6A" w:rsidTr="00393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582437" w:rsidRPr="00AE30B5" w:rsidRDefault="007462A7" w:rsidP="007462A7">
            <w:pPr>
              <w:pStyle w:val="TableHeadingCentred"/>
              <w:spacing w:line="240" w:lineRule="auto"/>
              <w:ind w:left="57" w:right="57"/>
              <w:jc w:val="left"/>
              <w:rPr>
                <w:b/>
              </w:rPr>
            </w:pPr>
            <w:r>
              <w:rPr>
                <w:b/>
              </w:rPr>
              <w:t>Impact on f</w:t>
            </w:r>
            <w:r w:rsidR="00582437" w:rsidRPr="00AE30B5">
              <w:rPr>
                <w:b/>
              </w:rPr>
              <w:t>iscal and underlying cash balances</w:t>
            </w:r>
          </w:p>
        </w:tc>
      </w:tr>
      <w:tr w:rsidR="00582437" w:rsidRPr="0066665A" w:rsidTr="003930D4">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582437" w:rsidRPr="00C17112" w:rsidRDefault="00582437" w:rsidP="003930D4">
            <w:pPr>
              <w:pStyle w:val="TableTextCentred"/>
              <w:keepNext/>
              <w:keepLines/>
              <w:ind w:left="57" w:right="57"/>
              <w:jc w:val="left"/>
              <w:rPr>
                <w:szCs w:val="20"/>
              </w:rPr>
            </w:pPr>
            <w:r>
              <w:rPr>
                <w:szCs w:val="20"/>
              </w:rPr>
              <w:t>Revenue</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3B2772">
              <w:rPr>
                <w:i w:val="0"/>
              </w:rPr>
              <w:t>500.0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3B2772">
              <w:rPr>
                <w:i w:val="0"/>
              </w:rPr>
              <w:t>900.0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3B2772">
              <w:rPr>
                <w:i w:val="0"/>
              </w:rPr>
              <w:t>1,000.0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3B2772">
              <w:rPr>
                <w:i w:val="0"/>
              </w:rPr>
              <w:t>1,000.0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3B2772">
              <w:rPr>
                <w:b/>
                <w:i w:val="0"/>
              </w:rPr>
              <w:t>3,</w:t>
            </w:r>
            <w:r>
              <w:rPr>
                <w:b/>
                <w:i w:val="0"/>
              </w:rPr>
              <w:t>4</w:t>
            </w:r>
            <w:r w:rsidRPr="003B2772">
              <w:rPr>
                <w:b/>
                <w:i w:val="0"/>
              </w:rPr>
              <w:t>00.0</w:t>
            </w:r>
          </w:p>
        </w:tc>
      </w:tr>
      <w:tr w:rsidR="00582437" w:rsidRPr="0066665A" w:rsidTr="00393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582437" w:rsidRPr="00C17112" w:rsidRDefault="00582437" w:rsidP="003930D4">
            <w:pPr>
              <w:pStyle w:val="TableTextCentred"/>
              <w:keepNext/>
              <w:keepLines/>
              <w:ind w:left="57" w:right="57"/>
              <w:jc w:val="left"/>
              <w:rPr>
                <w:szCs w:val="20"/>
              </w:rPr>
            </w:pPr>
            <w:r>
              <w:rPr>
                <w:szCs w:val="20"/>
              </w:rPr>
              <w:t>Departmental expenses - ATO</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3B2772">
              <w:rPr>
                <w:i w:val="0"/>
              </w:rPr>
              <w:t>-40.0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3B2772">
              <w:rPr>
                <w:i w:val="0"/>
              </w:rPr>
              <w:t>-20.0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3B2772">
              <w:rPr>
                <w:i w:val="0"/>
              </w:rPr>
              <w:t>-20.0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3B2772">
              <w:rPr>
                <w:i w:val="0"/>
              </w:rPr>
              <w:t>-20.0</w:t>
            </w:r>
          </w:p>
        </w:tc>
        <w:tc>
          <w:tcPr>
            <w:tcW w:w="682" w:type="pct"/>
            <w:tcBorders>
              <w:top w:val="single" w:sz="4" w:space="0" w:color="788184"/>
              <w:left w:val="single" w:sz="4" w:space="0" w:color="788184"/>
              <w:bottom w:val="single" w:sz="4" w:space="0" w:color="788184"/>
              <w:right w:val="single" w:sz="4" w:space="0" w:color="788184"/>
            </w:tcBorders>
          </w:tcPr>
          <w:p w:rsidR="00582437" w:rsidRPr="003B2772" w:rsidRDefault="00582437" w:rsidP="003930D4">
            <w:pPr>
              <w:pStyle w:val="TableTextRight"/>
              <w:ind w:left="57" w:right="57"/>
              <w:cnfStyle w:val="000000100000" w:firstRow="0" w:lastRow="0" w:firstColumn="0" w:lastColumn="0" w:oddVBand="0" w:evenVBand="0" w:oddHBand="1" w:evenHBand="0" w:firstRowFirstColumn="0" w:firstRowLastColumn="0" w:lastRowFirstColumn="0" w:lastRowLastColumn="0"/>
              <w:rPr>
                <w:b/>
                <w:i w:val="0"/>
              </w:rPr>
            </w:pPr>
            <w:r w:rsidRPr="003B2772">
              <w:rPr>
                <w:b/>
                <w:i w:val="0"/>
              </w:rPr>
              <w:t>-100.0</w:t>
            </w:r>
          </w:p>
        </w:tc>
      </w:tr>
      <w:tr w:rsidR="00582437" w:rsidRPr="0055406D" w:rsidTr="003930D4">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582437" w:rsidRPr="0055406D" w:rsidRDefault="00582437" w:rsidP="003930D4">
            <w:pPr>
              <w:pStyle w:val="TableTextCentred"/>
              <w:keepNext/>
              <w:keepLines/>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582437" w:rsidRPr="0055406D"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460.0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582437" w:rsidRPr="0055406D"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880.0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582437" w:rsidRPr="0055406D"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980.0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582437" w:rsidRPr="0055406D"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980.0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582437" w:rsidRPr="00AE30B5" w:rsidRDefault="00582437" w:rsidP="003930D4">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3,300.0</w:t>
            </w:r>
          </w:p>
        </w:tc>
      </w:tr>
    </w:tbl>
    <w:p w:rsidR="00165116" w:rsidRDefault="007462A7" w:rsidP="00165116">
      <w:pPr>
        <w:pStyle w:val="Footnotes"/>
        <w:keepNext/>
        <w:keepLines/>
        <w:numPr>
          <w:ilvl w:val="0"/>
          <w:numId w:val="17"/>
        </w:numPr>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582437" w:rsidRDefault="00165116" w:rsidP="00750D5C">
      <w:pPr>
        <w:pStyle w:val="Footnotes"/>
        <w:keepNext/>
        <w:keepLines/>
        <w:numPr>
          <w:ilvl w:val="0"/>
          <w:numId w:val="17"/>
        </w:numPr>
      </w:pPr>
      <w:r>
        <w:t>Figures may not sum to totals due to rounding.</w:t>
      </w:r>
    </w:p>
    <w:sectPr w:rsidR="00582437" w:rsidSect="00F20081">
      <w:headerReference w:type="first" r:id="rId17"/>
      <w:footerReference w:type="first" r:id="rId18"/>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97" w:rsidRDefault="00657D97" w:rsidP="008F588A">
      <w:pPr>
        <w:spacing w:line="240" w:lineRule="auto"/>
      </w:pPr>
      <w:r>
        <w:separator/>
      </w:r>
    </w:p>
    <w:p w:rsidR="00657D97" w:rsidRDefault="00657D97"/>
  </w:endnote>
  <w:endnote w:type="continuationSeparator" w:id="0">
    <w:p w:rsidR="00657D97" w:rsidRDefault="00657D97" w:rsidP="008F588A">
      <w:pPr>
        <w:spacing w:line="240" w:lineRule="auto"/>
      </w:pPr>
      <w:r>
        <w:continuationSeparator/>
      </w:r>
    </w:p>
    <w:p w:rsidR="00657D97" w:rsidRDefault="00657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C24267" w:rsidRDefault="00657D97"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C2E3A">
      <w:rPr>
        <w:noProof/>
      </w:rPr>
      <w:t>3</w:t>
    </w:r>
    <w:r w:rsidRPr="00C24267">
      <w:fldChar w:fldCharType="end"/>
    </w:r>
    <w:r w:rsidRPr="00C24267">
      <w:t xml:space="preserve"> of </w:t>
    </w:r>
    <w:r w:rsidR="00AC2E3A">
      <w:fldChar w:fldCharType="begin"/>
    </w:r>
    <w:r w:rsidR="00AC2E3A">
      <w:instrText xml:space="preserve"> NUMPAGES  \* Arabic  \* MERGEFORMAT </w:instrText>
    </w:r>
    <w:r w:rsidR="00AC2E3A">
      <w:fldChar w:fldCharType="separate"/>
    </w:r>
    <w:r w:rsidR="00AC2E3A">
      <w:rPr>
        <w:noProof/>
      </w:rPr>
      <w:t>5</w:t>
    </w:r>
    <w:r w:rsidR="00AC2E3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C24267" w:rsidRDefault="00657D97" w:rsidP="00C24267">
    <w:pPr>
      <w:pStyle w:val="Letterfooter"/>
    </w:pPr>
    <w:r w:rsidRPr="00C24267">
      <w:t>Parliamentary Budget Office   PO Box 6010   Parliament House   Canberra ACT 2600</w:t>
    </w:r>
  </w:p>
  <w:p w:rsidR="00657D97" w:rsidRPr="00C24267" w:rsidRDefault="00657D97"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C24267" w:rsidRDefault="00657D97"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C2E3A">
      <w:rPr>
        <w:noProof/>
      </w:rPr>
      <w:t>2</w:t>
    </w:r>
    <w:r w:rsidRPr="00C24267">
      <w:fldChar w:fldCharType="end"/>
    </w:r>
    <w:r w:rsidRPr="00C24267">
      <w:t xml:space="preserve"> of </w:t>
    </w:r>
    <w:r w:rsidR="00AC2E3A">
      <w:fldChar w:fldCharType="begin"/>
    </w:r>
    <w:r w:rsidR="00AC2E3A">
      <w:instrText xml:space="preserve"> NUMPAGES </w:instrText>
    </w:r>
    <w:r w:rsidR="00AC2E3A">
      <w:instrText xml:space="preserve"> \* Arabic  \* MERGEFORMAT </w:instrText>
    </w:r>
    <w:r w:rsidR="00AC2E3A">
      <w:fldChar w:fldCharType="separate"/>
    </w:r>
    <w:r w:rsidR="00AC2E3A">
      <w:rPr>
        <w:noProof/>
      </w:rPr>
      <w:t>5</w:t>
    </w:r>
    <w:r w:rsidR="00AC2E3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C24267" w:rsidRDefault="00657D97"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C2E3A">
      <w:rPr>
        <w:noProof/>
      </w:rPr>
      <w:t>5</w:t>
    </w:r>
    <w:r w:rsidRPr="00C24267">
      <w:fldChar w:fldCharType="end"/>
    </w:r>
    <w:r w:rsidRPr="00C24267">
      <w:t xml:space="preserve"> of </w:t>
    </w:r>
    <w:r w:rsidR="00AC2E3A">
      <w:fldChar w:fldCharType="begin"/>
    </w:r>
    <w:r w:rsidR="00AC2E3A">
      <w:instrText xml:space="preserve"> NUMPAGES  \* Arabic  \* MERGEFORMAT </w:instrText>
    </w:r>
    <w:r w:rsidR="00AC2E3A">
      <w:fldChar w:fldCharType="separate"/>
    </w:r>
    <w:r w:rsidR="00AC2E3A">
      <w:rPr>
        <w:noProof/>
      </w:rPr>
      <w:t>5</w:t>
    </w:r>
    <w:r w:rsidR="00AC2E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97" w:rsidRDefault="00657D97" w:rsidP="008F588A">
      <w:pPr>
        <w:spacing w:line="240" w:lineRule="auto"/>
      </w:pPr>
      <w:r>
        <w:separator/>
      </w:r>
    </w:p>
    <w:p w:rsidR="00657D97" w:rsidRDefault="00657D97"/>
  </w:footnote>
  <w:footnote w:type="continuationSeparator" w:id="0">
    <w:p w:rsidR="00657D97" w:rsidRDefault="00657D97" w:rsidP="008F588A">
      <w:pPr>
        <w:spacing w:line="240" w:lineRule="auto"/>
      </w:pPr>
      <w:r>
        <w:continuationSeparator/>
      </w:r>
    </w:p>
    <w:p w:rsidR="00657D97" w:rsidRDefault="00657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750D5C" w:rsidRDefault="00657D97"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Default="00657D97"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657D97" w:rsidRPr="00DA1C8A" w:rsidRDefault="00657D97"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C17112" w:rsidRDefault="00657D97" w:rsidP="00C17112">
    <w:pPr>
      <w:pStyle w:val="Header"/>
    </w:pPr>
    <w:r>
      <w:rPr>
        <w:noProof/>
        <w:lang w:eastAsia="en-AU"/>
      </w:rPr>
      <w:drawing>
        <wp:inline distT="0" distB="0" distL="0" distR="0" wp14:anchorId="42DCB4F2" wp14:editId="28168CEB">
          <wp:extent cx="2696845" cy="572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Pr="00750D5C" w:rsidRDefault="00657D97"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2FBEF274"/>
    <w:lvl w:ilvl="0" w:tplc="B49EA3BE">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68"/>
    <w:rsid w:val="00002D5D"/>
    <w:rsid w:val="000118A4"/>
    <w:rsid w:val="00013868"/>
    <w:rsid w:val="00015FB2"/>
    <w:rsid w:val="00040DCE"/>
    <w:rsid w:val="00060F22"/>
    <w:rsid w:val="00096F3A"/>
    <w:rsid w:val="000A5380"/>
    <w:rsid w:val="000C1A75"/>
    <w:rsid w:val="0012630E"/>
    <w:rsid w:val="001278D0"/>
    <w:rsid w:val="0014239B"/>
    <w:rsid w:val="001512D1"/>
    <w:rsid w:val="00165116"/>
    <w:rsid w:val="001A02D1"/>
    <w:rsid w:val="001F2FDB"/>
    <w:rsid w:val="00220BE5"/>
    <w:rsid w:val="002422A3"/>
    <w:rsid w:val="00255AB2"/>
    <w:rsid w:val="00280F25"/>
    <w:rsid w:val="002818F6"/>
    <w:rsid w:val="002B521F"/>
    <w:rsid w:val="002C56AE"/>
    <w:rsid w:val="00313488"/>
    <w:rsid w:val="00315E34"/>
    <w:rsid w:val="00323737"/>
    <w:rsid w:val="00326DE2"/>
    <w:rsid w:val="0036797D"/>
    <w:rsid w:val="00381F70"/>
    <w:rsid w:val="00383A81"/>
    <w:rsid w:val="003B2772"/>
    <w:rsid w:val="003D123E"/>
    <w:rsid w:val="003D7744"/>
    <w:rsid w:val="003E4F5F"/>
    <w:rsid w:val="003F73CA"/>
    <w:rsid w:val="00410A2C"/>
    <w:rsid w:val="00421512"/>
    <w:rsid w:val="00440E32"/>
    <w:rsid w:val="004461FC"/>
    <w:rsid w:val="00461597"/>
    <w:rsid w:val="00485374"/>
    <w:rsid w:val="004A5898"/>
    <w:rsid w:val="004C283B"/>
    <w:rsid w:val="004D13ED"/>
    <w:rsid w:val="004D5525"/>
    <w:rsid w:val="005035DA"/>
    <w:rsid w:val="00507897"/>
    <w:rsid w:val="00515A85"/>
    <w:rsid w:val="00530856"/>
    <w:rsid w:val="00545F24"/>
    <w:rsid w:val="0055581F"/>
    <w:rsid w:val="0056229A"/>
    <w:rsid w:val="00570154"/>
    <w:rsid w:val="00570B5A"/>
    <w:rsid w:val="00582437"/>
    <w:rsid w:val="00587422"/>
    <w:rsid w:val="005B1A4A"/>
    <w:rsid w:val="005B7B75"/>
    <w:rsid w:val="005C6967"/>
    <w:rsid w:val="005E3562"/>
    <w:rsid w:val="005F7DE0"/>
    <w:rsid w:val="00614F09"/>
    <w:rsid w:val="00640346"/>
    <w:rsid w:val="00657D97"/>
    <w:rsid w:val="00660385"/>
    <w:rsid w:val="00660D63"/>
    <w:rsid w:val="00662E65"/>
    <w:rsid w:val="006662AF"/>
    <w:rsid w:val="0066665A"/>
    <w:rsid w:val="00692DD8"/>
    <w:rsid w:val="006F0CE9"/>
    <w:rsid w:val="00700F9A"/>
    <w:rsid w:val="007202A8"/>
    <w:rsid w:val="007229A9"/>
    <w:rsid w:val="00727237"/>
    <w:rsid w:val="00734E4A"/>
    <w:rsid w:val="00736BB6"/>
    <w:rsid w:val="007462A7"/>
    <w:rsid w:val="00750B4B"/>
    <w:rsid w:val="00750D5C"/>
    <w:rsid w:val="00774BCB"/>
    <w:rsid w:val="00783A2B"/>
    <w:rsid w:val="007844B0"/>
    <w:rsid w:val="007B029A"/>
    <w:rsid w:val="007D33AA"/>
    <w:rsid w:val="007D3577"/>
    <w:rsid w:val="007F7BCF"/>
    <w:rsid w:val="00800E8A"/>
    <w:rsid w:val="008030EC"/>
    <w:rsid w:val="00811D6D"/>
    <w:rsid w:val="00817E8E"/>
    <w:rsid w:val="00841C3A"/>
    <w:rsid w:val="00844776"/>
    <w:rsid w:val="008850D9"/>
    <w:rsid w:val="008A4578"/>
    <w:rsid w:val="008A67D1"/>
    <w:rsid w:val="008C03C3"/>
    <w:rsid w:val="008D3909"/>
    <w:rsid w:val="008D6ECA"/>
    <w:rsid w:val="008F588A"/>
    <w:rsid w:val="00902D2D"/>
    <w:rsid w:val="00915804"/>
    <w:rsid w:val="0091590A"/>
    <w:rsid w:val="00957285"/>
    <w:rsid w:val="009573AF"/>
    <w:rsid w:val="00977D7B"/>
    <w:rsid w:val="009963ED"/>
    <w:rsid w:val="009D4063"/>
    <w:rsid w:val="009D609B"/>
    <w:rsid w:val="00A41BD3"/>
    <w:rsid w:val="00A41D75"/>
    <w:rsid w:val="00A449C2"/>
    <w:rsid w:val="00A65EA3"/>
    <w:rsid w:val="00AA0638"/>
    <w:rsid w:val="00AA3D6F"/>
    <w:rsid w:val="00AA4D51"/>
    <w:rsid w:val="00AA70DF"/>
    <w:rsid w:val="00AB1745"/>
    <w:rsid w:val="00AB55AE"/>
    <w:rsid w:val="00AB6F7D"/>
    <w:rsid w:val="00AC2E3A"/>
    <w:rsid w:val="00AC7878"/>
    <w:rsid w:val="00AD493E"/>
    <w:rsid w:val="00AE30B5"/>
    <w:rsid w:val="00AE5755"/>
    <w:rsid w:val="00B06055"/>
    <w:rsid w:val="00B122A5"/>
    <w:rsid w:val="00B31337"/>
    <w:rsid w:val="00B44D8A"/>
    <w:rsid w:val="00B5271A"/>
    <w:rsid w:val="00B73AC8"/>
    <w:rsid w:val="00B747A7"/>
    <w:rsid w:val="00BA2BBF"/>
    <w:rsid w:val="00BB0FBD"/>
    <w:rsid w:val="00BC559C"/>
    <w:rsid w:val="00BE3BF9"/>
    <w:rsid w:val="00C17112"/>
    <w:rsid w:val="00C24267"/>
    <w:rsid w:val="00C41821"/>
    <w:rsid w:val="00C53013"/>
    <w:rsid w:val="00CA12A0"/>
    <w:rsid w:val="00CA5D42"/>
    <w:rsid w:val="00CA75A3"/>
    <w:rsid w:val="00CB40E1"/>
    <w:rsid w:val="00CF6DB6"/>
    <w:rsid w:val="00D134CA"/>
    <w:rsid w:val="00D1607E"/>
    <w:rsid w:val="00D52D5F"/>
    <w:rsid w:val="00D949A3"/>
    <w:rsid w:val="00DA1C8A"/>
    <w:rsid w:val="00DA3B55"/>
    <w:rsid w:val="00DB44F0"/>
    <w:rsid w:val="00DD109E"/>
    <w:rsid w:val="00DD3E18"/>
    <w:rsid w:val="00E12103"/>
    <w:rsid w:val="00E15AAE"/>
    <w:rsid w:val="00E21184"/>
    <w:rsid w:val="00E37875"/>
    <w:rsid w:val="00E40B8B"/>
    <w:rsid w:val="00E5742E"/>
    <w:rsid w:val="00E64AF5"/>
    <w:rsid w:val="00E722C2"/>
    <w:rsid w:val="00EA265F"/>
    <w:rsid w:val="00EA5685"/>
    <w:rsid w:val="00ED43FF"/>
    <w:rsid w:val="00EE1F27"/>
    <w:rsid w:val="00EE6600"/>
    <w:rsid w:val="00EF1D6A"/>
    <w:rsid w:val="00EF2E51"/>
    <w:rsid w:val="00F20081"/>
    <w:rsid w:val="00F21865"/>
    <w:rsid w:val="00F31E24"/>
    <w:rsid w:val="00F404E1"/>
    <w:rsid w:val="00F4535C"/>
    <w:rsid w:val="00F52474"/>
    <w:rsid w:val="00F5529D"/>
    <w:rsid w:val="00F56419"/>
    <w:rsid w:val="00F5669E"/>
    <w:rsid w:val="00F57D93"/>
    <w:rsid w:val="00F70A61"/>
    <w:rsid w:val="00F75D33"/>
    <w:rsid w:val="00F93F34"/>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3D123E"/>
    <w:rPr>
      <w:sz w:val="16"/>
      <w:szCs w:val="16"/>
    </w:rPr>
  </w:style>
  <w:style w:type="paragraph" w:styleId="CommentText">
    <w:name w:val="annotation text"/>
    <w:basedOn w:val="Normal"/>
    <w:link w:val="CommentTextChar"/>
    <w:uiPriority w:val="99"/>
    <w:semiHidden/>
    <w:unhideWhenUsed/>
    <w:rsid w:val="003D123E"/>
    <w:pPr>
      <w:spacing w:line="240" w:lineRule="auto"/>
    </w:pPr>
    <w:rPr>
      <w:sz w:val="20"/>
      <w:szCs w:val="20"/>
    </w:rPr>
  </w:style>
  <w:style w:type="character" w:customStyle="1" w:styleId="CommentTextChar">
    <w:name w:val="Comment Text Char"/>
    <w:basedOn w:val="DefaultParagraphFont"/>
    <w:link w:val="CommentText"/>
    <w:uiPriority w:val="99"/>
    <w:semiHidden/>
    <w:rsid w:val="003D123E"/>
    <w:rPr>
      <w:sz w:val="20"/>
      <w:szCs w:val="20"/>
    </w:rPr>
  </w:style>
  <w:style w:type="paragraph" w:styleId="CommentSubject">
    <w:name w:val="annotation subject"/>
    <w:basedOn w:val="CommentText"/>
    <w:next w:val="CommentText"/>
    <w:link w:val="CommentSubjectChar"/>
    <w:uiPriority w:val="99"/>
    <w:semiHidden/>
    <w:unhideWhenUsed/>
    <w:rsid w:val="003D123E"/>
    <w:rPr>
      <w:b/>
      <w:bCs/>
    </w:rPr>
  </w:style>
  <w:style w:type="character" w:customStyle="1" w:styleId="CommentSubjectChar">
    <w:name w:val="Comment Subject Char"/>
    <w:basedOn w:val="CommentTextChar"/>
    <w:link w:val="CommentSubject"/>
    <w:uiPriority w:val="99"/>
    <w:semiHidden/>
    <w:rsid w:val="003D123E"/>
    <w:rPr>
      <w:b/>
      <w:bCs/>
      <w:sz w:val="20"/>
      <w:szCs w:val="20"/>
    </w:rPr>
  </w:style>
  <w:style w:type="character" w:styleId="FollowedHyperlink">
    <w:name w:val="FollowedHyperlink"/>
    <w:basedOn w:val="DefaultParagraphFont"/>
    <w:uiPriority w:val="99"/>
    <w:semiHidden/>
    <w:unhideWhenUsed/>
    <w:rsid w:val="00660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DA3B55"/>
    <w:pPr>
      <w:spacing w:before="70" w:after="70" w:line="260" w:lineRule="atLeast"/>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3D123E"/>
    <w:rPr>
      <w:sz w:val="16"/>
      <w:szCs w:val="16"/>
    </w:rPr>
  </w:style>
  <w:style w:type="paragraph" w:styleId="CommentText">
    <w:name w:val="annotation text"/>
    <w:basedOn w:val="Normal"/>
    <w:link w:val="CommentTextChar"/>
    <w:uiPriority w:val="99"/>
    <w:semiHidden/>
    <w:unhideWhenUsed/>
    <w:rsid w:val="003D123E"/>
    <w:pPr>
      <w:spacing w:line="240" w:lineRule="auto"/>
    </w:pPr>
    <w:rPr>
      <w:sz w:val="20"/>
      <w:szCs w:val="20"/>
    </w:rPr>
  </w:style>
  <w:style w:type="character" w:customStyle="1" w:styleId="CommentTextChar">
    <w:name w:val="Comment Text Char"/>
    <w:basedOn w:val="DefaultParagraphFont"/>
    <w:link w:val="CommentText"/>
    <w:uiPriority w:val="99"/>
    <w:semiHidden/>
    <w:rsid w:val="003D123E"/>
    <w:rPr>
      <w:sz w:val="20"/>
      <w:szCs w:val="20"/>
    </w:rPr>
  </w:style>
  <w:style w:type="paragraph" w:styleId="CommentSubject">
    <w:name w:val="annotation subject"/>
    <w:basedOn w:val="CommentText"/>
    <w:next w:val="CommentText"/>
    <w:link w:val="CommentSubjectChar"/>
    <w:uiPriority w:val="99"/>
    <w:semiHidden/>
    <w:unhideWhenUsed/>
    <w:rsid w:val="003D123E"/>
    <w:rPr>
      <w:b/>
      <w:bCs/>
    </w:rPr>
  </w:style>
  <w:style w:type="character" w:customStyle="1" w:styleId="CommentSubjectChar">
    <w:name w:val="Comment Subject Char"/>
    <w:basedOn w:val="CommentTextChar"/>
    <w:link w:val="CommentSubject"/>
    <w:uiPriority w:val="99"/>
    <w:semiHidden/>
    <w:rsid w:val="003D123E"/>
    <w:rPr>
      <w:b/>
      <w:bCs/>
      <w:sz w:val="20"/>
      <w:szCs w:val="20"/>
    </w:rPr>
  </w:style>
  <w:style w:type="character" w:styleId="FollowedHyperlink">
    <w:name w:val="FollowedHyperlink"/>
    <w:basedOn w:val="DefaultParagraphFont"/>
    <w:uiPriority w:val="99"/>
    <w:semiHidden/>
    <w:unhideWhenUsed/>
    <w:rsid w:val="00660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sites/greens.org.au/files/Tax%20Avoidance%20Packag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708938B-0DBC-42C6-9E74-B6F510FC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PBO - GRN007 - Restoring Trust in Trusts - 24 June 2016</vt:lpstr>
    </vt:vector>
  </TitlesOfParts>
  <Company>Parliament of Australia</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GRN007 - Restoring Trust in Trusts - 24 June 2016</dc:title>
  <dc:creator>Parliamentary Budget Office</dc:creator>
  <cp:lastModifiedBy>Milligan, Louise (PBO)</cp:lastModifiedBy>
  <cp:revision>6</cp:revision>
  <cp:lastPrinted>2016-06-24T09:19:00Z</cp:lastPrinted>
  <dcterms:created xsi:type="dcterms:W3CDTF">2016-06-24T10:31:00Z</dcterms:created>
  <dcterms:modified xsi:type="dcterms:W3CDTF">2016-06-27T01:36:00Z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