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E75128" w:rsidP="00186660">
      <w:pPr>
        <w:pStyle w:val="Lettertext"/>
        <w:spacing w:before="1560"/>
      </w:pPr>
      <w:r>
        <w:t>Senator Richard Di Natale</w:t>
      </w:r>
    </w:p>
    <w:p w:rsidR="00040DCE" w:rsidRPr="00002D5D" w:rsidRDefault="00E75128" w:rsidP="00186660">
      <w:pPr>
        <w:pStyle w:val="Lettertext"/>
        <w:spacing w:before="0"/>
      </w:pPr>
      <w:r>
        <w:t>Leader of the Australian Greens</w:t>
      </w:r>
    </w:p>
    <w:p w:rsidR="00040DCE" w:rsidRPr="00002D5D" w:rsidRDefault="005C6967" w:rsidP="00186660">
      <w:pPr>
        <w:pStyle w:val="Lettertext"/>
        <w:spacing w:before="0"/>
      </w:pPr>
      <w:r>
        <w:t>Parliament House</w:t>
      </w:r>
    </w:p>
    <w:p w:rsidR="00040DCE" w:rsidRPr="00002D5D" w:rsidRDefault="005C6967" w:rsidP="00186660">
      <w:pPr>
        <w:pStyle w:val="Lettertext"/>
        <w:spacing w:before="0"/>
      </w:pPr>
      <w:proofErr w:type="gramStart"/>
      <w:r>
        <w:t>CANBERRA  ACT</w:t>
      </w:r>
      <w:proofErr w:type="gramEnd"/>
      <w:r>
        <w:t xml:space="preserve">  2600</w:t>
      </w:r>
    </w:p>
    <w:p w:rsidR="00040DCE" w:rsidRPr="00002D5D" w:rsidRDefault="00040DCE" w:rsidP="00186660">
      <w:pPr>
        <w:pStyle w:val="Lettertext"/>
        <w:spacing w:before="480"/>
      </w:pPr>
      <w:r w:rsidRPr="00002D5D">
        <w:t xml:space="preserve">Dear </w:t>
      </w:r>
      <w:r w:rsidR="00E75128">
        <w:t>Senator Di Natale</w:t>
      </w:r>
    </w:p>
    <w:p w:rsidR="00040DCE" w:rsidRPr="00002D5D" w:rsidRDefault="00040DCE" w:rsidP="00186660">
      <w:pPr>
        <w:pStyle w:val="Lettertext"/>
      </w:pPr>
      <w:r w:rsidRPr="00002D5D">
        <w:t xml:space="preserve">Please find attached a response to your costing request, </w:t>
      </w:r>
      <w:r w:rsidR="00E75128">
        <w:rPr>
          <w:i/>
        </w:rPr>
        <w:t>High Income Tax Guarantee (The Buffett Rule)</w:t>
      </w:r>
      <w:r w:rsidRPr="00002D5D">
        <w:t xml:space="preserve"> (letter of </w:t>
      </w:r>
      <w:r w:rsidR="00E75128">
        <w:t xml:space="preserve">23 June </w:t>
      </w:r>
      <w:r w:rsidRPr="00002D5D">
        <w:t>2016).</w:t>
      </w:r>
    </w:p>
    <w:p w:rsidR="00040DCE" w:rsidRPr="00002D5D" w:rsidRDefault="00040DCE" w:rsidP="00186660">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186660">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186660">
      <w:pPr>
        <w:pStyle w:val="Lettertext"/>
      </w:pPr>
      <w:r w:rsidRPr="00002D5D">
        <w:t>Yours sincerely</w:t>
      </w:r>
    </w:p>
    <w:p w:rsidR="00040DCE" w:rsidRPr="00002D5D" w:rsidRDefault="00DA1C8A" w:rsidP="00186660">
      <w:pPr>
        <w:pStyle w:val="Lettertext"/>
        <w:spacing w:before="960"/>
      </w:pPr>
      <w:r w:rsidRPr="00002D5D">
        <w:t>Phil Bowen</w:t>
      </w:r>
    </w:p>
    <w:p w:rsidR="00096F3A" w:rsidRPr="00002D5D" w:rsidRDefault="00082D8F" w:rsidP="00082D8F">
      <w:pPr>
        <w:pStyle w:val="Lettertext"/>
        <w:spacing w:before="120"/>
      </w:pPr>
      <w:r>
        <w:t xml:space="preserve">25 </w:t>
      </w:r>
      <w:bookmarkStart w:id="0" w:name="_GoBack"/>
      <w:bookmarkEnd w:id="0"/>
      <w:r w:rsidR="00E75128">
        <w:t>June</w:t>
      </w:r>
      <w:r w:rsidR="00040DCE" w:rsidRPr="00002D5D">
        <w:t xml:space="preserve"> </w:t>
      </w:r>
      <w:r w:rsidR="00DA1C8A" w:rsidRPr="00002D5D">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headerReference w:type="default" r:id="rId10"/>
          <w:footerReference w:type="default" r:id="rId11"/>
          <w:headerReference w:type="first" r:id="rId12"/>
          <w:footerReference w:type="first" r:id="rId13"/>
          <w:pgSz w:w="11906" w:h="16838"/>
          <w:pgMar w:top="1361" w:right="1797" w:bottom="1474" w:left="1797" w:header="709" w:footer="709" w:gutter="0"/>
          <w:cols w:space="708"/>
          <w:titlePg/>
          <w:docGrid w:linePitch="360"/>
        </w:sectPr>
      </w:pPr>
    </w:p>
    <w:p w:rsidR="008F588A" w:rsidRDefault="008F588A" w:rsidP="00C440C5">
      <w:pPr>
        <w:pStyle w:val="Heading1"/>
        <w:spacing w:before="360" w:after="240"/>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605762" w:rsidRDefault="004D5525" w:rsidP="00605762">
            <w:pPr>
              <w:rPr>
                <w:sz w:val="22"/>
              </w:rPr>
            </w:pPr>
            <w:r w:rsidRPr="00605762">
              <w:rPr>
                <w:sz w:val="22"/>
              </w:rPr>
              <w:t>Name of proposal:</w:t>
            </w:r>
          </w:p>
        </w:tc>
        <w:tc>
          <w:tcPr>
            <w:tcW w:w="5335" w:type="dxa"/>
          </w:tcPr>
          <w:p w:rsidR="004D5525" w:rsidRPr="00605762" w:rsidRDefault="00A20532" w:rsidP="00605762">
            <w:pPr>
              <w:rPr>
                <w:sz w:val="22"/>
              </w:rPr>
            </w:pPr>
            <w:r w:rsidRPr="00605762">
              <w:rPr>
                <w:sz w:val="22"/>
              </w:rPr>
              <w:t>High Income Tax Guarantee (The Buffett Rule)</w:t>
            </w:r>
          </w:p>
        </w:tc>
      </w:tr>
      <w:tr w:rsidR="00A20532" w:rsidTr="00D52D5F">
        <w:tc>
          <w:tcPr>
            <w:tcW w:w="3005" w:type="dxa"/>
          </w:tcPr>
          <w:p w:rsidR="00A20532" w:rsidRPr="00605762" w:rsidRDefault="00A20532" w:rsidP="00605762">
            <w:r w:rsidRPr="00605762">
              <w:t>Summary of proposal:</w:t>
            </w:r>
          </w:p>
        </w:tc>
        <w:tc>
          <w:tcPr>
            <w:tcW w:w="5335" w:type="dxa"/>
          </w:tcPr>
          <w:p w:rsidR="00A20532" w:rsidRPr="00605762" w:rsidRDefault="00A20532" w:rsidP="009F0F88">
            <w:pPr>
              <w:spacing w:before="120" w:after="120"/>
              <w:rPr>
                <w:rFonts w:ascii="Calibri" w:hAnsi="Calibri"/>
              </w:rPr>
            </w:pPr>
            <w:r w:rsidRPr="00605762">
              <w:rPr>
                <w:rFonts w:ascii="Calibri" w:hAnsi="Calibri"/>
              </w:rPr>
              <w:t xml:space="preserve">The proposal would impose a minimum income tax liability of 35 per cent of total income for individuals with total income above $300,000. </w:t>
            </w:r>
          </w:p>
          <w:p w:rsidR="00A20532" w:rsidRPr="00605762" w:rsidRDefault="00A20532" w:rsidP="009F0F88">
            <w:pPr>
              <w:spacing w:before="120" w:after="120"/>
              <w:rPr>
                <w:rFonts w:ascii="Calibri" w:hAnsi="Calibri"/>
              </w:rPr>
            </w:pPr>
            <w:r w:rsidRPr="00605762">
              <w:rPr>
                <w:rFonts w:ascii="Calibri" w:hAnsi="Calibri"/>
              </w:rPr>
              <w:t>The proposal would take effect from 1 September 2016.</w:t>
            </w:r>
          </w:p>
          <w:p w:rsidR="001A73AE" w:rsidRPr="00605762" w:rsidRDefault="001A73AE" w:rsidP="0076574C">
            <w:pPr>
              <w:spacing w:before="120" w:after="120"/>
              <w:rPr>
                <w:rFonts w:ascii="Calibri" w:hAnsi="Calibri"/>
              </w:rPr>
            </w:pPr>
            <w:r w:rsidRPr="00605762">
              <w:rPr>
                <w:rFonts w:ascii="Calibri" w:hAnsi="Calibri"/>
              </w:rPr>
              <w:t xml:space="preserve">The </w:t>
            </w:r>
            <w:r w:rsidR="00130EA2" w:rsidRPr="00605762">
              <w:rPr>
                <w:rFonts w:ascii="Calibri" w:hAnsi="Calibri"/>
              </w:rPr>
              <w:t xml:space="preserve">request noted that this </w:t>
            </w:r>
            <w:r w:rsidRPr="00605762">
              <w:rPr>
                <w:rFonts w:ascii="Calibri" w:hAnsi="Calibri"/>
              </w:rPr>
              <w:t xml:space="preserve">proposal would </w:t>
            </w:r>
            <w:r w:rsidR="00130EA2" w:rsidRPr="00605762">
              <w:rPr>
                <w:rFonts w:ascii="Calibri" w:hAnsi="Calibri"/>
              </w:rPr>
              <w:t>interact with</w:t>
            </w:r>
            <w:r w:rsidR="0051141E" w:rsidRPr="00605762">
              <w:rPr>
                <w:rFonts w:ascii="Calibri" w:hAnsi="Calibri"/>
              </w:rPr>
              <w:t xml:space="preserve"> the</w:t>
            </w:r>
            <w:r w:rsidR="009F5078" w:rsidRPr="00605762">
              <w:rPr>
                <w:rFonts w:ascii="Calibri" w:hAnsi="Calibri"/>
              </w:rPr>
              <w:t xml:space="preserve"> </w:t>
            </w:r>
            <w:r w:rsidR="00806DD6" w:rsidRPr="00605762">
              <w:rPr>
                <w:rFonts w:ascii="Calibri" w:hAnsi="Calibri"/>
                <w:i/>
              </w:rPr>
              <w:t>Top</w:t>
            </w:r>
            <w:r w:rsidR="009F5078" w:rsidRPr="00605762">
              <w:rPr>
                <w:rFonts w:ascii="Calibri" w:hAnsi="Calibri"/>
                <w:i/>
              </w:rPr>
              <w:t xml:space="preserve"> Marginal Tax Rates</w:t>
            </w:r>
            <w:r w:rsidR="009F5078" w:rsidRPr="00605762">
              <w:rPr>
                <w:rFonts w:ascii="Calibri" w:hAnsi="Calibri"/>
              </w:rPr>
              <w:t xml:space="preserve"> </w:t>
            </w:r>
            <w:r w:rsidR="00E53AFE" w:rsidRPr="00605762">
              <w:rPr>
                <w:rFonts w:ascii="Calibri" w:hAnsi="Calibri"/>
              </w:rPr>
              <w:t xml:space="preserve">(GRN005) </w:t>
            </w:r>
            <w:r w:rsidR="009F5078" w:rsidRPr="00605762">
              <w:rPr>
                <w:rFonts w:ascii="Calibri" w:hAnsi="Calibri"/>
              </w:rPr>
              <w:t>proposal</w:t>
            </w:r>
            <w:r w:rsidR="00130EA2" w:rsidRPr="00605762">
              <w:rPr>
                <w:rFonts w:ascii="Calibri" w:hAnsi="Calibri"/>
              </w:rPr>
              <w:t>.</w:t>
            </w:r>
            <w:r w:rsidR="009F5078" w:rsidRPr="00605762">
              <w:rPr>
                <w:rFonts w:ascii="Calibri" w:hAnsi="Calibri"/>
              </w:rPr>
              <w:t xml:space="preserve"> </w:t>
            </w:r>
          </w:p>
        </w:tc>
      </w:tr>
      <w:tr w:rsidR="004D5525" w:rsidTr="00D52D5F">
        <w:tc>
          <w:tcPr>
            <w:tcW w:w="3005" w:type="dxa"/>
          </w:tcPr>
          <w:p w:rsidR="004D5525" w:rsidRPr="00605762" w:rsidRDefault="004D5525" w:rsidP="00605762">
            <w:r w:rsidRPr="00605762">
              <w:t>Person/party requesting costing:</w:t>
            </w:r>
          </w:p>
        </w:tc>
        <w:tc>
          <w:tcPr>
            <w:tcW w:w="5335" w:type="dxa"/>
          </w:tcPr>
          <w:p w:rsidR="004D5525" w:rsidRPr="00605762" w:rsidRDefault="00A20532" w:rsidP="00605762">
            <w:r w:rsidRPr="00605762">
              <w:t>Senator Richard Di Natale, Australian Greens</w:t>
            </w:r>
          </w:p>
        </w:tc>
      </w:tr>
      <w:tr w:rsidR="007D3577" w:rsidTr="00060F22">
        <w:tc>
          <w:tcPr>
            <w:tcW w:w="3005" w:type="dxa"/>
          </w:tcPr>
          <w:p w:rsidR="007D3577" w:rsidRPr="00605762" w:rsidRDefault="007D3577" w:rsidP="00605762">
            <w:r w:rsidRPr="00605762">
              <w:t>Date of public release of policy:</w:t>
            </w:r>
          </w:p>
        </w:tc>
        <w:tc>
          <w:tcPr>
            <w:tcW w:w="5335" w:type="dxa"/>
          </w:tcPr>
          <w:p w:rsidR="007151BA" w:rsidRPr="00605762" w:rsidRDefault="001F72AB" w:rsidP="00605762">
            <w:pPr>
              <w:spacing w:after="0"/>
            </w:pPr>
            <w:r w:rsidRPr="00605762">
              <w:t>26 April</w:t>
            </w:r>
            <w:r w:rsidR="00A20532" w:rsidRPr="00605762">
              <w:t xml:space="preserve"> 2016</w:t>
            </w:r>
            <w:r w:rsidR="003F7283">
              <w:t xml:space="preserve"> - </w:t>
            </w:r>
          </w:p>
          <w:p w:rsidR="005509A7" w:rsidRPr="00605762" w:rsidRDefault="00B70C2B" w:rsidP="00605762">
            <w:pPr>
              <w:spacing w:before="0"/>
            </w:pPr>
            <w:hyperlink r:id="rId14" w:history="1">
              <w:r w:rsidR="005509A7" w:rsidRPr="00605762">
                <w:rPr>
                  <w:rStyle w:val="Hyperlink"/>
                  <w:rFonts w:ascii="Calibri" w:hAnsi="Calibri"/>
                </w:rPr>
                <w:t>http://greens.org.au/buffett-rule</w:t>
              </w:r>
            </w:hyperlink>
          </w:p>
        </w:tc>
      </w:tr>
      <w:tr w:rsidR="004D5525" w:rsidTr="00D52D5F">
        <w:tc>
          <w:tcPr>
            <w:tcW w:w="3005" w:type="dxa"/>
          </w:tcPr>
          <w:p w:rsidR="004D5525" w:rsidRPr="00605762" w:rsidRDefault="004D5525" w:rsidP="00605762">
            <w:r w:rsidRPr="00605762">
              <w:t>Date costing request received:</w:t>
            </w:r>
          </w:p>
        </w:tc>
        <w:tc>
          <w:tcPr>
            <w:tcW w:w="5335" w:type="dxa"/>
          </w:tcPr>
          <w:p w:rsidR="004D5525" w:rsidRPr="00605762" w:rsidRDefault="00A20532" w:rsidP="00605762">
            <w:r w:rsidRPr="00605762">
              <w:t>23 June 2016</w:t>
            </w:r>
          </w:p>
        </w:tc>
      </w:tr>
      <w:tr w:rsidR="004D5525" w:rsidTr="00D52D5F">
        <w:tc>
          <w:tcPr>
            <w:tcW w:w="3005" w:type="dxa"/>
          </w:tcPr>
          <w:p w:rsidR="004D5525" w:rsidRPr="00605762" w:rsidRDefault="004D5525" w:rsidP="00605762">
            <w:r w:rsidRPr="00605762">
              <w:t>Date costing completed</w:t>
            </w:r>
          </w:p>
        </w:tc>
        <w:tc>
          <w:tcPr>
            <w:tcW w:w="5335" w:type="dxa"/>
          </w:tcPr>
          <w:p w:rsidR="004D5525" w:rsidRPr="00605762" w:rsidRDefault="00DA362A" w:rsidP="00605762">
            <w:r w:rsidRPr="00605762">
              <w:t>2</w:t>
            </w:r>
            <w:r w:rsidR="00CB2FE8" w:rsidRPr="00605762">
              <w:t>5</w:t>
            </w:r>
            <w:r w:rsidR="00A20532" w:rsidRPr="00605762">
              <w:t xml:space="preserve"> June 2016</w:t>
            </w:r>
          </w:p>
        </w:tc>
      </w:tr>
      <w:tr w:rsidR="004D5525" w:rsidTr="00D52D5F">
        <w:tc>
          <w:tcPr>
            <w:tcW w:w="3005" w:type="dxa"/>
          </w:tcPr>
          <w:p w:rsidR="004D5525" w:rsidRPr="00605762" w:rsidRDefault="004D5525" w:rsidP="00605762">
            <w:r w:rsidRPr="00605762">
              <w:t>Additional information received (including date):</w:t>
            </w:r>
          </w:p>
        </w:tc>
        <w:tc>
          <w:tcPr>
            <w:tcW w:w="5335" w:type="dxa"/>
          </w:tcPr>
          <w:p w:rsidR="004D5525" w:rsidRPr="00605762" w:rsidRDefault="00CF18E0" w:rsidP="00605762">
            <w:r w:rsidRPr="00605762">
              <w:t xml:space="preserve">On 23 June 2016, Senator Di </w:t>
            </w:r>
            <w:proofErr w:type="spellStart"/>
            <w:r w:rsidRPr="00605762">
              <w:t>Natale’s</w:t>
            </w:r>
            <w:proofErr w:type="spellEnd"/>
            <w:r w:rsidRPr="00605762">
              <w:t xml:space="preserve"> office </w:t>
            </w:r>
            <w:r w:rsidR="001A73AE" w:rsidRPr="00605762">
              <w:t>advised</w:t>
            </w:r>
            <w:r w:rsidRPr="00605762">
              <w:t xml:space="preserve"> that:</w:t>
            </w:r>
          </w:p>
          <w:p w:rsidR="00CF18E0" w:rsidRPr="00605762" w:rsidRDefault="003F7283" w:rsidP="00605762">
            <w:pPr>
              <w:pStyle w:val="Bullet1"/>
            </w:pPr>
            <w:r w:rsidRPr="00605762">
              <w:t>t</w:t>
            </w:r>
            <w:r w:rsidR="00CF18E0" w:rsidRPr="00605762">
              <w:t>otal income would consist of assessable income, net investment losses, exempt foreign employment income, reportable superannuation contributions and reportable fringe benefits</w:t>
            </w:r>
          </w:p>
          <w:p w:rsidR="00CF18E0" w:rsidRPr="00605762" w:rsidRDefault="003F7283" w:rsidP="00605762">
            <w:pPr>
              <w:pStyle w:val="Bullet1"/>
            </w:pPr>
            <w:r w:rsidRPr="00605762">
              <w:t>n</w:t>
            </w:r>
            <w:r w:rsidR="00CF18E0" w:rsidRPr="00605762">
              <w:t>et (rather than gross) business and investment income would be included in the calculation of total income</w:t>
            </w:r>
          </w:p>
          <w:p w:rsidR="00CF18E0" w:rsidRPr="00605762" w:rsidRDefault="003F7283" w:rsidP="00605762">
            <w:pPr>
              <w:pStyle w:val="Bullet1"/>
            </w:pPr>
            <w:r w:rsidRPr="00605762">
              <w:t>t</w:t>
            </w:r>
            <w:r w:rsidR="00CF18E0" w:rsidRPr="00605762">
              <w:t>he benchmark measure of tax for the calculation of the additional tax payable under the proposal would be gross tax, including the Medicare levy where applicable</w:t>
            </w:r>
          </w:p>
          <w:p w:rsidR="00CF18E0" w:rsidRPr="00605762" w:rsidRDefault="003F7283" w:rsidP="00605762">
            <w:pPr>
              <w:pStyle w:val="Bullet1"/>
            </w:pPr>
            <w:r w:rsidRPr="00605762">
              <w:t>r</w:t>
            </w:r>
            <w:r w:rsidR="00CF18E0" w:rsidRPr="00605762">
              <w:t>efundable tax credits and non-refundable tax offsets could not be used to reduce the minimum tax liability under the proposal</w:t>
            </w:r>
          </w:p>
          <w:p w:rsidR="00CF18E0" w:rsidRPr="00605762" w:rsidRDefault="003F7283" w:rsidP="00605762">
            <w:pPr>
              <w:pStyle w:val="Bullet1"/>
            </w:pPr>
            <w:proofErr w:type="gramStart"/>
            <w:r w:rsidRPr="00605762">
              <w:t>t</w:t>
            </w:r>
            <w:r w:rsidR="00CF18E0" w:rsidRPr="00605762">
              <w:t>he</w:t>
            </w:r>
            <w:proofErr w:type="gramEnd"/>
            <w:r w:rsidR="00CF18E0" w:rsidRPr="00605762">
              <w:t xml:space="preserve"> $300,000 threshold would be indexed each two</w:t>
            </w:r>
            <w:r w:rsidR="00605762">
              <w:t xml:space="preserve"> </w:t>
            </w:r>
            <w:r w:rsidR="00CF18E0" w:rsidRPr="00605762">
              <w:t xml:space="preserve">years from the date of implementation in line with the growth in </w:t>
            </w:r>
            <w:r w:rsidR="005D535C" w:rsidRPr="00605762">
              <w:t>Male Total Average Weekly Earnings</w:t>
            </w:r>
            <w:r w:rsidR="00806DD6" w:rsidRPr="00605762">
              <w:t>.</w:t>
            </w:r>
          </w:p>
        </w:tc>
      </w:tr>
      <w:tr w:rsidR="004D5525" w:rsidTr="00D52D5F">
        <w:tc>
          <w:tcPr>
            <w:tcW w:w="3005" w:type="dxa"/>
          </w:tcPr>
          <w:p w:rsidR="004D5525" w:rsidRPr="00C440C5" w:rsidRDefault="004D5525" w:rsidP="004D5525">
            <w:pPr>
              <w:pStyle w:val="BodyText"/>
              <w:rPr>
                <w:rFonts w:ascii="Calibri" w:hAnsi="Calibri"/>
              </w:rPr>
            </w:pPr>
            <w:r w:rsidRPr="00C440C5">
              <w:rPr>
                <w:rFonts w:ascii="Calibri" w:hAnsi="Calibri"/>
              </w:rPr>
              <w:t>Expiry date for the costing:</w:t>
            </w:r>
          </w:p>
        </w:tc>
        <w:tc>
          <w:tcPr>
            <w:tcW w:w="5335" w:type="dxa"/>
          </w:tcPr>
          <w:p w:rsidR="004D5525" w:rsidRPr="00C440C5" w:rsidRDefault="00F4535C" w:rsidP="00220BE5">
            <w:pPr>
              <w:pStyle w:val="BodyText"/>
              <w:rPr>
                <w:rFonts w:ascii="Calibri" w:hAnsi="Calibri"/>
              </w:rPr>
            </w:pPr>
            <w:r w:rsidRPr="00C440C5">
              <w:rPr>
                <w:rFonts w:ascii="Calibri" w:hAnsi="Calibri"/>
              </w:rPr>
              <w:t>Release of the next economic and fiscal outlook report</w:t>
            </w:r>
          </w:p>
        </w:tc>
      </w:tr>
    </w:tbl>
    <w:p w:rsidR="0055581F" w:rsidRPr="00002D5D" w:rsidRDefault="008030EC" w:rsidP="00FC6579">
      <w:pPr>
        <w:pStyle w:val="Heading2"/>
      </w:pPr>
      <w:r w:rsidRPr="00002D5D">
        <w:lastRenderedPageBreak/>
        <w:t>Costing overview</w:t>
      </w:r>
    </w:p>
    <w:p w:rsidR="00E1444A" w:rsidRDefault="00FF6114" w:rsidP="0051141E">
      <w:r w:rsidRPr="00FF6114">
        <w:t>This</w:t>
      </w:r>
      <w:r>
        <w:t xml:space="preserve"> proposal would be expected to increase both the fiscal and underlying cash balances by $8,388 million over the 2016</w:t>
      </w:r>
      <w:r>
        <w:noBreakHyphen/>
        <w:t xml:space="preserve">17 Budget forward estimates period.  This reflects an increase in revenue of $8,400 million, partly offset by an increase in departmental </w:t>
      </w:r>
      <w:r w:rsidR="00C827D0">
        <w:t>expenditure</w:t>
      </w:r>
      <w:r>
        <w:t xml:space="preserve"> of $12 million for the Australian Taxation Office (ATO) over this period.</w:t>
      </w:r>
    </w:p>
    <w:p w:rsidR="00E1444A" w:rsidRPr="00FF6114" w:rsidRDefault="00E1444A" w:rsidP="00002D5D">
      <w:r>
        <w:t xml:space="preserve">The financial implications of this proposal include the impact </w:t>
      </w:r>
      <w:r w:rsidR="007C0220">
        <w:t>of</w:t>
      </w:r>
      <w:r>
        <w:t xml:space="preserve"> interactions between this proposal and the </w:t>
      </w:r>
      <w:r w:rsidRPr="005A603A">
        <w:rPr>
          <w:i/>
        </w:rPr>
        <w:t xml:space="preserve">Top Marginal Tax Rates </w:t>
      </w:r>
      <w:r w:rsidRPr="00CE0260">
        <w:t>(GRN005)</w:t>
      </w:r>
      <w:r w:rsidRPr="005A603A">
        <w:t xml:space="preserve"> </w:t>
      </w:r>
      <w:r>
        <w:t xml:space="preserve">proposal.  </w:t>
      </w:r>
      <w:r w:rsidR="0076574C">
        <w:t xml:space="preserve">This </w:t>
      </w:r>
      <w:r>
        <w:t>would reduce the revenue that would be expected from this proposal</w:t>
      </w:r>
      <w:r w:rsidR="0076574C">
        <w:t xml:space="preserve"> by $1,100 million over the 2016</w:t>
      </w:r>
      <w:r w:rsidR="0076574C">
        <w:noBreakHyphen/>
        <w:t>17</w:t>
      </w:r>
      <w:r w:rsidR="00EA2204">
        <w:t> </w:t>
      </w:r>
      <w:r w:rsidR="0076574C">
        <w:t>Budget forward estimates period,</w:t>
      </w:r>
      <w:r>
        <w:t xml:space="preserve"> </w:t>
      </w:r>
      <w:r w:rsidR="0076574C">
        <w:t>as</w:t>
      </w:r>
      <w:r>
        <w:t xml:space="preserve"> fewer taxpayers above the relevant income thresholds would </w:t>
      </w:r>
      <w:r w:rsidR="0076574C">
        <w:t>have a tax liability below 35 per cent of total income</w:t>
      </w:r>
      <w:r>
        <w:t>.</w:t>
      </w:r>
    </w:p>
    <w:p w:rsidR="009F5078" w:rsidRPr="009F5078" w:rsidRDefault="009F5078" w:rsidP="009F5078">
      <w:pPr>
        <w:rPr>
          <w:u w:val="single"/>
        </w:rPr>
      </w:pPr>
      <w:r>
        <w:t xml:space="preserve">The proposal would have ongoing financial implications beyond the </w:t>
      </w:r>
      <w:r w:rsidR="00806DD6">
        <w:t>2016</w:t>
      </w:r>
      <w:r w:rsidR="00806DD6">
        <w:noBreakHyphen/>
        <w:t xml:space="preserve">17 Budget </w:t>
      </w:r>
      <w:r>
        <w:t xml:space="preserve">forward estimates period.  </w:t>
      </w:r>
      <w:r w:rsidR="00130EA2">
        <w:t>Detailed f</w:t>
      </w:r>
      <w:r>
        <w:t xml:space="preserve">inancial implications are provided at </w:t>
      </w:r>
      <w:r w:rsidRPr="009F5078">
        <w:rPr>
          <w:u w:val="single"/>
        </w:rPr>
        <w:t>Attachment A</w:t>
      </w:r>
      <w:r w:rsidRPr="00062620">
        <w:t>.</w:t>
      </w:r>
    </w:p>
    <w:p w:rsidR="009F5078" w:rsidRDefault="009F5078" w:rsidP="009F5078">
      <w:r>
        <w:t xml:space="preserve">This costing is considered to be of </w:t>
      </w:r>
      <w:r w:rsidRPr="00523F76">
        <w:t>low reliability</w:t>
      </w:r>
      <w:r>
        <w:t>.  The results were estimated based on a large representative sample of administrative tax data.  However, the estimates would be sensitive to behavioural responses by individuals affected by this proposal and to variations in population and income growth.</w:t>
      </w:r>
    </w:p>
    <w:p w:rsidR="00613E53" w:rsidRPr="00FC6579" w:rsidRDefault="00613E53" w:rsidP="00613E53">
      <w:pPr>
        <w:pStyle w:val="Captionheading"/>
      </w:pPr>
      <w:r w:rsidRPr="00FC6579">
        <w:t>Table 1: Financial implications (outturn prices</w:t>
      </w:r>
      <w:proofErr w:type="gramStart"/>
      <w:r w:rsidRPr="00FC6579">
        <w:t>)</w:t>
      </w:r>
      <w:r w:rsidRPr="00844776">
        <w:rPr>
          <w:vertAlign w:val="superscript"/>
        </w:rPr>
        <w:t>(</w:t>
      </w:r>
      <w:proofErr w:type="gramEnd"/>
      <w:r w:rsidRPr="00844776">
        <w:rPr>
          <w:vertAlign w:val="superscript"/>
        </w:rPr>
        <w:t>a)</w:t>
      </w:r>
      <w:r w:rsidR="002312EE">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13E53" w:rsidRPr="00B73AC8" w:rsidTr="00E213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613E53" w:rsidRPr="00B73AC8" w:rsidRDefault="00613E53" w:rsidP="00C440C5">
            <w:pPr>
              <w:pStyle w:val="TableText"/>
              <w:keepNext/>
              <w:keepLines/>
              <w:spacing w:line="240" w:lineRule="auto"/>
              <w:ind w:left="57" w:right="57"/>
              <w:rPr>
                <w:rFonts w:ascii="Calibri" w:hAnsi="Calibri"/>
                <w:szCs w:val="20"/>
              </w:rPr>
            </w:pPr>
            <w:r w:rsidRPr="00B73AC8">
              <w:rPr>
                <w:rFonts w:ascii="Calibri" w:hAnsi="Calibri"/>
                <w:szCs w:val="20"/>
              </w:rPr>
              <w:t>Impact on</w:t>
            </w:r>
            <w:r>
              <w:rPr>
                <w:rFonts w:ascii="Calibri" w:hAnsi="Calibri"/>
                <w:szCs w:val="20"/>
              </w:rPr>
              <w:t xml:space="preserve"> ($m)</w:t>
            </w:r>
          </w:p>
        </w:tc>
        <w:tc>
          <w:tcPr>
            <w:tcW w:w="682" w:type="pct"/>
          </w:tcPr>
          <w:p w:rsidR="00613E53" w:rsidRPr="00B73AC8" w:rsidRDefault="00613E53" w:rsidP="00C440C5">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613E53" w:rsidRPr="00B73AC8" w:rsidRDefault="00613E53" w:rsidP="00C440C5">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613E53" w:rsidRPr="00B73AC8" w:rsidRDefault="00613E53" w:rsidP="00C440C5">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613E53" w:rsidRPr="00B73AC8" w:rsidRDefault="00613E53" w:rsidP="00C440C5">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613E53" w:rsidRPr="00F97DFF" w:rsidRDefault="00613E53" w:rsidP="00C440C5">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841DEB" w:rsidRPr="00B73AC8" w:rsidTr="00E21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841DEB" w:rsidRPr="00B73AC8" w:rsidRDefault="00841DEB" w:rsidP="00C440C5">
            <w:pPr>
              <w:pStyle w:val="TableTextCentred"/>
              <w:keepNext/>
              <w:keepLines/>
              <w:spacing w:line="240" w:lineRule="auto"/>
              <w:ind w:left="57" w:right="57"/>
              <w:jc w:val="left"/>
              <w:rPr>
                <w:szCs w:val="20"/>
              </w:rPr>
            </w:pPr>
            <w:r w:rsidRPr="00B73AC8">
              <w:rPr>
                <w:szCs w:val="20"/>
              </w:rPr>
              <w:t>Fiscal balance</w:t>
            </w:r>
          </w:p>
        </w:tc>
        <w:tc>
          <w:tcPr>
            <w:tcW w:w="682" w:type="pct"/>
          </w:tcPr>
          <w:p w:rsidR="00841DEB" w:rsidRPr="00FF6114" w:rsidRDefault="00841DEB" w:rsidP="00C440C5">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C45BE9">
              <w:t>-3</w:t>
            </w:r>
            <w:r w:rsidR="00DD5F3E">
              <w:t>0</w:t>
            </w:r>
            <w:r w:rsidRPr="00C45BE9">
              <w:t xml:space="preserve">6.0 </w:t>
            </w:r>
          </w:p>
        </w:tc>
        <w:tc>
          <w:tcPr>
            <w:tcW w:w="682" w:type="pct"/>
          </w:tcPr>
          <w:p w:rsidR="00841DEB" w:rsidRPr="00FF6114" w:rsidRDefault="00841DEB" w:rsidP="00C440C5">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C45BE9">
              <w:t xml:space="preserve"> 2,</w:t>
            </w:r>
            <w:r w:rsidR="00DD5F3E">
              <w:t>19</w:t>
            </w:r>
            <w:r w:rsidRPr="00C45BE9">
              <w:t xml:space="preserve">6.0 </w:t>
            </w:r>
          </w:p>
        </w:tc>
        <w:tc>
          <w:tcPr>
            <w:tcW w:w="682" w:type="pct"/>
          </w:tcPr>
          <w:p w:rsidR="00841DEB" w:rsidRPr="00FF6114" w:rsidRDefault="00841DEB" w:rsidP="00C440C5">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FF6114">
              <w:rPr>
                <w:rFonts w:ascii="Calibri" w:hAnsi="Calibri"/>
                <w:color w:val="000000"/>
                <w:szCs w:val="20"/>
              </w:rPr>
              <w:t>3,299</w:t>
            </w:r>
            <w:r>
              <w:rPr>
                <w:rFonts w:ascii="Calibri" w:hAnsi="Calibri"/>
                <w:color w:val="000000"/>
                <w:szCs w:val="20"/>
              </w:rPr>
              <w:t>.0</w:t>
            </w:r>
          </w:p>
        </w:tc>
        <w:tc>
          <w:tcPr>
            <w:tcW w:w="682" w:type="pct"/>
          </w:tcPr>
          <w:p w:rsidR="00841DEB" w:rsidRPr="00FF6114" w:rsidRDefault="00841DEB" w:rsidP="00C440C5">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FF6114">
              <w:rPr>
                <w:rFonts w:ascii="Calibri" w:hAnsi="Calibri"/>
                <w:color w:val="000000"/>
                <w:szCs w:val="20"/>
              </w:rPr>
              <w:t>3,199</w:t>
            </w:r>
            <w:r>
              <w:rPr>
                <w:rFonts w:ascii="Calibri" w:hAnsi="Calibri"/>
                <w:color w:val="000000"/>
                <w:szCs w:val="20"/>
              </w:rPr>
              <w:t>.0</w:t>
            </w:r>
          </w:p>
        </w:tc>
        <w:tc>
          <w:tcPr>
            <w:tcW w:w="681" w:type="pct"/>
          </w:tcPr>
          <w:p w:rsidR="00841DEB" w:rsidRPr="00FF6114" w:rsidRDefault="00841DEB" w:rsidP="00C440C5">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FF6114">
              <w:rPr>
                <w:rFonts w:ascii="Calibri" w:hAnsi="Calibri"/>
                <w:color w:val="000000"/>
                <w:szCs w:val="20"/>
              </w:rPr>
              <w:t>8,388</w:t>
            </w:r>
            <w:r>
              <w:rPr>
                <w:rFonts w:ascii="Calibri" w:hAnsi="Calibri"/>
                <w:color w:val="000000"/>
                <w:szCs w:val="20"/>
              </w:rPr>
              <w:t>.0</w:t>
            </w:r>
          </w:p>
        </w:tc>
      </w:tr>
      <w:tr w:rsidR="00841DEB" w:rsidRPr="00B73AC8" w:rsidTr="00E21319">
        <w:tc>
          <w:tcPr>
            <w:cnfStyle w:val="001000000000" w:firstRow="0" w:lastRow="0" w:firstColumn="1" w:lastColumn="0" w:oddVBand="0" w:evenVBand="0" w:oddHBand="0" w:evenHBand="0" w:firstRowFirstColumn="0" w:firstRowLastColumn="0" w:lastRowFirstColumn="0" w:lastRowLastColumn="0"/>
            <w:tcW w:w="1591" w:type="pct"/>
          </w:tcPr>
          <w:p w:rsidR="00841DEB" w:rsidRPr="00B73AC8" w:rsidRDefault="00841DEB" w:rsidP="00C440C5">
            <w:pPr>
              <w:pStyle w:val="TableTextCentred"/>
              <w:keepNext/>
              <w:keepLines/>
              <w:spacing w:line="240" w:lineRule="auto"/>
              <w:ind w:left="57" w:right="57"/>
              <w:jc w:val="left"/>
              <w:rPr>
                <w:szCs w:val="20"/>
              </w:rPr>
            </w:pPr>
            <w:r w:rsidRPr="00B73AC8">
              <w:rPr>
                <w:szCs w:val="20"/>
              </w:rPr>
              <w:t>Underlying cash balance</w:t>
            </w:r>
          </w:p>
        </w:tc>
        <w:tc>
          <w:tcPr>
            <w:tcW w:w="682" w:type="pct"/>
          </w:tcPr>
          <w:p w:rsidR="00841DEB" w:rsidRPr="00FF6114" w:rsidRDefault="00841DEB" w:rsidP="00C440C5">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F0C96">
              <w:t>-3</w:t>
            </w:r>
            <w:r w:rsidR="00DD5F3E">
              <w:t>0</w:t>
            </w:r>
            <w:r w:rsidRPr="00EF0C96">
              <w:t xml:space="preserve">6.0 </w:t>
            </w:r>
          </w:p>
        </w:tc>
        <w:tc>
          <w:tcPr>
            <w:tcW w:w="682" w:type="pct"/>
          </w:tcPr>
          <w:p w:rsidR="00841DEB" w:rsidRPr="00FF6114" w:rsidRDefault="00DD5F3E" w:rsidP="00C440C5">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t xml:space="preserve"> 2,19</w:t>
            </w:r>
            <w:r w:rsidR="00841DEB" w:rsidRPr="00EF0C96">
              <w:t xml:space="preserve">6.0 </w:t>
            </w:r>
          </w:p>
        </w:tc>
        <w:tc>
          <w:tcPr>
            <w:tcW w:w="682" w:type="pct"/>
          </w:tcPr>
          <w:p w:rsidR="00841DEB" w:rsidRPr="00FF6114" w:rsidRDefault="00841DEB" w:rsidP="00C440C5">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FF6114">
              <w:rPr>
                <w:rFonts w:ascii="Calibri" w:hAnsi="Calibri"/>
                <w:color w:val="000000"/>
                <w:szCs w:val="20"/>
              </w:rPr>
              <w:t>3,299</w:t>
            </w:r>
            <w:r>
              <w:rPr>
                <w:rFonts w:ascii="Calibri" w:hAnsi="Calibri"/>
                <w:color w:val="000000"/>
                <w:szCs w:val="20"/>
              </w:rPr>
              <w:t>.0</w:t>
            </w:r>
          </w:p>
        </w:tc>
        <w:tc>
          <w:tcPr>
            <w:tcW w:w="682" w:type="pct"/>
          </w:tcPr>
          <w:p w:rsidR="00841DEB" w:rsidRPr="00FF6114" w:rsidRDefault="00841DEB" w:rsidP="00C440C5">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FF6114">
              <w:rPr>
                <w:rFonts w:ascii="Calibri" w:hAnsi="Calibri"/>
                <w:color w:val="000000"/>
                <w:szCs w:val="20"/>
              </w:rPr>
              <w:t>3,199</w:t>
            </w:r>
            <w:r>
              <w:rPr>
                <w:rFonts w:ascii="Calibri" w:hAnsi="Calibri"/>
                <w:color w:val="000000"/>
                <w:szCs w:val="20"/>
              </w:rPr>
              <w:t>.0</w:t>
            </w:r>
          </w:p>
        </w:tc>
        <w:tc>
          <w:tcPr>
            <w:tcW w:w="681" w:type="pct"/>
          </w:tcPr>
          <w:p w:rsidR="00841DEB" w:rsidRPr="00FF6114" w:rsidRDefault="00841DEB" w:rsidP="00C440C5">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FF6114">
              <w:rPr>
                <w:rFonts w:ascii="Calibri" w:hAnsi="Calibri"/>
                <w:color w:val="000000"/>
                <w:szCs w:val="20"/>
              </w:rPr>
              <w:t>8,388</w:t>
            </w:r>
            <w:r>
              <w:rPr>
                <w:rFonts w:ascii="Calibri" w:hAnsi="Calibri"/>
                <w:color w:val="000000"/>
                <w:szCs w:val="20"/>
              </w:rPr>
              <w:t>.0</w:t>
            </w:r>
          </w:p>
        </w:tc>
      </w:tr>
    </w:tbl>
    <w:p w:rsidR="00613E53" w:rsidRDefault="00613E53" w:rsidP="00C440C5">
      <w:pPr>
        <w:pStyle w:val="Footnotes"/>
        <w:rPr>
          <w:lang w:eastAsia="en-AU"/>
        </w:rPr>
      </w:pPr>
      <w:r w:rsidRPr="00BF4BBB">
        <w:rPr>
          <w:lang w:eastAsia="en-AU"/>
        </w:rPr>
        <w:t xml:space="preserve">A positive </w:t>
      </w:r>
      <w:r>
        <w:rPr>
          <w:lang w:eastAsia="en-AU"/>
        </w:rPr>
        <w:t xml:space="preserve">number represents an increase in the relevant budget </w:t>
      </w:r>
      <w:proofErr w:type="gramStart"/>
      <w:r>
        <w:rPr>
          <w:lang w:eastAsia="en-AU"/>
        </w:rPr>
        <w:t>balance,</w:t>
      </w:r>
      <w:proofErr w:type="gramEnd"/>
      <w:r>
        <w:rPr>
          <w:lang w:eastAsia="en-AU"/>
        </w:rPr>
        <w:t xml:space="preserve"> a negative number represents a decrease</w:t>
      </w:r>
      <w:r w:rsidRPr="00BF4BBB">
        <w:rPr>
          <w:lang w:eastAsia="en-AU"/>
        </w:rPr>
        <w:t>.</w:t>
      </w:r>
    </w:p>
    <w:p w:rsidR="00613E53" w:rsidRPr="009F5078" w:rsidRDefault="00613E53" w:rsidP="00C440C5">
      <w:pPr>
        <w:pStyle w:val="Footnotes"/>
        <w:rPr>
          <w:lang w:eastAsia="en-AU"/>
        </w:rPr>
      </w:pPr>
      <w:r>
        <w:rPr>
          <w:lang w:eastAsia="en-AU"/>
        </w:rPr>
        <w:t>Figures may not sum due to rounding.</w:t>
      </w:r>
    </w:p>
    <w:p w:rsidR="008D3909" w:rsidRPr="00FC6579" w:rsidRDefault="005E3562" w:rsidP="00E40B8B">
      <w:pPr>
        <w:pStyle w:val="Heading2"/>
      </w:pPr>
      <w:r w:rsidRPr="00FC6579">
        <w:t>Key assumptions</w:t>
      </w:r>
    </w:p>
    <w:p w:rsidR="009F5078" w:rsidRPr="003F7283" w:rsidRDefault="009F5078" w:rsidP="00C440C5">
      <w:pPr>
        <w:pStyle w:val="Bullet1"/>
      </w:pPr>
      <w:r w:rsidRPr="00574E58">
        <w:t xml:space="preserve">The </w:t>
      </w:r>
      <w:r w:rsidRPr="003F7283">
        <w:t>costing assumes that the enabling legislation would be in place by 1 September 2016.</w:t>
      </w:r>
    </w:p>
    <w:p w:rsidR="009F5078" w:rsidRDefault="009F5078" w:rsidP="00C440C5">
      <w:pPr>
        <w:pStyle w:val="Bullet1"/>
      </w:pPr>
      <w:r w:rsidRPr="003F7283">
        <w:t>There</w:t>
      </w:r>
      <w:r>
        <w:t xml:space="preserve"> are a number of potential behavioural responses associated with changes to personal income tax rates, including changes to labour supply and investment decisions.</w:t>
      </w:r>
    </w:p>
    <w:p w:rsidR="009F5078" w:rsidRPr="00522424" w:rsidRDefault="009F5078" w:rsidP="00C440C5">
      <w:pPr>
        <w:pStyle w:val="Bullet2"/>
      </w:pPr>
      <w:r w:rsidRPr="00522424">
        <w:t xml:space="preserve">The </w:t>
      </w:r>
      <w:r>
        <w:t>Parliamentary Budget Office (</w:t>
      </w:r>
      <w:r w:rsidRPr="00522424">
        <w:t>PBO</w:t>
      </w:r>
      <w:r>
        <w:t>)</w:t>
      </w:r>
      <w:r w:rsidRPr="00522424">
        <w:t xml:space="preserve"> has included a behavioural response to account for </w:t>
      </w:r>
      <w:r w:rsidRPr="003F7283">
        <w:t>changes</w:t>
      </w:r>
      <w:r w:rsidRPr="00522424">
        <w:t xml:space="preserve"> in investment decisions and tax planning arrangements by </w:t>
      </w:r>
      <w:r>
        <w:t>affected individuals</w:t>
      </w:r>
      <w:r w:rsidRPr="00522424">
        <w:t xml:space="preserve">, which results in </w:t>
      </w:r>
      <w:r>
        <w:t>decreased</w:t>
      </w:r>
      <w:r w:rsidRPr="00522424">
        <w:t xml:space="preserve"> t</w:t>
      </w:r>
      <w:r>
        <w:t>otal</w:t>
      </w:r>
      <w:r w:rsidRPr="00522424">
        <w:t xml:space="preserve"> income for these individuals. </w:t>
      </w:r>
      <w:r>
        <w:t xml:space="preserve"> This may include reducing or redirecting income distributed to individuals from partnerships, trusts or companies, so that this income is taxed at lower rates than 35 per cent.</w:t>
      </w:r>
    </w:p>
    <w:p w:rsidR="009F5078" w:rsidRDefault="009F5078" w:rsidP="00C440C5">
      <w:pPr>
        <w:pStyle w:val="Bullet3"/>
        <w:rPr>
          <w:lang w:eastAsia="en-AU"/>
        </w:rPr>
      </w:pPr>
      <w:r>
        <w:lastRenderedPageBreak/>
        <w:t xml:space="preserve">The </w:t>
      </w:r>
      <w:r w:rsidRPr="006E7357">
        <w:t>PBO</w:t>
      </w:r>
      <w:r>
        <w:t xml:space="preserve"> has assumed that </w:t>
      </w:r>
      <w:r w:rsidRPr="002A476F">
        <w:t>individuals</w:t>
      </w:r>
      <w:r>
        <w:t xml:space="preserve"> with incomes in excess of the threshold </w:t>
      </w:r>
      <w:r w:rsidRPr="002A476F">
        <w:t>have a t</w:t>
      </w:r>
      <w:r>
        <w:t xml:space="preserve">otal income elasticity </w:t>
      </w:r>
      <w:r w:rsidRPr="00BB16A8">
        <w:t>of 0.2</w:t>
      </w:r>
      <w:r>
        <w:t>.</w:t>
      </w:r>
      <w:r>
        <w:rPr>
          <w:rStyle w:val="FootnoteReference"/>
        </w:rPr>
        <w:footnoteReference w:id="1"/>
      </w:r>
    </w:p>
    <w:p w:rsidR="009F5078" w:rsidRDefault="009F5078" w:rsidP="00C440C5">
      <w:pPr>
        <w:pStyle w:val="Bullet2"/>
      </w:pPr>
      <w:r w:rsidRPr="00522424">
        <w:t xml:space="preserve">The costing does not account for changes in labour supply as a result of this proposal. </w:t>
      </w:r>
      <w:r>
        <w:t xml:space="preserve"> </w:t>
      </w:r>
      <w:r w:rsidRPr="00522424">
        <w:t xml:space="preserve">While studies </w:t>
      </w:r>
      <w:r w:rsidRPr="006E7357">
        <w:t>indicate</w:t>
      </w:r>
      <w:r w:rsidRPr="00522424">
        <w:t xml:space="preserve"> that labour supply, particularly by secondary earners, </w:t>
      </w:r>
      <w:r>
        <w:t>decreas</w:t>
      </w:r>
      <w:r w:rsidRPr="00522424">
        <w:t xml:space="preserve">es in response to </w:t>
      </w:r>
      <w:r>
        <w:t>increases in</w:t>
      </w:r>
      <w:r w:rsidRPr="00522424">
        <w:t xml:space="preserve"> tax rates</w:t>
      </w:r>
      <w:r>
        <w:t>,</w:t>
      </w:r>
      <w:r w:rsidRPr="00522424">
        <w:t xml:space="preserve"> there is considerable uncertainty surrounding the magnitude and timing of the effect on employment.</w:t>
      </w:r>
    </w:p>
    <w:p w:rsidR="009F5078" w:rsidRPr="006E7357" w:rsidRDefault="009F5078" w:rsidP="00C440C5">
      <w:pPr>
        <w:pStyle w:val="Bullet1"/>
      </w:pPr>
      <w:r>
        <w:t xml:space="preserve">It </w:t>
      </w:r>
      <w:r w:rsidRPr="006E7357">
        <w:t>has been assumed that the additional tax payable under the proposal would be collected on assessment when individuals lodge their tax returns.  There would be no change to ‘pay as you go’ arrangements.</w:t>
      </w:r>
    </w:p>
    <w:p w:rsidR="009F5078" w:rsidRPr="006E7357" w:rsidRDefault="009F5078" w:rsidP="00C440C5">
      <w:pPr>
        <w:pStyle w:val="Bullet1"/>
      </w:pPr>
      <w:r w:rsidRPr="006E7357">
        <w:t>The proposal effectively removes tax deductibility of certain expenses for affected individuals, which increases the after-tax cost of these goods or services.  This may result in reduced expenditure on these goods or services.  The budgetary impacts of these broader macroeconomic implications have not been estimated.</w:t>
      </w:r>
    </w:p>
    <w:p w:rsidR="009F5078" w:rsidRPr="007151BA" w:rsidRDefault="009F5078" w:rsidP="00C440C5">
      <w:pPr>
        <w:pStyle w:val="Bullet1"/>
      </w:pPr>
      <w:r w:rsidRPr="006E7357">
        <w:t>The PBO expects that some individuals would bring forward income and/or deductions prior to the</w:t>
      </w:r>
      <w:r w:rsidRPr="007151BA">
        <w:t xml:space="preserve"> proposal’s implementation date of 1 September 2016.  </w:t>
      </w:r>
      <w:r w:rsidR="00F470AC">
        <w:t>However t</w:t>
      </w:r>
      <w:r w:rsidRPr="007151BA">
        <w:t>his impact is expected to be small and has been rounded to zero.</w:t>
      </w:r>
    </w:p>
    <w:p w:rsidR="005E3562" w:rsidRPr="00FC6579" w:rsidRDefault="005E3562" w:rsidP="00E40B8B">
      <w:pPr>
        <w:pStyle w:val="Heading2"/>
      </w:pPr>
      <w:r w:rsidRPr="00FC6579">
        <w:t>Methodology</w:t>
      </w:r>
    </w:p>
    <w:p w:rsidR="009F5078" w:rsidRPr="006E7357" w:rsidRDefault="009F5078" w:rsidP="00C440C5">
      <w:pPr>
        <w:pStyle w:val="Bullet1"/>
      </w:pPr>
      <w:r>
        <w:t xml:space="preserve">A </w:t>
      </w:r>
      <w:r w:rsidRPr="006E7357">
        <w:t>weighted sample of de</w:t>
      </w:r>
      <w:r w:rsidRPr="006E7357">
        <w:noBreakHyphen/>
        <w:t>identified personal income tax returns for 2012-13 from the ATO has been used to estimate the revenue impact of the proposal.  For each individual in the data, future tax liabilities have been estimated under both current and proposed policy settings after accounting for behavioural responses.  The difference between current policy and the proposal gives the costing.</w:t>
      </w:r>
    </w:p>
    <w:p w:rsidR="009F5078" w:rsidRPr="006E7357" w:rsidRDefault="009F5078" w:rsidP="00C440C5">
      <w:pPr>
        <w:pStyle w:val="Bullet1"/>
      </w:pPr>
      <w:r w:rsidRPr="006E7357">
        <w:t xml:space="preserve">Revenue estimates were adjusted to account for the interactions between this proposal and the </w:t>
      </w:r>
      <w:r w:rsidR="006B2F5E" w:rsidRPr="006E7357">
        <w:rPr>
          <w:i/>
        </w:rPr>
        <w:t>Top</w:t>
      </w:r>
      <w:r w:rsidRPr="006E7357">
        <w:rPr>
          <w:i/>
        </w:rPr>
        <w:t xml:space="preserve"> Marginal Tax Rates</w:t>
      </w:r>
      <w:r w:rsidRPr="006E7357">
        <w:t xml:space="preserve"> proposal.</w:t>
      </w:r>
    </w:p>
    <w:p w:rsidR="009F5078" w:rsidRPr="006E7357" w:rsidRDefault="009F5078" w:rsidP="00C440C5">
      <w:pPr>
        <w:pStyle w:val="Bullet1"/>
      </w:pPr>
      <w:r w:rsidRPr="006E7357">
        <w:t>The modelling takes account of the timing of tax collections</w:t>
      </w:r>
      <w:r w:rsidR="007151BA" w:rsidRPr="006E7357">
        <w:t xml:space="preserve"> and the part</w:t>
      </w:r>
      <w:r w:rsidR="007151BA" w:rsidRPr="006E7357">
        <w:noBreakHyphen/>
        <w:t>year effect of the proposal</w:t>
      </w:r>
      <w:r w:rsidRPr="006E7357">
        <w:t>.</w:t>
      </w:r>
    </w:p>
    <w:p w:rsidR="009F5078" w:rsidRPr="006E7357" w:rsidRDefault="009F5078" w:rsidP="00C440C5">
      <w:pPr>
        <w:pStyle w:val="Bullet1"/>
      </w:pPr>
      <w:r w:rsidRPr="006E7357">
        <w:t>The PBO’s estimate of departmental expenses is based on analysis of previous policies with similar administrative complexity.</w:t>
      </w:r>
      <w:r w:rsidR="006E7357">
        <w:t xml:space="preserve"> </w:t>
      </w:r>
      <w:r w:rsidRPr="006E7357">
        <w:t xml:space="preserve">  This reflects both the initial implementation and ongoing administration costs of the proposal.</w:t>
      </w:r>
    </w:p>
    <w:p w:rsidR="009F5078" w:rsidRDefault="009F5078" w:rsidP="00C440C5">
      <w:pPr>
        <w:pStyle w:val="Bullet1"/>
      </w:pPr>
      <w:r w:rsidRPr="006E7357">
        <w:t>Revenue estimates have been rounded to the nearest $50 million.  Departmental expenses have</w:t>
      </w:r>
      <w:r>
        <w:t xml:space="preserve"> been rounded to the nearest $1 million.</w:t>
      </w:r>
    </w:p>
    <w:p w:rsidR="005E3562" w:rsidRPr="00FC6579" w:rsidRDefault="005E3562" w:rsidP="00E40B8B">
      <w:pPr>
        <w:pStyle w:val="Heading2"/>
      </w:pPr>
      <w:r w:rsidRPr="00FC6579">
        <w:lastRenderedPageBreak/>
        <w:t>Data sources</w:t>
      </w:r>
    </w:p>
    <w:p w:rsidR="00915749" w:rsidRPr="007A7320" w:rsidRDefault="002312EE" w:rsidP="00C440C5">
      <w:pPr>
        <w:pStyle w:val="Bullet1"/>
      </w:pPr>
      <w:r>
        <w:t xml:space="preserve">16 per cent </w:t>
      </w:r>
      <w:r w:rsidRPr="006E7357">
        <w:t>sample</w:t>
      </w:r>
      <w:r w:rsidR="00915749">
        <w:t xml:space="preserve"> of de-identified personal income tax and superannuation records for the 2012</w:t>
      </w:r>
      <w:r w:rsidR="00915749">
        <w:noBreakHyphen/>
        <w:t>13 financial year from the ATO.</w:t>
      </w:r>
    </w:p>
    <w:p w:rsidR="00E40B8B" w:rsidRDefault="00E40B8B" w:rsidP="00E40B8B">
      <w:pPr>
        <w:pStyle w:val="Footnotes"/>
        <w:numPr>
          <w:ilvl w:val="0"/>
          <w:numId w:val="0"/>
        </w:numPr>
      </w:pPr>
    </w:p>
    <w:p w:rsidR="00507897" w:rsidRPr="00002D5D" w:rsidRDefault="00507897" w:rsidP="00FC6579">
      <w:pPr>
        <w:pStyle w:val="Footnotes"/>
        <w:rPr>
          <w:highlight w:val="yellow"/>
        </w:rPr>
        <w:sectPr w:rsidR="00507897" w:rsidRPr="00002D5D" w:rsidSect="00002D5D">
          <w:headerReference w:type="first" r:id="rId15"/>
          <w:footerReference w:type="first" r:id="rId16"/>
          <w:pgSz w:w="11906" w:h="16838"/>
          <w:pgMar w:top="1361" w:right="1797" w:bottom="1474" w:left="1797" w:header="709" w:footer="709" w:gutter="0"/>
          <w:cols w:space="708"/>
          <w:titlePg/>
          <w:docGrid w:linePitch="360"/>
        </w:sectPr>
      </w:pPr>
    </w:p>
    <w:p w:rsidR="00915749" w:rsidRPr="00FC6579" w:rsidRDefault="00915749" w:rsidP="00915749">
      <w:pPr>
        <w:pStyle w:val="Heading1"/>
      </w:pPr>
      <w:r w:rsidRPr="00FC6579">
        <w:lastRenderedPageBreak/>
        <w:t>Attachment A:</w:t>
      </w:r>
      <w:r>
        <w:t xml:space="preserve"> </w:t>
      </w:r>
      <w:r>
        <w:rPr>
          <w:i/>
        </w:rPr>
        <w:t>High Income Tax Guarantee (The</w:t>
      </w:r>
      <w:r w:rsidR="00340070">
        <w:rPr>
          <w:i/>
        </w:rPr>
        <w:t> </w:t>
      </w:r>
      <w:r>
        <w:rPr>
          <w:i/>
        </w:rPr>
        <w:t>Buffett</w:t>
      </w:r>
      <w:r w:rsidR="00340070">
        <w:rPr>
          <w:i/>
        </w:rPr>
        <w:t> </w:t>
      </w:r>
      <w:r>
        <w:rPr>
          <w:i/>
        </w:rPr>
        <w:t>Rule)</w:t>
      </w:r>
      <w:r>
        <w:t>—financial implications</w:t>
      </w:r>
    </w:p>
    <w:p w:rsidR="00F52474" w:rsidRPr="00FC6579" w:rsidRDefault="00F52474" w:rsidP="00FC6579">
      <w:pPr>
        <w:pStyle w:val="Captionheading"/>
      </w:pPr>
      <w:r w:rsidRPr="00FC6579">
        <w:t xml:space="preserve">Table </w:t>
      </w:r>
      <w:r w:rsidR="00915749">
        <w:t>A1</w:t>
      </w:r>
      <w:r w:rsidRPr="00FC6579">
        <w:t xml:space="preserve">: </w:t>
      </w:r>
      <w:r w:rsidR="00915749">
        <w:t>High Income Tax Guarantee (The Buffett Rule)</w:t>
      </w:r>
      <w:r w:rsidR="00DB2B5A">
        <w:t>—</w:t>
      </w:r>
      <w:r w:rsidR="00915749">
        <w:t>financia</w:t>
      </w:r>
      <w:r w:rsidR="00C02128">
        <w:t>l implications (outturn </w:t>
      </w:r>
      <w:r w:rsidR="002312EE">
        <w:t>prices</w:t>
      </w:r>
      <w:proofErr w:type="gramStart"/>
      <w:r w:rsidR="002312EE">
        <w:t>)</w:t>
      </w:r>
      <w:r w:rsidR="00915749" w:rsidRPr="00915749">
        <w:rPr>
          <w:vertAlign w:val="superscript"/>
        </w:rPr>
        <w:t>(</w:t>
      </w:r>
      <w:proofErr w:type="gramEnd"/>
      <w:r w:rsidR="00915749" w:rsidRPr="00915749">
        <w:rPr>
          <w:vertAlign w:val="superscript"/>
        </w:rPr>
        <w:t>a)</w:t>
      </w:r>
      <w:r w:rsidR="002312EE">
        <w:rPr>
          <w:vertAlign w:val="superscript"/>
        </w:rPr>
        <w:t>(b)</w:t>
      </w:r>
    </w:p>
    <w:tbl>
      <w:tblPr>
        <w:tblStyle w:val="TableGrid"/>
        <w:tblW w:w="4431" w:type="pct"/>
        <w:tblLayout w:type="fixed"/>
        <w:tblLook w:val="0680" w:firstRow="0" w:lastRow="0" w:firstColumn="1" w:lastColumn="0" w:noHBand="1" w:noVBand="1"/>
      </w:tblPr>
      <w:tblGrid>
        <w:gridCol w:w="1603"/>
        <w:gridCol w:w="1153"/>
        <w:gridCol w:w="1158"/>
        <w:gridCol w:w="1158"/>
        <w:gridCol w:w="1152"/>
        <w:gridCol w:w="1152"/>
      </w:tblGrid>
      <w:tr w:rsidR="007C0220" w:rsidRPr="00B31810" w:rsidTr="007C0220">
        <w:trPr>
          <w:cantSplit/>
        </w:trPr>
        <w:tc>
          <w:tcPr>
            <w:cnfStyle w:val="001000000000" w:firstRow="0" w:lastRow="0" w:firstColumn="1" w:lastColumn="0" w:oddVBand="0" w:evenVBand="0" w:oddHBand="0" w:evenHBand="0" w:firstRowFirstColumn="0" w:firstRowLastColumn="0" w:lastRowFirstColumn="0" w:lastRowLastColumn="0"/>
            <w:tcW w:w="1063" w:type="pct"/>
            <w:shd w:val="clear" w:color="auto" w:fill="D7DDE9"/>
          </w:tcPr>
          <w:p w:rsidR="007C0220" w:rsidRPr="00B31810" w:rsidRDefault="007C0220" w:rsidP="00DA3B55">
            <w:pPr>
              <w:keepNext/>
              <w:keepLines/>
              <w:spacing w:before="70" w:after="70" w:line="260" w:lineRule="atLeast"/>
              <w:ind w:left="57" w:right="57"/>
            </w:pPr>
            <w:r w:rsidRPr="00B31810">
              <w:t>($m)</w:t>
            </w:r>
          </w:p>
        </w:tc>
        <w:tc>
          <w:tcPr>
            <w:tcW w:w="765" w:type="pct"/>
            <w:shd w:val="clear" w:color="auto" w:fill="D7DDE9"/>
          </w:tcPr>
          <w:p w:rsidR="007C0220" w:rsidRPr="00C24267" w:rsidRDefault="007C0220" w:rsidP="00DA3B55">
            <w:pPr>
              <w:pStyle w:val="TableHeadingCentred"/>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769" w:type="pct"/>
            <w:shd w:val="clear" w:color="auto" w:fill="D7DDE9"/>
          </w:tcPr>
          <w:p w:rsidR="007C0220" w:rsidRPr="00C24267" w:rsidRDefault="007C0220" w:rsidP="00DA3B55">
            <w:pPr>
              <w:pStyle w:val="TableHeadingCentred"/>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769" w:type="pct"/>
            <w:shd w:val="clear" w:color="auto" w:fill="D7DDE9"/>
          </w:tcPr>
          <w:p w:rsidR="007C0220" w:rsidRPr="00C24267" w:rsidRDefault="007C0220" w:rsidP="00DA3B55">
            <w:pPr>
              <w:pStyle w:val="TableHeadingCentred"/>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765" w:type="pct"/>
            <w:shd w:val="clear" w:color="auto" w:fill="D7DDE9"/>
          </w:tcPr>
          <w:p w:rsidR="007C0220" w:rsidRPr="00C24267" w:rsidRDefault="007C0220" w:rsidP="00DA3B55">
            <w:pPr>
              <w:pStyle w:val="TableHeadingCentred"/>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765" w:type="pct"/>
            <w:shd w:val="clear" w:color="auto" w:fill="D7DDE9"/>
          </w:tcPr>
          <w:p w:rsidR="007C0220" w:rsidRPr="00AE30B5" w:rsidRDefault="007C0220" w:rsidP="00DA3B55">
            <w:pPr>
              <w:pStyle w:val="TableHeadingCentred"/>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r>
      <w:tr w:rsidR="007C0220" w:rsidTr="007C0220">
        <w:trPr>
          <w:cantSplit/>
        </w:trPr>
        <w:tc>
          <w:tcPr>
            <w:cnfStyle w:val="001000000000" w:firstRow="0" w:lastRow="0" w:firstColumn="1" w:lastColumn="0" w:oddVBand="0" w:evenVBand="0" w:oddHBand="0" w:evenHBand="0" w:firstRowFirstColumn="0" w:firstRowLastColumn="0" w:lastRowFirstColumn="0" w:lastRowLastColumn="0"/>
            <w:tcW w:w="1063" w:type="pct"/>
          </w:tcPr>
          <w:p w:rsidR="007C0220" w:rsidRPr="0007264D" w:rsidRDefault="007C0220">
            <w:pPr>
              <w:keepNext/>
              <w:keepLines/>
              <w:spacing w:before="70" w:after="70" w:line="260" w:lineRule="atLeast"/>
              <w:ind w:left="57" w:right="57"/>
            </w:pPr>
            <w:r>
              <w:t xml:space="preserve">Total </w:t>
            </w:r>
            <w:r w:rsidR="006E7357">
              <w:t>r</w:t>
            </w:r>
            <w:r>
              <w:t>evenue</w:t>
            </w:r>
          </w:p>
        </w:tc>
        <w:tc>
          <w:tcPr>
            <w:tcW w:w="765" w:type="pct"/>
          </w:tcPr>
          <w:p w:rsidR="007C0220" w:rsidRPr="00F40A57" w:rsidRDefault="007C0220" w:rsidP="00D92294">
            <w:pPr>
              <w:jc w:val="right"/>
              <w:cnfStyle w:val="000000000000" w:firstRow="0" w:lastRow="0" w:firstColumn="0" w:lastColumn="0" w:oddVBand="0" w:evenVBand="0" w:oddHBand="0" w:evenHBand="0" w:firstRowFirstColumn="0" w:firstRowLastColumn="0" w:lastRowFirstColumn="0" w:lastRowLastColumn="0"/>
            </w:pPr>
            <w:r w:rsidRPr="00F40A57">
              <w:t>-3</w:t>
            </w:r>
            <w:r>
              <w:t>0</w:t>
            </w:r>
            <w:r w:rsidRPr="00F40A57">
              <w:t>0</w:t>
            </w:r>
            <w:r>
              <w:t>.0</w:t>
            </w:r>
          </w:p>
        </w:tc>
        <w:tc>
          <w:tcPr>
            <w:tcW w:w="769" w:type="pct"/>
          </w:tcPr>
          <w:p w:rsidR="007C0220" w:rsidRPr="00F40A57" w:rsidRDefault="007C0220" w:rsidP="00D92294">
            <w:pPr>
              <w:jc w:val="right"/>
              <w:cnfStyle w:val="000000000000" w:firstRow="0" w:lastRow="0" w:firstColumn="0" w:lastColumn="0" w:oddVBand="0" w:evenVBand="0" w:oddHBand="0" w:evenHBand="0" w:firstRowFirstColumn="0" w:firstRowLastColumn="0" w:lastRowFirstColumn="0" w:lastRowLastColumn="0"/>
            </w:pPr>
            <w:r w:rsidRPr="00F40A57">
              <w:t>2,2</w:t>
            </w:r>
            <w:r>
              <w:t>0</w:t>
            </w:r>
            <w:r w:rsidRPr="00F40A57">
              <w:t>0</w:t>
            </w:r>
            <w:r>
              <w:t>.0</w:t>
            </w:r>
          </w:p>
        </w:tc>
        <w:tc>
          <w:tcPr>
            <w:tcW w:w="769" w:type="pct"/>
          </w:tcPr>
          <w:p w:rsidR="007C0220" w:rsidRPr="00F40A57" w:rsidRDefault="007C0220" w:rsidP="00D92294">
            <w:pPr>
              <w:jc w:val="right"/>
              <w:cnfStyle w:val="000000000000" w:firstRow="0" w:lastRow="0" w:firstColumn="0" w:lastColumn="0" w:oddVBand="0" w:evenVBand="0" w:oddHBand="0" w:evenHBand="0" w:firstRowFirstColumn="0" w:firstRowLastColumn="0" w:lastRowFirstColumn="0" w:lastRowLastColumn="0"/>
            </w:pPr>
            <w:r w:rsidRPr="00F40A57">
              <w:t>3,300</w:t>
            </w:r>
            <w:r>
              <w:t>.0</w:t>
            </w:r>
          </w:p>
        </w:tc>
        <w:tc>
          <w:tcPr>
            <w:tcW w:w="765" w:type="pct"/>
          </w:tcPr>
          <w:p w:rsidR="007C0220" w:rsidRPr="00F40A57" w:rsidRDefault="007C0220" w:rsidP="00D92294">
            <w:pPr>
              <w:jc w:val="right"/>
              <w:cnfStyle w:val="000000000000" w:firstRow="0" w:lastRow="0" w:firstColumn="0" w:lastColumn="0" w:oddVBand="0" w:evenVBand="0" w:oddHBand="0" w:evenHBand="0" w:firstRowFirstColumn="0" w:firstRowLastColumn="0" w:lastRowFirstColumn="0" w:lastRowLastColumn="0"/>
            </w:pPr>
            <w:r w:rsidRPr="00F40A57">
              <w:t>3,200</w:t>
            </w:r>
            <w:r>
              <w:t>.0</w:t>
            </w:r>
          </w:p>
        </w:tc>
        <w:tc>
          <w:tcPr>
            <w:tcW w:w="765" w:type="pct"/>
          </w:tcPr>
          <w:p w:rsidR="007C0220" w:rsidRPr="00841DEB" w:rsidRDefault="007C0220" w:rsidP="00D92294">
            <w:pPr>
              <w:jc w:val="right"/>
              <w:cnfStyle w:val="000000000000" w:firstRow="0" w:lastRow="0" w:firstColumn="0" w:lastColumn="0" w:oddVBand="0" w:evenVBand="0" w:oddHBand="0" w:evenHBand="0" w:firstRowFirstColumn="0" w:firstRowLastColumn="0" w:lastRowFirstColumn="0" w:lastRowLastColumn="0"/>
              <w:rPr>
                <w:b/>
              </w:rPr>
            </w:pPr>
            <w:r w:rsidRPr="00841DEB">
              <w:rPr>
                <w:b/>
              </w:rPr>
              <w:t>8,400</w:t>
            </w:r>
            <w:r>
              <w:rPr>
                <w:b/>
              </w:rPr>
              <w:t>.0</w:t>
            </w:r>
          </w:p>
        </w:tc>
      </w:tr>
      <w:tr w:rsidR="007C0220" w:rsidTr="007C0220">
        <w:trPr>
          <w:cantSplit/>
        </w:trPr>
        <w:tc>
          <w:tcPr>
            <w:cnfStyle w:val="001000000000" w:firstRow="0" w:lastRow="0" w:firstColumn="1" w:lastColumn="0" w:oddVBand="0" w:evenVBand="0" w:oddHBand="0" w:evenHBand="0" w:firstRowFirstColumn="0" w:firstRowLastColumn="0" w:lastRowFirstColumn="0" w:lastRowLastColumn="0"/>
            <w:tcW w:w="1063" w:type="pct"/>
          </w:tcPr>
          <w:p w:rsidR="007C0220" w:rsidRPr="00915749" w:rsidRDefault="007C0220" w:rsidP="00C440C5">
            <w:pPr>
              <w:keepNext/>
              <w:keepLines/>
              <w:spacing w:before="70" w:after="70" w:line="260" w:lineRule="atLeast"/>
              <w:ind w:left="57" w:right="57"/>
              <w:rPr>
                <w:i/>
              </w:rPr>
            </w:pPr>
            <w:r>
              <w:rPr>
                <w:i/>
              </w:rPr>
              <w:t>High Income Tax Guarantee</w:t>
            </w:r>
          </w:p>
        </w:tc>
        <w:tc>
          <w:tcPr>
            <w:tcW w:w="765" w:type="pct"/>
          </w:tcPr>
          <w:p w:rsidR="007C0220" w:rsidRPr="00841DEB" w:rsidRDefault="007C0220" w:rsidP="00D92294">
            <w:pPr>
              <w:jc w:val="right"/>
              <w:cnfStyle w:val="000000000000" w:firstRow="0" w:lastRow="0" w:firstColumn="0" w:lastColumn="0" w:oddVBand="0" w:evenVBand="0" w:oddHBand="0" w:evenHBand="0" w:firstRowFirstColumn="0" w:firstRowLastColumn="0" w:lastRowFirstColumn="0" w:lastRowLastColumn="0"/>
              <w:rPr>
                <w:i/>
              </w:rPr>
            </w:pPr>
            <w:r w:rsidRPr="00841DEB">
              <w:rPr>
                <w:i/>
              </w:rPr>
              <w:t>-300</w:t>
            </w:r>
            <w:r>
              <w:rPr>
                <w:i/>
              </w:rPr>
              <w:t>.0</w:t>
            </w:r>
          </w:p>
        </w:tc>
        <w:tc>
          <w:tcPr>
            <w:tcW w:w="769" w:type="pct"/>
          </w:tcPr>
          <w:p w:rsidR="007C0220" w:rsidRPr="00841DEB" w:rsidRDefault="007C0220" w:rsidP="00D92294">
            <w:pPr>
              <w:jc w:val="right"/>
              <w:cnfStyle w:val="000000000000" w:firstRow="0" w:lastRow="0" w:firstColumn="0" w:lastColumn="0" w:oddVBand="0" w:evenVBand="0" w:oddHBand="0" w:evenHBand="0" w:firstRowFirstColumn="0" w:firstRowLastColumn="0" w:lastRowFirstColumn="0" w:lastRowLastColumn="0"/>
              <w:rPr>
                <w:i/>
              </w:rPr>
            </w:pPr>
            <w:r w:rsidRPr="00841DEB">
              <w:rPr>
                <w:i/>
              </w:rPr>
              <w:t>2,450</w:t>
            </w:r>
            <w:r>
              <w:rPr>
                <w:i/>
              </w:rPr>
              <w:t>.0</w:t>
            </w:r>
          </w:p>
        </w:tc>
        <w:tc>
          <w:tcPr>
            <w:tcW w:w="769" w:type="pct"/>
          </w:tcPr>
          <w:p w:rsidR="007C0220" w:rsidRPr="00841DEB" w:rsidRDefault="007C0220" w:rsidP="00D92294">
            <w:pPr>
              <w:jc w:val="right"/>
              <w:cnfStyle w:val="000000000000" w:firstRow="0" w:lastRow="0" w:firstColumn="0" w:lastColumn="0" w:oddVBand="0" w:evenVBand="0" w:oddHBand="0" w:evenHBand="0" w:firstRowFirstColumn="0" w:firstRowLastColumn="0" w:lastRowFirstColumn="0" w:lastRowLastColumn="0"/>
              <w:rPr>
                <w:i/>
              </w:rPr>
            </w:pPr>
            <w:r w:rsidRPr="00841DEB">
              <w:rPr>
                <w:i/>
              </w:rPr>
              <w:t>3,700</w:t>
            </w:r>
            <w:r>
              <w:rPr>
                <w:i/>
              </w:rPr>
              <w:t>.0</w:t>
            </w:r>
          </w:p>
        </w:tc>
        <w:tc>
          <w:tcPr>
            <w:tcW w:w="765" w:type="pct"/>
          </w:tcPr>
          <w:p w:rsidR="007C0220" w:rsidRPr="00841DEB" w:rsidRDefault="007C0220" w:rsidP="00D92294">
            <w:pPr>
              <w:jc w:val="right"/>
              <w:cnfStyle w:val="000000000000" w:firstRow="0" w:lastRow="0" w:firstColumn="0" w:lastColumn="0" w:oddVBand="0" w:evenVBand="0" w:oddHBand="0" w:evenHBand="0" w:firstRowFirstColumn="0" w:firstRowLastColumn="0" w:lastRowFirstColumn="0" w:lastRowLastColumn="0"/>
              <w:rPr>
                <w:i/>
              </w:rPr>
            </w:pPr>
            <w:r w:rsidRPr="00841DEB">
              <w:rPr>
                <w:i/>
              </w:rPr>
              <w:t>3,650</w:t>
            </w:r>
            <w:r>
              <w:rPr>
                <w:i/>
              </w:rPr>
              <w:t>.0</w:t>
            </w:r>
          </w:p>
        </w:tc>
        <w:tc>
          <w:tcPr>
            <w:tcW w:w="765" w:type="pct"/>
          </w:tcPr>
          <w:p w:rsidR="007C0220" w:rsidRPr="00841DEB" w:rsidRDefault="007C0220" w:rsidP="00D92294">
            <w:pPr>
              <w:jc w:val="right"/>
              <w:cnfStyle w:val="000000000000" w:firstRow="0" w:lastRow="0" w:firstColumn="0" w:lastColumn="0" w:oddVBand="0" w:evenVBand="0" w:oddHBand="0" w:evenHBand="0" w:firstRowFirstColumn="0" w:firstRowLastColumn="0" w:lastRowFirstColumn="0" w:lastRowLastColumn="0"/>
              <w:rPr>
                <w:b/>
                <w:i/>
              </w:rPr>
            </w:pPr>
            <w:r w:rsidRPr="00841DEB">
              <w:rPr>
                <w:b/>
                <w:i/>
              </w:rPr>
              <w:t>9,500</w:t>
            </w:r>
            <w:r>
              <w:rPr>
                <w:b/>
                <w:i/>
              </w:rPr>
              <w:t>.0</w:t>
            </w:r>
          </w:p>
        </w:tc>
      </w:tr>
      <w:tr w:rsidR="007C0220" w:rsidTr="007C0220">
        <w:trPr>
          <w:cantSplit/>
        </w:trPr>
        <w:tc>
          <w:tcPr>
            <w:cnfStyle w:val="001000000000" w:firstRow="0" w:lastRow="0" w:firstColumn="1" w:lastColumn="0" w:oddVBand="0" w:evenVBand="0" w:oddHBand="0" w:evenHBand="0" w:firstRowFirstColumn="0" w:firstRowLastColumn="0" w:lastRowFirstColumn="0" w:lastRowLastColumn="0"/>
            <w:tcW w:w="1063" w:type="pct"/>
          </w:tcPr>
          <w:p w:rsidR="007C0220" w:rsidRPr="00915749" w:rsidRDefault="007C0220" w:rsidP="00C440C5">
            <w:pPr>
              <w:ind w:left="57" w:right="57"/>
              <w:rPr>
                <w:i/>
              </w:rPr>
            </w:pPr>
            <w:r>
              <w:rPr>
                <w:i/>
              </w:rPr>
              <w:t>Interactions with Top Marginal Tax Rates (GRN005) proposal</w:t>
            </w:r>
          </w:p>
        </w:tc>
        <w:tc>
          <w:tcPr>
            <w:tcW w:w="765" w:type="pct"/>
          </w:tcPr>
          <w:p w:rsidR="007C0220" w:rsidRPr="00841DEB" w:rsidRDefault="007C0220" w:rsidP="00D92294">
            <w:pPr>
              <w:jc w:val="right"/>
              <w:cnfStyle w:val="000000000000" w:firstRow="0" w:lastRow="0" w:firstColumn="0" w:lastColumn="0" w:oddVBand="0" w:evenVBand="0" w:oddHBand="0" w:evenHBand="0" w:firstRowFirstColumn="0" w:firstRowLastColumn="0" w:lastRowFirstColumn="0" w:lastRowLastColumn="0"/>
              <w:rPr>
                <w:i/>
              </w:rPr>
            </w:pPr>
            <w:r>
              <w:rPr>
                <w:i/>
              </w:rPr>
              <w:t>..</w:t>
            </w:r>
          </w:p>
        </w:tc>
        <w:tc>
          <w:tcPr>
            <w:tcW w:w="769" w:type="pct"/>
          </w:tcPr>
          <w:p w:rsidR="007C0220" w:rsidRPr="00841DEB" w:rsidRDefault="007C0220" w:rsidP="00D92294">
            <w:pPr>
              <w:jc w:val="right"/>
              <w:cnfStyle w:val="000000000000" w:firstRow="0" w:lastRow="0" w:firstColumn="0" w:lastColumn="0" w:oddVBand="0" w:evenVBand="0" w:oddHBand="0" w:evenHBand="0" w:firstRowFirstColumn="0" w:firstRowLastColumn="0" w:lastRowFirstColumn="0" w:lastRowLastColumn="0"/>
              <w:rPr>
                <w:i/>
              </w:rPr>
            </w:pPr>
            <w:r w:rsidRPr="00841DEB">
              <w:rPr>
                <w:i/>
              </w:rPr>
              <w:t>-2</w:t>
            </w:r>
            <w:r>
              <w:rPr>
                <w:i/>
              </w:rPr>
              <w:t>5</w:t>
            </w:r>
            <w:r w:rsidRPr="00841DEB">
              <w:rPr>
                <w:i/>
              </w:rPr>
              <w:t>0</w:t>
            </w:r>
            <w:r>
              <w:rPr>
                <w:i/>
              </w:rPr>
              <w:t>.0</w:t>
            </w:r>
          </w:p>
        </w:tc>
        <w:tc>
          <w:tcPr>
            <w:tcW w:w="769" w:type="pct"/>
          </w:tcPr>
          <w:p w:rsidR="007C0220" w:rsidRPr="00841DEB" w:rsidRDefault="007C0220" w:rsidP="00841DEB">
            <w:pPr>
              <w:jc w:val="right"/>
              <w:cnfStyle w:val="000000000000" w:firstRow="0" w:lastRow="0" w:firstColumn="0" w:lastColumn="0" w:oddVBand="0" w:evenVBand="0" w:oddHBand="0" w:evenHBand="0" w:firstRowFirstColumn="0" w:firstRowLastColumn="0" w:lastRowFirstColumn="0" w:lastRowLastColumn="0"/>
              <w:rPr>
                <w:i/>
              </w:rPr>
            </w:pPr>
            <w:r w:rsidRPr="00841DEB">
              <w:rPr>
                <w:i/>
              </w:rPr>
              <w:t>-400</w:t>
            </w:r>
            <w:r>
              <w:rPr>
                <w:i/>
              </w:rPr>
              <w:t>.0</w:t>
            </w:r>
          </w:p>
        </w:tc>
        <w:tc>
          <w:tcPr>
            <w:tcW w:w="765" w:type="pct"/>
          </w:tcPr>
          <w:p w:rsidR="007C0220" w:rsidRPr="00841DEB" w:rsidRDefault="007C0220" w:rsidP="00D92294">
            <w:pPr>
              <w:jc w:val="right"/>
              <w:cnfStyle w:val="000000000000" w:firstRow="0" w:lastRow="0" w:firstColumn="0" w:lastColumn="0" w:oddVBand="0" w:evenVBand="0" w:oddHBand="0" w:evenHBand="0" w:firstRowFirstColumn="0" w:firstRowLastColumn="0" w:lastRowFirstColumn="0" w:lastRowLastColumn="0"/>
              <w:rPr>
                <w:i/>
              </w:rPr>
            </w:pPr>
            <w:r w:rsidRPr="00841DEB">
              <w:rPr>
                <w:i/>
              </w:rPr>
              <w:t>-450</w:t>
            </w:r>
            <w:r>
              <w:rPr>
                <w:i/>
              </w:rPr>
              <w:t>.0</w:t>
            </w:r>
          </w:p>
        </w:tc>
        <w:tc>
          <w:tcPr>
            <w:tcW w:w="765" w:type="pct"/>
          </w:tcPr>
          <w:p w:rsidR="007C0220" w:rsidRPr="00841DEB" w:rsidRDefault="007C0220" w:rsidP="00D92294">
            <w:pPr>
              <w:jc w:val="right"/>
              <w:cnfStyle w:val="000000000000" w:firstRow="0" w:lastRow="0" w:firstColumn="0" w:lastColumn="0" w:oddVBand="0" w:evenVBand="0" w:oddHBand="0" w:evenHBand="0" w:firstRowFirstColumn="0" w:firstRowLastColumn="0" w:lastRowFirstColumn="0" w:lastRowLastColumn="0"/>
              <w:rPr>
                <w:b/>
                <w:i/>
              </w:rPr>
            </w:pPr>
            <w:r w:rsidRPr="00841DEB">
              <w:rPr>
                <w:b/>
                <w:i/>
              </w:rPr>
              <w:t>-1,100</w:t>
            </w:r>
            <w:r>
              <w:rPr>
                <w:b/>
                <w:i/>
              </w:rPr>
              <w:t>.0</w:t>
            </w:r>
          </w:p>
        </w:tc>
      </w:tr>
      <w:tr w:rsidR="007C0220" w:rsidTr="007C0220">
        <w:trPr>
          <w:cantSplit/>
        </w:trPr>
        <w:tc>
          <w:tcPr>
            <w:cnfStyle w:val="001000000000" w:firstRow="0" w:lastRow="0" w:firstColumn="1" w:lastColumn="0" w:oddVBand="0" w:evenVBand="0" w:oddHBand="0" w:evenHBand="0" w:firstRowFirstColumn="0" w:firstRowLastColumn="0" w:lastRowFirstColumn="0" w:lastRowLastColumn="0"/>
            <w:tcW w:w="1063" w:type="pct"/>
          </w:tcPr>
          <w:p w:rsidR="007C0220" w:rsidRPr="0007264D" w:rsidRDefault="007C0220" w:rsidP="00DA3B55">
            <w:pPr>
              <w:keepNext/>
              <w:keepLines/>
              <w:spacing w:before="70" w:after="70" w:line="260" w:lineRule="atLeast"/>
              <w:ind w:left="57" w:right="57"/>
            </w:pPr>
            <w:r>
              <w:t>Departmental expense (ATO)</w:t>
            </w:r>
          </w:p>
        </w:tc>
        <w:tc>
          <w:tcPr>
            <w:tcW w:w="765" w:type="pct"/>
          </w:tcPr>
          <w:p w:rsidR="007C0220" w:rsidRPr="00F40A57" w:rsidRDefault="007C0220" w:rsidP="00D92294">
            <w:pPr>
              <w:jc w:val="right"/>
              <w:cnfStyle w:val="000000000000" w:firstRow="0" w:lastRow="0" w:firstColumn="0" w:lastColumn="0" w:oddVBand="0" w:evenVBand="0" w:oddHBand="0" w:evenHBand="0" w:firstRowFirstColumn="0" w:firstRowLastColumn="0" w:lastRowFirstColumn="0" w:lastRowLastColumn="0"/>
            </w:pPr>
            <w:r w:rsidRPr="00F40A57">
              <w:t>-6</w:t>
            </w:r>
            <w:r>
              <w:t>.0</w:t>
            </w:r>
          </w:p>
        </w:tc>
        <w:tc>
          <w:tcPr>
            <w:tcW w:w="769" w:type="pct"/>
          </w:tcPr>
          <w:p w:rsidR="007C0220" w:rsidRPr="00F40A57" w:rsidRDefault="007C0220" w:rsidP="00D92294">
            <w:pPr>
              <w:jc w:val="right"/>
              <w:cnfStyle w:val="000000000000" w:firstRow="0" w:lastRow="0" w:firstColumn="0" w:lastColumn="0" w:oddVBand="0" w:evenVBand="0" w:oddHBand="0" w:evenHBand="0" w:firstRowFirstColumn="0" w:firstRowLastColumn="0" w:lastRowFirstColumn="0" w:lastRowLastColumn="0"/>
            </w:pPr>
            <w:r w:rsidRPr="00F40A57">
              <w:t>-4</w:t>
            </w:r>
            <w:r>
              <w:t>.0</w:t>
            </w:r>
          </w:p>
        </w:tc>
        <w:tc>
          <w:tcPr>
            <w:tcW w:w="769" w:type="pct"/>
          </w:tcPr>
          <w:p w:rsidR="007C0220" w:rsidRPr="00F40A57" w:rsidRDefault="007C0220" w:rsidP="00D92294">
            <w:pPr>
              <w:jc w:val="right"/>
              <w:cnfStyle w:val="000000000000" w:firstRow="0" w:lastRow="0" w:firstColumn="0" w:lastColumn="0" w:oddVBand="0" w:evenVBand="0" w:oddHBand="0" w:evenHBand="0" w:firstRowFirstColumn="0" w:firstRowLastColumn="0" w:lastRowFirstColumn="0" w:lastRowLastColumn="0"/>
            </w:pPr>
            <w:r w:rsidRPr="00F40A57">
              <w:t>-1</w:t>
            </w:r>
            <w:r>
              <w:t>.0</w:t>
            </w:r>
          </w:p>
        </w:tc>
        <w:tc>
          <w:tcPr>
            <w:tcW w:w="765" w:type="pct"/>
          </w:tcPr>
          <w:p w:rsidR="007C0220" w:rsidRPr="00F40A57" w:rsidRDefault="007C0220" w:rsidP="00D92294">
            <w:pPr>
              <w:jc w:val="right"/>
              <w:cnfStyle w:val="000000000000" w:firstRow="0" w:lastRow="0" w:firstColumn="0" w:lastColumn="0" w:oddVBand="0" w:evenVBand="0" w:oddHBand="0" w:evenHBand="0" w:firstRowFirstColumn="0" w:firstRowLastColumn="0" w:lastRowFirstColumn="0" w:lastRowLastColumn="0"/>
            </w:pPr>
            <w:r w:rsidRPr="00F40A57">
              <w:t>-1</w:t>
            </w:r>
            <w:r>
              <w:t>.0</w:t>
            </w:r>
          </w:p>
        </w:tc>
        <w:tc>
          <w:tcPr>
            <w:tcW w:w="765" w:type="pct"/>
          </w:tcPr>
          <w:p w:rsidR="007C0220" w:rsidRPr="00841DEB" w:rsidRDefault="007C0220" w:rsidP="00D92294">
            <w:pPr>
              <w:jc w:val="right"/>
              <w:cnfStyle w:val="000000000000" w:firstRow="0" w:lastRow="0" w:firstColumn="0" w:lastColumn="0" w:oddVBand="0" w:evenVBand="0" w:oddHBand="0" w:evenHBand="0" w:firstRowFirstColumn="0" w:firstRowLastColumn="0" w:lastRowFirstColumn="0" w:lastRowLastColumn="0"/>
              <w:rPr>
                <w:b/>
              </w:rPr>
            </w:pPr>
            <w:r w:rsidRPr="00841DEB">
              <w:rPr>
                <w:b/>
              </w:rPr>
              <w:t>-12</w:t>
            </w:r>
            <w:r>
              <w:rPr>
                <w:b/>
              </w:rPr>
              <w:t>.0</w:t>
            </w:r>
          </w:p>
        </w:tc>
      </w:tr>
      <w:tr w:rsidR="007C0220" w:rsidRPr="008D6ECA" w:rsidTr="007C0220">
        <w:trPr>
          <w:cantSplit/>
        </w:trPr>
        <w:tc>
          <w:tcPr>
            <w:cnfStyle w:val="001000000000" w:firstRow="0" w:lastRow="0" w:firstColumn="1" w:lastColumn="0" w:oddVBand="0" w:evenVBand="0" w:oddHBand="0" w:evenHBand="0" w:firstRowFirstColumn="0" w:firstRowLastColumn="0" w:lastRowFirstColumn="0" w:lastRowLastColumn="0"/>
            <w:tcW w:w="1063" w:type="pct"/>
            <w:shd w:val="clear" w:color="auto" w:fill="E9ECF3"/>
          </w:tcPr>
          <w:p w:rsidR="007C0220" w:rsidRPr="008D6ECA" w:rsidRDefault="007C0220" w:rsidP="00DA3B55">
            <w:pPr>
              <w:keepNext/>
              <w:keepLines/>
              <w:spacing w:before="70" w:after="70" w:line="260" w:lineRule="atLeast"/>
              <w:ind w:left="57" w:right="57"/>
              <w:rPr>
                <w:b/>
              </w:rPr>
            </w:pPr>
            <w:r>
              <w:rPr>
                <w:b/>
              </w:rPr>
              <w:t>Total</w:t>
            </w:r>
          </w:p>
        </w:tc>
        <w:tc>
          <w:tcPr>
            <w:tcW w:w="765" w:type="pct"/>
            <w:shd w:val="clear" w:color="auto" w:fill="E9ECF3"/>
          </w:tcPr>
          <w:p w:rsidR="007C0220" w:rsidRPr="00841DEB" w:rsidRDefault="007C0220" w:rsidP="00D92294">
            <w:pPr>
              <w:jc w:val="right"/>
              <w:cnfStyle w:val="000000000000" w:firstRow="0" w:lastRow="0" w:firstColumn="0" w:lastColumn="0" w:oddVBand="0" w:evenVBand="0" w:oddHBand="0" w:evenHBand="0" w:firstRowFirstColumn="0" w:firstRowLastColumn="0" w:lastRowFirstColumn="0" w:lastRowLastColumn="0"/>
              <w:rPr>
                <w:b/>
              </w:rPr>
            </w:pPr>
            <w:r w:rsidRPr="00841DEB">
              <w:rPr>
                <w:b/>
              </w:rPr>
              <w:t>-3</w:t>
            </w:r>
            <w:r>
              <w:rPr>
                <w:b/>
              </w:rPr>
              <w:t>0</w:t>
            </w:r>
            <w:r w:rsidRPr="00841DEB">
              <w:rPr>
                <w:b/>
              </w:rPr>
              <w:t>6</w:t>
            </w:r>
            <w:r>
              <w:rPr>
                <w:b/>
              </w:rPr>
              <w:t>.0</w:t>
            </w:r>
          </w:p>
        </w:tc>
        <w:tc>
          <w:tcPr>
            <w:tcW w:w="769" w:type="pct"/>
            <w:shd w:val="clear" w:color="auto" w:fill="E9ECF3"/>
          </w:tcPr>
          <w:p w:rsidR="007C0220" w:rsidRPr="00841DEB" w:rsidRDefault="007C0220" w:rsidP="00D92294">
            <w:pPr>
              <w:jc w:val="right"/>
              <w:cnfStyle w:val="000000000000" w:firstRow="0" w:lastRow="0" w:firstColumn="0" w:lastColumn="0" w:oddVBand="0" w:evenVBand="0" w:oddHBand="0" w:evenHBand="0" w:firstRowFirstColumn="0" w:firstRowLastColumn="0" w:lastRowFirstColumn="0" w:lastRowLastColumn="0"/>
              <w:rPr>
                <w:b/>
              </w:rPr>
            </w:pPr>
            <w:r w:rsidRPr="00841DEB">
              <w:rPr>
                <w:b/>
              </w:rPr>
              <w:t>2,</w:t>
            </w:r>
            <w:r>
              <w:rPr>
                <w:b/>
              </w:rPr>
              <w:t>19</w:t>
            </w:r>
            <w:r w:rsidRPr="00841DEB">
              <w:rPr>
                <w:b/>
              </w:rPr>
              <w:t>6</w:t>
            </w:r>
            <w:r>
              <w:rPr>
                <w:b/>
              </w:rPr>
              <w:t>.0</w:t>
            </w:r>
          </w:p>
        </w:tc>
        <w:tc>
          <w:tcPr>
            <w:tcW w:w="769" w:type="pct"/>
            <w:shd w:val="clear" w:color="auto" w:fill="E9ECF3"/>
          </w:tcPr>
          <w:p w:rsidR="007C0220" w:rsidRPr="00841DEB" w:rsidRDefault="007C0220" w:rsidP="00D92294">
            <w:pPr>
              <w:jc w:val="right"/>
              <w:cnfStyle w:val="000000000000" w:firstRow="0" w:lastRow="0" w:firstColumn="0" w:lastColumn="0" w:oddVBand="0" w:evenVBand="0" w:oddHBand="0" w:evenHBand="0" w:firstRowFirstColumn="0" w:firstRowLastColumn="0" w:lastRowFirstColumn="0" w:lastRowLastColumn="0"/>
              <w:rPr>
                <w:b/>
              </w:rPr>
            </w:pPr>
            <w:r w:rsidRPr="00841DEB">
              <w:rPr>
                <w:b/>
              </w:rPr>
              <w:t>3,299</w:t>
            </w:r>
            <w:r>
              <w:rPr>
                <w:b/>
              </w:rPr>
              <w:t>.0</w:t>
            </w:r>
          </w:p>
        </w:tc>
        <w:tc>
          <w:tcPr>
            <w:tcW w:w="765" w:type="pct"/>
            <w:shd w:val="clear" w:color="auto" w:fill="E9ECF3"/>
          </w:tcPr>
          <w:p w:rsidR="007C0220" w:rsidRPr="00841DEB" w:rsidRDefault="007C0220" w:rsidP="00D92294">
            <w:pPr>
              <w:jc w:val="right"/>
              <w:cnfStyle w:val="000000000000" w:firstRow="0" w:lastRow="0" w:firstColumn="0" w:lastColumn="0" w:oddVBand="0" w:evenVBand="0" w:oddHBand="0" w:evenHBand="0" w:firstRowFirstColumn="0" w:firstRowLastColumn="0" w:lastRowFirstColumn="0" w:lastRowLastColumn="0"/>
              <w:rPr>
                <w:b/>
              </w:rPr>
            </w:pPr>
            <w:r w:rsidRPr="00841DEB">
              <w:rPr>
                <w:b/>
              </w:rPr>
              <w:t>3,199</w:t>
            </w:r>
            <w:r>
              <w:rPr>
                <w:b/>
              </w:rPr>
              <w:t>.0</w:t>
            </w:r>
          </w:p>
        </w:tc>
        <w:tc>
          <w:tcPr>
            <w:tcW w:w="765" w:type="pct"/>
            <w:shd w:val="clear" w:color="auto" w:fill="E9ECF3"/>
          </w:tcPr>
          <w:p w:rsidR="007C0220" w:rsidRPr="00841DEB" w:rsidRDefault="007C0220" w:rsidP="00D92294">
            <w:pPr>
              <w:jc w:val="right"/>
              <w:cnfStyle w:val="000000000000" w:firstRow="0" w:lastRow="0" w:firstColumn="0" w:lastColumn="0" w:oddVBand="0" w:evenVBand="0" w:oddHBand="0" w:evenHBand="0" w:firstRowFirstColumn="0" w:firstRowLastColumn="0" w:lastRowFirstColumn="0" w:lastRowLastColumn="0"/>
              <w:rPr>
                <w:b/>
              </w:rPr>
            </w:pPr>
            <w:r w:rsidRPr="00841DEB">
              <w:rPr>
                <w:b/>
              </w:rPr>
              <w:t>8,388</w:t>
            </w:r>
            <w:r>
              <w:rPr>
                <w:b/>
              </w:rPr>
              <w:t>.0</w:t>
            </w:r>
          </w:p>
        </w:tc>
      </w:tr>
    </w:tbl>
    <w:p w:rsidR="00841DEB" w:rsidRPr="006E7357" w:rsidRDefault="000B6909" w:rsidP="00C440C5">
      <w:pPr>
        <w:pStyle w:val="Footnotes"/>
        <w:numPr>
          <w:ilvl w:val="0"/>
          <w:numId w:val="10"/>
        </w:numPr>
        <w:ind w:left="284" w:hanging="284"/>
      </w:pPr>
      <w:r>
        <w:t xml:space="preserve">A </w:t>
      </w:r>
      <w:r w:rsidRPr="006E7357">
        <w:t xml:space="preserve">positive </w:t>
      </w:r>
      <w:r w:rsidR="00613E53" w:rsidRPr="006E7357">
        <w:t>number for the fiscal balance indicates an increase in revenue or a decrease in expenses or net capital investment in accrual terms.  A negative number for the fiscal balance indicates a decrease in revenue or an increase in expenses</w:t>
      </w:r>
      <w:r w:rsidR="00F007B4" w:rsidRPr="006E7357">
        <w:t xml:space="preserve"> or net capital investment in accrual terms.</w:t>
      </w:r>
      <w:r w:rsidR="00841DEB" w:rsidRPr="006E7357">
        <w:t xml:space="preserve">  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w:t>
      </w:r>
      <w:r w:rsidR="00F6324C" w:rsidRPr="006E7357">
        <w:t>cash</w:t>
      </w:r>
      <w:r w:rsidR="00841DEB" w:rsidRPr="006E7357">
        <w:t xml:space="preserve"> terms.</w:t>
      </w:r>
    </w:p>
    <w:p w:rsidR="00F007B4" w:rsidRPr="006E7357" w:rsidRDefault="00F007B4" w:rsidP="00C440C5">
      <w:pPr>
        <w:pStyle w:val="Footnotes"/>
      </w:pPr>
      <w:r w:rsidRPr="006E7357">
        <w:t>Figures may not sum to totals due to rounding.</w:t>
      </w:r>
    </w:p>
    <w:p w:rsidR="00A76693" w:rsidRPr="00FC6579" w:rsidRDefault="00226B98" w:rsidP="00D92294">
      <w:pPr>
        <w:pStyle w:val="Footnotes"/>
        <w:numPr>
          <w:ilvl w:val="0"/>
          <w:numId w:val="0"/>
        </w:numPr>
        <w:ind w:left="284" w:hanging="284"/>
      </w:pPr>
      <w:r w:rsidRPr="006E7357">
        <w:t>..</w:t>
      </w:r>
      <w:r w:rsidR="00D92294">
        <w:tab/>
      </w:r>
      <w:r w:rsidRPr="006E7357">
        <w:t>Not zero,</w:t>
      </w:r>
      <w:r>
        <w:t xml:space="preserve"> but rounded to zero.</w:t>
      </w:r>
    </w:p>
    <w:sectPr w:rsidR="00A76693" w:rsidRPr="00FC6579" w:rsidSect="007C0220">
      <w:headerReference w:type="first" r:id="rId17"/>
      <w:footerReference w:type="first" r:id="rId18"/>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28" w:rsidRDefault="00E75128" w:rsidP="008F588A">
      <w:pPr>
        <w:spacing w:line="240" w:lineRule="auto"/>
      </w:pPr>
      <w:r>
        <w:separator/>
      </w:r>
    </w:p>
    <w:p w:rsidR="00E75128" w:rsidRDefault="00E75128"/>
  </w:endnote>
  <w:endnote w:type="continuationSeparator" w:id="0">
    <w:p w:rsidR="00E75128" w:rsidRDefault="00E75128" w:rsidP="008F588A">
      <w:pPr>
        <w:spacing w:line="240" w:lineRule="auto"/>
      </w:pPr>
      <w:r>
        <w:continuationSeparator/>
      </w:r>
    </w:p>
    <w:p w:rsidR="00E75128" w:rsidRDefault="00E75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8" w:rsidRPr="00C24267" w:rsidRDefault="00E75128"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B70C2B">
      <w:rPr>
        <w:noProof/>
      </w:rPr>
      <w:t>3</w:t>
    </w:r>
    <w:r w:rsidRPr="00C24267">
      <w:fldChar w:fldCharType="end"/>
    </w:r>
    <w:r w:rsidRPr="00C24267">
      <w:t xml:space="preserve"> of </w:t>
    </w:r>
    <w:fldSimple w:instr=" NUMPAGES  \* Arabic  \* MERGEFORMAT ">
      <w:r w:rsidR="00B70C2B">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8" w:rsidRPr="00C24267" w:rsidRDefault="00E75128" w:rsidP="00C24267">
    <w:pPr>
      <w:pStyle w:val="Letterfooter"/>
    </w:pPr>
    <w:r w:rsidRPr="00C24267">
      <w:t>Parliamentary Budget Office   PO Box 6010   Parliament House   Canberra ACT 2600</w:t>
    </w:r>
  </w:p>
  <w:p w:rsidR="00E75128" w:rsidRPr="00C24267" w:rsidRDefault="00E75128"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8" w:rsidRPr="00C24267" w:rsidRDefault="00E75128"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B70C2B">
      <w:rPr>
        <w:noProof/>
      </w:rPr>
      <w:t>2</w:t>
    </w:r>
    <w:r w:rsidRPr="00C24267">
      <w:fldChar w:fldCharType="end"/>
    </w:r>
    <w:r w:rsidRPr="00C24267">
      <w:t xml:space="preserve"> of </w:t>
    </w:r>
    <w:fldSimple w:instr=" NUMPAGES  \* Arabic  \* MERGEFORMAT ">
      <w:r w:rsidR="00B70C2B">
        <w:rPr>
          <w:noProof/>
        </w:rPr>
        <w:t>6</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8" w:rsidRPr="00C24267" w:rsidRDefault="00E75128"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B70C2B">
      <w:rPr>
        <w:noProof/>
      </w:rPr>
      <w:t>6</w:t>
    </w:r>
    <w:r w:rsidRPr="00C24267">
      <w:fldChar w:fldCharType="end"/>
    </w:r>
    <w:r w:rsidRPr="00C24267">
      <w:t xml:space="preserve"> of </w:t>
    </w:r>
    <w:fldSimple w:instr=" NUMPAGES  \* Arabic  \* MERGEFORMAT ">
      <w:r w:rsidR="00B70C2B">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28" w:rsidRDefault="00E75128" w:rsidP="00194D4A">
      <w:pPr>
        <w:spacing w:line="240" w:lineRule="auto"/>
      </w:pPr>
      <w:r>
        <w:separator/>
      </w:r>
    </w:p>
  </w:footnote>
  <w:footnote w:type="continuationSeparator" w:id="0">
    <w:p w:rsidR="00E75128" w:rsidRDefault="00E75128" w:rsidP="008F588A">
      <w:pPr>
        <w:spacing w:line="240" w:lineRule="auto"/>
      </w:pPr>
      <w:r>
        <w:continuationSeparator/>
      </w:r>
    </w:p>
    <w:p w:rsidR="00E75128" w:rsidRDefault="00E75128"/>
  </w:footnote>
  <w:footnote w:id="1">
    <w:p w:rsidR="009F5078" w:rsidRPr="009F5078" w:rsidRDefault="009F5078" w:rsidP="009F5078">
      <w:pPr>
        <w:pStyle w:val="FootnoteText"/>
        <w:spacing w:after="120"/>
        <w:rPr>
          <w:rFonts w:asciiTheme="minorHAnsi" w:hAnsiTheme="minorHAnsi"/>
        </w:rPr>
      </w:pPr>
      <w:r w:rsidRPr="009F5078">
        <w:rPr>
          <w:rStyle w:val="FootnoteReference"/>
          <w:rFonts w:asciiTheme="minorHAnsi" w:hAnsiTheme="minorHAnsi"/>
        </w:rPr>
        <w:footnoteRef/>
      </w:r>
      <w:r w:rsidRPr="009F5078">
        <w:rPr>
          <w:rFonts w:asciiTheme="minorHAnsi" w:hAnsiTheme="minorHAnsi"/>
        </w:rPr>
        <w:t xml:space="preserve"> </w:t>
      </w:r>
      <w:proofErr w:type="gramStart"/>
      <w:r w:rsidRPr="009F5078">
        <w:rPr>
          <w:rFonts w:asciiTheme="minorHAnsi" w:hAnsiTheme="minorHAnsi"/>
          <w:sz w:val="18"/>
        </w:rPr>
        <w:t>A taxable</w:t>
      </w:r>
      <w:proofErr w:type="gramEnd"/>
      <w:r w:rsidRPr="009F5078">
        <w:rPr>
          <w:rFonts w:asciiTheme="minorHAnsi" w:hAnsiTheme="minorHAnsi"/>
          <w:sz w:val="18"/>
        </w:rPr>
        <w:t xml:space="preserve"> income elasticity is a measure of the responsiveness of taxable income to changes in after tax income.  An increase in tax would result in a decrease in after tax income.  An elasticity of 0.2 means that a 1 per cent decrease in the net-of-tax rate (the proportion of each additional dollar kept as take-home income) results in a 0.2 per cent decrease in taxable income.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8" w:rsidRPr="00134625" w:rsidRDefault="00E75128" w:rsidP="00C17112">
    <w:pPr>
      <w:pStyle w:val="Header"/>
      <w:spacing w:before="0" w:after="0"/>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8" w:rsidRDefault="00E75128" w:rsidP="00CB40E1">
    <w:pPr>
      <w:pStyle w:val="Header"/>
    </w:pPr>
    <w:r>
      <w:rPr>
        <w:noProof/>
        <w:lang w:eastAsia="en-AU"/>
      </w:rPr>
      <w:drawing>
        <wp:inline distT="0" distB="0" distL="0" distR="0" wp14:anchorId="52FF188A" wp14:editId="1F5D467E">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E75128" w:rsidRPr="00DA1C8A" w:rsidRDefault="00E75128" w:rsidP="00002D5D">
    <w:pPr>
      <w:pStyle w:val="PBOheader"/>
      <w:spacing w:before="720"/>
      <w:ind w:left="5783"/>
      <w:rPr>
        <w:b w:val="0"/>
      </w:rPr>
    </w:pPr>
    <w:r>
      <w:t>P</w:t>
    </w:r>
    <w:r w:rsidRPr="009030A0">
      <w:t>hil Bowen PSM FCPA</w:t>
    </w:r>
    <w:r>
      <w:br/>
    </w:r>
    <w:r w:rsidRPr="009030A0">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8" w:rsidRPr="00605762" w:rsidRDefault="003F7283" w:rsidP="00605762">
    <w:pPr>
      <w:pStyle w:val="Header"/>
      <w:spacing w:before="0" w:after="0"/>
      <w:rPr>
        <w:b/>
        <w:sz w:val="28"/>
        <w:szCs w:val="28"/>
      </w:rPr>
    </w:pPr>
    <w:r w:rsidRPr="00605762">
      <w:rPr>
        <w:noProof/>
        <w:lang w:eastAsia="en-AU"/>
      </w:rPr>
      <w:drawing>
        <wp:inline distT="0" distB="0" distL="0" distR="0" wp14:anchorId="29C5A230" wp14:editId="1DEBE62E">
          <wp:extent cx="2696845" cy="572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8" w:rsidRPr="00605762" w:rsidRDefault="00E75128" w:rsidP="00C17112">
    <w:pPr>
      <w:pStyle w:val="Header"/>
      <w:spacing w:before="0" w:after="0"/>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A42452E"/>
    <w:multiLevelType w:val="hybridMultilevel"/>
    <w:tmpl w:val="EA86CD2C"/>
    <w:lvl w:ilvl="0" w:tplc="A31E4EA4">
      <w:start w:val="1"/>
      <w:numFmt w:val="bullet"/>
      <w:pStyle w:val="PBObullet"/>
      <w:lvlText w:val=""/>
      <w:lvlJc w:val="left"/>
      <w:pPr>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5DA958F1"/>
    <w:multiLevelType w:val="hybridMultilevel"/>
    <w:tmpl w:val="E042DB4E"/>
    <w:lvl w:ilvl="0" w:tplc="439624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65E7B5A"/>
    <w:multiLevelType w:val="hybridMultilevel"/>
    <w:tmpl w:val="F2C28104"/>
    <w:lvl w:ilvl="0" w:tplc="926CBE88">
      <w:start w:val="1"/>
      <w:numFmt w:val="bullet"/>
      <w:lvlText w:val=""/>
      <w:lvlJc w:val="left"/>
      <w:pPr>
        <w:ind w:left="360" w:hanging="360"/>
      </w:pPr>
      <w:rPr>
        <w:rFonts w:ascii="Symbol" w:hAnsi="Symbol" w:hint="default"/>
      </w:rPr>
    </w:lvl>
    <w:lvl w:ilvl="1" w:tplc="9CA266AC">
      <w:start w:val="1"/>
      <w:numFmt w:val="bullet"/>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B462321"/>
    <w:multiLevelType w:val="hybridMultilevel"/>
    <w:tmpl w:val="C032E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2"/>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1"/>
  </w:num>
  <w:num w:numId="12">
    <w:abstractNumId w:val="0"/>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3"/>
  </w:num>
  <w:num w:numId="18">
    <w:abstractNumId w:val="11"/>
  </w:num>
  <w:num w:numId="19">
    <w:abstractNumId w:val="9"/>
  </w:num>
  <w:num w:numId="20">
    <w:abstractNumId w:val="10"/>
  </w:num>
  <w:num w:numId="21">
    <w:abstractNumId w:val="2"/>
  </w:num>
  <w:num w:numId="22">
    <w:abstractNumId w:val="8"/>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28"/>
    <w:rsid w:val="00002D5D"/>
    <w:rsid w:val="00015FB2"/>
    <w:rsid w:val="00040DCE"/>
    <w:rsid w:val="00060F22"/>
    <w:rsid w:val="00082D8F"/>
    <w:rsid w:val="00091BF3"/>
    <w:rsid w:val="00096F3A"/>
    <w:rsid w:val="000B6909"/>
    <w:rsid w:val="000C1A75"/>
    <w:rsid w:val="001278D0"/>
    <w:rsid w:val="00130EA2"/>
    <w:rsid w:val="00134625"/>
    <w:rsid w:val="0013796F"/>
    <w:rsid w:val="0014239B"/>
    <w:rsid w:val="00186660"/>
    <w:rsid w:val="00194D4A"/>
    <w:rsid w:val="0019563A"/>
    <w:rsid w:val="001A02D1"/>
    <w:rsid w:val="001A73AE"/>
    <w:rsid w:val="001F72AB"/>
    <w:rsid w:val="001F7328"/>
    <w:rsid w:val="00220BE5"/>
    <w:rsid w:val="00226B98"/>
    <w:rsid w:val="002312EE"/>
    <w:rsid w:val="0023404F"/>
    <w:rsid w:val="002422A3"/>
    <w:rsid w:val="00315E34"/>
    <w:rsid w:val="0031723C"/>
    <w:rsid w:val="00322457"/>
    <w:rsid w:val="00326DE2"/>
    <w:rsid w:val="00340070"/>
    <w:rsid w:val="003D7744"/>
    <w:rsid w:val="003E4F5F"/>
    <w:rsid w:val="003F7283"/>
    <w:rsid w:val="003F73CA"/>
    <w:rsid w:val="00410A2C"/>
    <w:rsid w:val="00440E32"/>
    <w:rsid w:val="00461597"/>
    <w:rsid w:val="00474A3A"/>
    <w:rsid w:val="00485374"/>
    <w:rsid w:val="004A546D"/>
    <w:rsid w:val="004B150B"/>
    <w:rsid w:val="004B4A14"/>
    <w:rsid w:val="004C283B"/>
    <w:rsid w:val="004D0790"/>
    <w:rsid w:val="004D13ED"/>
    <w:rsid w:val="004D5525"/>
    <w:rsid w:val="005035DA"/>
    <w:rsid w:val="00507897"/>
    <w:rsid w:val="0051141E"/>
    <w:rsid w:val="00514F03"/>
    <w:rsid w:val="00515A85"/>
    <w:rsid w:val="00545F24"/>
    <w:rsid w:val="005509A7"/>
    <w:rsid w:val="00552CAB"/>
    <w:rsid w:val="00554D14"/>
    <w:rsid w:val="0055581F"/>
    <w:rsid w:val="0056229A"/>
    <w:rsid w:val="00570154"/>
    <w:rsid w:val="00570B5A"/>
    <w:rsid w:val="00587422"/>
    <w:rsid w:val="005A603A"/>
    <w:rsid w:val="005B1A4A"/>
    <w:rsid w:val="005B7B75"/>
    <w:rsid w:val="005C6967"/>
    <w:rsid w:val="005D535C"/>
    <w:rsid w:val="005E3562"/>
    <w:rsid w:val="005F7DE0"/>
    <w:rsid w:val="00605762"/>
    <w:rsid w:val="00613E53"/>
    <w:rsid w:val="00640346"/>
    <w:rsid w:val="00660385"/>
    <w:rsid w:val="00662E65"/>
    <w:rsid w:val="0066665A"/>
    <w:rsid w:val="00692DD8"/>
    <w:rsid w:val="006B2F5E"/>
    <w:rsid w:val="006C47F2"/>
    <w:rsid w:val="006E7357"/>
    <w:rsid w:val="006F0CE9"/>
    <w:rsid w:val="007151BA"/>
    <w:rsid w:val="007202A8"/>
    <w:rsid w:val="007229A9"/>
    <w:rsid w:val="0076574C"/>
    <w:rsid w:val="007925B9"/>
    <w:rsid w:val="007B029A"/>
    <w:rsid w:val="007C0220"/>
    <w:rsid w:val="007D33AA"/>
    <w:rsid w:val="007D3577"/>
    <w:rsid w:val="007F44BC"/>
    <w:rsid w:val="007F7BCF"/>
    <w:rsid w:val="008030EC"/>
    <w:rsid w:val="00805704"/>
    <w:rsid w:val="00806DD6"/>
    <w:rsid w:val="00811D6D"/>
    <w:rsid w:val="00817E8E"/>
    <w:rsid w:val="00841C3A"/>
    <w:rsid w:val="00841DEB"/>
    <w:rsid w:val="00844776"/>
    <w:rsid w:val="0088365B"/>
    <w:rsid w:val="008850D9"/>
    <w:rsid w:val="008A4578"/>
    <w:rsid w:val="008B2741"/>
    <w:rsid w:val="008C03C3"/>
    <w:rsid w:val="008C245E"/>
    <w:rsid w:val="008D3909"/>
    <w:rsid w:val="008D6ECA"/>
    <w:rsid w:val="008E309D"/>
    <w:rsid w:val="008F588A"/>
    <w:rsid w:val="00902D2D"/>
    <w:rsid w:val="00915749"/>
    <w:rsid w:val="00915804"/>
    <w:rsid w:val="00957285"/>
    <w:rsid w:val="009573AF"/>
    <w:rsid w:val="00977D7B"/>
    <w:rsid w:val="00984ED5"/>
    <w:rsid w:val="009963ED"/>
    <w:rsid w:val="009B50FD"/>
    <w:rsid w:val="009D4063"/>
    <w:rsid w:val="009F5078"/>
    <w:rsid w:val="00A20532"/>
    <w:rsid w:val="00A41BD3"/>
    <w:rsid w:val="00A449C2"/>
    <w:rsid w:val="00A65EA3"/>
    <w:rsid w:val="00A76693"/>
    <w:rsid w:val="00AA3D6F"/>
    <w:rsid w:val="00AB55AE"/>
    <w:rsid w:val="00AB6F7D"/>
    <w:rsid w:val="00AB758C"/>
    <w:rsid w:val="00AC7878"/>
    <w:rsid w:val="00AD493E"/>
    <w:rsid w:val="00AE30B5"/>
    <w:rsid w:val="00AE5755"/>
    <w:rsid w:val="00B06055"/>
    <w:rsid w:val="00B44D8A"/>
    <w:rsid w:val="00B70C2B"/>
    <w:rsid w:val="00B73AC8"/>
    <w:rsid w:val="00B747A7"/>
    <w:rsid w:val="00BA2BBF"/>
    <w:rsid w:val="00BC559C"/>
    <w:rsid w:val="00BC7A77"/>
    <w:rsid w:val="00C02128"/>
    <w:rsid w:val="00C17112"/>
    <w:rsid w:val="00C24267"/>
    <w:rsid w:val="00C440C5"/>
    <w:rsid w:val="00C61A93"/>
    <w:rsid w:val="00C827D0"/>
    <w:rsid w:val="00CA12A0"/>
    <w:rsid w:val="00CA5D42"/>
    <w:rsid w:val="00CB2FE8"/>
    <w:rsid w:val="00CB40E1"/>
    <w:rsid w:val="00CF18E0"/>
    <w:rsid w:val="00CF6DB6"/>
    <w:rsid w:val="00D134CA"/>
    <w:rsid w:val="00D52D5F"/>
    <w:rsid w:val="00D92294"/>
    <w:rsid w:val="00D949A3"/>
    <w:rsid w:val="00D94E76"/>
    <w:rsid w:val="00DA1C8A"/>
    <w:rsid w:val="00DA362A"/>
    <w:rsid w:val="00DA3B55"/>
    <w:rsid w:val="00DB2B5A"/>
    <w:rsid w:val="00DB44F0"/>
    <w:rsid w:val="00DD109E"/>
    <w:rsid w:val="00DD3E18"/>
    <w:rsid w:val="00DD5F3E"/>
    <w:rsid w:val="00E12103"/>
    <w:rsid w:val="00E1444A"/>
    <w:rsid w:val="00E15AAE"/>
    <w:rsid w:val="00E21184"/>
    <w:rsid w:val="00E40B8B"/>
    <w:rsid w:val="00E53AFE"/>
    <w:rsid w:val="00E541AD"/>
    <w:rsid w:val="00E5742E"/>
    <w:rsid w:val="00E75128"/>
    <w:rsid w:val="00E92D57"/>
    <w:rsid w:val="00EA2204"/>
    <w:rsid w:val="00EA265F"/>
    <w:rsid w:val="00EA5685"/>
    <w:rsid w:val="00ED43FF"/>
    <w:rsid w:val="00ED4F43"/>
    <w:rsid w:val="00EE6600"/>
    <w:rsid w:val="00EF1D6A"/>
    <w:rsid w:val="00EF2E51"/>
    <w:rsid w:val="00F007B4"/>
    <w:rsid w:val="00F21865"/>
    <w:rsid w:val="00F31E24"/>
    <w:rsid w:val="00F4535C"/>
    <w:rsid w:val="00F470AC"/>
    <w:rsid w:val="00F52474"/>
    <w:rsid w:val="00F5529D"/>
    <w:rsid w:val="00F5669E"/>
    <w:rsid w:val="00F6324C"/>
    <w:rsid w:val="00F75D33"/>
    <w:rsid w:val="00F954CF"/>
    <w:rsid w:val="00F97DFF"/>
    <w:rsid w:val="00FC6579"/>
    <w:rsid w:val="00FD3FB3"/>
    <w:rsid w:val="00FE1053"/>
    <w:rsid w:val="00FE6904"/>
    <w:rsid w:val="00FF6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DA3B55"/>
    <w:pPr>
      <w:spacing w:before="70" w:after="70" w:line="260" w:lineRule="atLeast"/>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605762"/>
    <w:rPr>
      <w:rFonts w:eastAsia="Times New Roman" w:cs="Times New Roman"/>
      <w:spacing w:val="0"/>
      <w:lang w:eastAsia="en-AU"/>
    </w:rPr>
  </w:style>
  <w:style w:type="paragraph" w:customStyle="1" w:styleId="Bullet2">
    <w:name w:val="Bullet 2"/>
    <w:basedOn w:val="ListBullet2"/>
    <w:link w:val="Bullet2Char"/>
    <w:qFormat/>
    <w:rsid w:val="00605762"/>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605762"/>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605762"/>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Bullet4">
    <w:name w:val="Bullet 4"/>
    <w:basedOn w:val="Normal"/>
    <w:qFormat/>
    <w:rsid w:val="009F5078"/>
    <w:pPr>
      <w:spacing w:before="120" w:after="0" w:line="240" w:lineRule="auto"/>
      <w:ind w:left="1135" w:hanging="284"/>
    </w:pPr>
    <w:rPr>
      <w:rFonts w:ascii="Times New Roman" w:eastAsia="Times New Roman" w:hAnsi="Times New Roman" w:cs="Times New Roman"/>
      <w:sz w:val="24"/>
      <w:szCs w:val="20"/>
      <w:lang w:eastAsia="en-AU"/>
    </w:rPr>
  </w:style>
  <w:style w:type="paragraph" w:customStyle="1" w:styleId="PBObullet">
    <w:name w:val="PBO bullet"/>
    <w:basedOn w:val="Normal"/>
    <w:rsid w:val="009F5078"/>
    <w:pPr>
      <w:numPr>
        <w:numId w:val="22"/>
      </w:numPr>
      <w:spacing w:before="240"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F5078"/>
    <w:pPr>
      <w:spacing w:before="0"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F5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F5078"/>
    <w:rPr>
      <w:vertAlign w:val="superscript"/>
    </w:rPr>
  </w:style>
  <w:style w:type="paragraph" w:customStyle="1" w:styleId="Tableheading0">
    <w:name w:val="Table heading"/>
    <w:basedOn w:val="Caption"/>
    <w:link w:val="TableheadingChar"/>
    <w:qFormat/>
    <w:rsid w:val="000B6909"/>
    <w:pPr>
      <w:keepLines/>
      <w:spacing w:before="240" w:after="0" w:line="260" w:lineRule="exact"/>
      <w:jc w:val="both"/>
    </w:pPr>
    <w:rPr>
      <w:rFonts w:ascii="Times New Roman" w:eastAsia="Times New Roman" w:hAnsi="Times New Roman" w:cs="Times New Roman"/>
      <w:sz w:val="24"/>
      <w:szCs w:val="20"/>
      <w:lang w:eastAsia="en-AU"/>
    </w:rPr>
  </w:style>
  <w:style w:type="character" w:customStyle="1" w:styleId="TableheadingChar">
    <w:name w:val="Table heading Char"/>
    <w:basedOn w:val="CaptionChar"/>
    <w:link w:val="Tableheading0"/>
    <w:rsid w:val="000B6909"/>
    <w:rPr>
      <w:rFonts w:ascii="Times New Roman" w:eastAsia="Times New Roman" w:hAnsi="Times New Roman" w:cs="Times New Roman"/>
      <w:b/>
      <w:bCs/>
      <w:color w:val="1F497D" w:themeColor="text2"/>
      <w:spacing w:val="-4"/>
      <w:sz w:val="24"/>
      <w:szCs w:val="20"/>
      <w:lang w:eastAsia="en-AU"/>
    </w:rPr>
  </w:style>
  <w:style w:type="character" w:styleId="CommentReference">
    <w:name w:val="annotation reference"/>
    <w:basedOn w:val="DefaultParagraphFont"/>
    <w:uiPriority w:val="99"/>
    <w:semiHidden/>
    <w:unhideWhenUsed/>
    <w:rsid w:val="00554D14"/>
    <w:rPr>
      <w:sz w:val="16"/>
      <w:szCs w:val="16"/>
    </w:rPr>
  </w:style>
  <w:style w:type="paragraph" w:styleId="CommentText">
    <w:name w:val="annotation text"/>
    <w:basedOn w:val="Normal"/>
    <w:link w:val="CommentTextChar"/>
    <w:uiPriority w:val="99"/>
    <w:semiHidden/>
    <w:unhideWhenUsed/>
    <w:rsid w:val="00554D14"/>
    <w:pPr>
      <w:spacing w:line="240" w:lineRule="auto"/>
    </w:pPr>
    <w:rPr>
      <w:sz w:val="20"/>
      <w:szCs w:val="20"/>
    </w:rPr>
  </w:style>
  <w:style w:type="character" w:customStyle="1" w:styleId="CommentTextChar">
    <w:name w:val="Comment Text Char"/>
    <w:basedOn w:val="DefaultParagraphFont"/>
    <w:link w:val="CommentText"/>
    <w:uiPriority w:val="99"/>
    <w:semiHidden/>
    <w:rsid w:val="00554D14"/>
    <w:rPr>
      <w:sz w:val="20"/>
      <w:szCs w:val="20"/>
    </w:rPr>
  </w:style>
  <w:style w:type="paragraph" w:styleId="CommentSubject">
    <w:name w:val="annotation subject"/>
    <w:basedOn w:val="CommentText"/>
    <w:next w:val="CommentText"/>
    <w:link w:val="CommentSubjectChar"/>
    <w:uiPriority w:val="99"/>
    <w:semiHidden/>
    <w:unhideWhenUsed/>
    <w:rsid w:val="00554D14"/>
    <w:rPr>
      <w:b/>
      <w:bCs/>
    </w:rPr>
  </w:style>
  <w:style w:type="character" w:customStyle="1" w:styleId="CommentSubjectChar">
    <w:name w:val="Comment Subject Char"/>
    <w:basedOn w:val="CommentTextChar"/>
    <w:link w:val="CommentSubject"/>
    <w:uiPriority w:val="99"/>
    <w:semiHidden/>
    <w:rsid w:val="00554D14"/>
    <w:rPr>
      <w:b/>
      <w:bCs/>
      <w:sz w:val="20"/>
      <w:szCs w:val="20"/>
    </w:rPr>
  </w:style>
  <w:style w:type="paragraph" w:styleId="Revision">
    <w:name w:val="Revision"/>
    <w:hidden/>
    <w:uiPriority w:val="99"/>
    <w:semiHidden/>
    <w:rsid w:val="00613E53"/>
    <w:pPr>
      <w:spacing w:after="0" w:line="240" w:lineRule="auto"/>
    </w:pPr>
  </w:style>
  <w:style w:type="character" w:styleId="FollowedHyperlink">
    <w:name w:val="FollowedHyperlink"/>
    <w:basedOn w:val="DefaultParagraphFont"/>
    <w:uiPriority w:val="99"/>
    <w:semiHidden/>
    <w:unhideWhenUsed/>
    <w:rsid w:val="001956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DA3B55"/>
    <w:pPr>
      <w:spacing w:before="70" w:after="70" w:line="260" w:lineRule="atLeast"/>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605762"/>
    <w:rPr>
      <w:rFonts w:eastAsia="Times New Roman" w:cs="Times New Roman"/>
      <w:spacing w:val="0"/>
      <w:lang w:eastAsia="en-AU"/>
    </w:rPr>
  </w:style>
  <w:style w:type="paragraph" w:customStyle="1" w:styleId="Bullet2">
    <w:name w:val="Bullet 2"/>
    <w:basedOn w:val="ListBullet2"/>
    <w:link w:val="Bullet2Char"/>
    <w:qFormat/>
    <w:rsid w:val="00605762"/>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605762"/>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605762"/>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Bullet4">
    <w:name w:val="Bullet 4"/>
    <w:basedOn w:val="Normal"/>
    <w:qFormat/>
    <w:rsid w:val="009F5078"/>
    <w:pPr>
      <w:spacing w:before="120" w:after="0" w:line="240" w:lineRule="auto"/>
      <w:ind w:left="1135" w:hanging="284"/>
    </w:pPr>
    <w:rPr>
      <w:rFonts w:ascii="Times New Roman" w:eastAsia="Times New Roman" w:hAnsi="Times New Roman" w:cs="Times New Roman"/>
      <w:sz w:val="24"/>
      <w:szCs w:val="20"/>
      <w:lang w:eastAsia="en-AU"/>
    </w:rPr>
  </w:style>
  <w:style w:type="paragraph" w:customStyle="1" w:styleId="PBObullet">
    <w:name w:val="PBO bullet"/>
    <w:basedOn w:val="Normal"/>
    <w:rsid w:val="009F5078"/>
    <w:pPr>
      <w:numPr>
        <w:numId w:val="22"/>
      </w:numPr>
      <w:spacing w:before="240"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F5078"/>
    <w:pPr>
      <w:spacing w:before="0"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F5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F5078"/>
    <w:rPr>
      <w:vertAlign w:val="superscript"/>
    </w:rPr>
  </w:style>
  <w:style w:type="paragraph" w:customStyle="1" w:styleId="Tableheading0">
    <w:name w:val="Table heading"/>
    <w:basedOn w:val="Caption"/>
    <w:link w:val="TableheadingChar"/>
    <w:qFormat/>
    <w:rsid w:val="000B6909"/>
    <w:pPr>
      <w:keepLines/>
      <w:spacing w:before="240" w:after="0" w:line="260" w:lineRule="exact"/>
      <w:jc w:val="both"/>
    </w:pPr>
    <w:rPr>
      <w:rFonts w:ascii="Times New Roman" w:eastAsia="Times New Roman" w:hAnsi="Times New Roman" w:cs="Times New Roman"/>
      <w:sz w:val="24"/>
      <w:szCs w:val="20"/>
      <w:lang w:eastAsia="en-AU"/>
    </w:rPr>
  </w:style>
  <w:style w:type="character" w:customStyle="1" w:styleId="TableheadingChar">
    <w:name w:val="Table heading Char"/>
    <w:basedOn w:val="CaptionChar"/>
    <w:link w:val="Tableheading0"/>
    <w:rsid w:val="000B6909"/>
    <w:rPr>
      <w:rFonts w:ascii="Times New Roman" w:eastAsia="Times New Roman" w:hAnsi="Times New Roman" w:cs="Times New Roman"/>
      <w:b/>
      <w:bCs/>
      <w:color w:val="1F497D" w:themeColor="text2"/>
      <w:spacing w:val="-4"/>
      <w:sz w:val="24"/>
      <w:szCs w:val="20"/>
      <w:lang w:eastAsia="en-AU"/>
    </w:rPr>
  </w:style>
  <w:style w:type="character" w:styleId="CommentReference">
    <w:name w:val="annotation reference"/>
    <w:basedOn w:val="DefaultParagraphFont"/>
    <w:uiPriority w:val="99"/>
    <w:semiHidden/>
    <w:unhideWhenUsed/>
    <w:rsid w:val="00554D14"/>
    <w:rPr>
      <w:sz w:val="16"/>
      <w:szCs w:val="16"/>
    </w:rPr>
  </w:style>
  <w:style w:type="paragraph" w:styleId="CommentText">
    <w:name w:val="annotation text"/>
    <w:basedOn w:val="Normal"/>
    <w:link w:val="CommentTextChar"/>
    <w:uiPriority w:val="99"/>
    <w:semiHidden/>
    <w:unhideWhenUsed/>
    <w:rsid w:val="00554D14"/>
    <w:pPr>
      <w:spacing w:line="240" w:lineRule="auto"/>
    </w:pPr>
    <w:rPr>
      <w:sz w:val="20"/>
      <w:szCs w:val="20"/>
    </w:rPr>
  </w:style>
  <w:style w:type="character" w:customStyle="1" w:styleId="CommentTextChar">
    <w:name w:val="Comment Text Char"/>
    <w:basedOn w:val="DefaultParagraphFont"/>
    <w:link w:val="CommentText"/>
    <w:uiPriority w:val="99"/>
    <w:semiHidden/>
    <w:rsid w:val="00554D14"/>
    <w:rPr>
      <w:sz w:val="20"/>
      <w:szCs w:val="20"/>
    </w:rPr>
  </w:style>
  <w:style w:type="paragraph" w:styleId="CommentSubject">
    <w:name w:val="annotation subject"/>
    <w:basedOn w:val="CommentText"/>
    <w:next w:val="CommentText"/>
    <w:link w:val="CommentSubjectChar"/>
    <w:uiPriority w:val="99"/>
    <w:semiHidden/>
    <w:unhideWhenUsed/>
    <w:rsid w:val="00554D14"/>
    <w:rPr>
      <w:b/>
      <w:bCs/>
    </w:rPr>
  </w:style>
  <w:style w:type="character" w:customStyle="1" w:styleId="CommentSubjectChar">
    <w:name w:val="Comment Subject Char"/>
    <w:basedOn w:val="CommentTextChar"/>
    <w:link w:val="CommentSubject"/>
    <w:uiPriority w:val="99"/>
    <w:semiHidden/>
    <w:rsid w:val="00554D14"/>
    <w:rPr>
      <w:b/>
      <w:bCs/>
      <w:sz w:val="20"/>
      <w:szCs w:val="20"/>
    </w:rPr>
  </w:style>
  <w:style w:type="paragraph" w:styleId="Revision">
    <w:name w:val="Revision"/>
    <w:hidden/>
    <w:uiPriority w:val="99"/>
    <w:semiHidden/>
    <w:rsid w:val="00613E53"/>
    <w:pPr>
      <w:spacing w:after="0" w:line="240" w:lineRule="auto"/>
    </w:pPr>
  </w:style>
  <w:style w:type="character" w:styleId="FollowedHyperlink">
    <w:name w:val="FollowedHyperlink"/>
    <w:basedOn w:val="DefaultParagraphFont"/>
    <w:uiPriority w:val="99"/>
    <w:semiHidden/>
    <w:unhideWhenUsed/>
    <w:rsid w:val="001956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0037">
      <w:bodyDiv w:val="1"/>
      <w:marLeft w:val="0"/>
      <w:marRight w:val="0"/>
      <w:marTop w:val="0"/>
      <w:marBottom w:val="0"/>
      <w:divBdr>
        <w:top w:val="none" w:sz="0" w:space="0" w:color="auto"/>
        <w:left w:val="none" w:sz="0" w:space="0" w:color="auto"/>
        <w:bottom w:val="none" w:sz="0" w:space="0" w:color="auto"/>
        <w:right w:val="none" w:sz="0" w:space="0" w:color="auto"/>
      </w:divBdr>
    </w:div>
    <w:div w:id="540555407">
      <w:bodyDiv w:val="1"/>
      <w:marLeft w:val="0"/>
      <w:marRight w:val="0"/>
      <w:marTop w:val="0"/>
      <w:marBottom w:val="0"/>
      <w:divBdr>
        <w:top w:val="none" w:sz="0" w:space="0" w:color="auto"/>
        <w:left w:val="none" w:sz="0" w:space="0" w:color="auto"/>
        <w:bottom w:val="none" w:sz="0" w:space="0" w:color="auto"/>
        <w:right w:val="none" w:sz="0" w:space="0" w:color="auto"/>
      </w:divBdr>
    </w:div>
    <w:div w:id="17002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greens.org.au/buffett-ru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6B974A8-5A0E-4B01-8763-3E2377C2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17</TotalTime>
  <Pages>6</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PBO - GRN006 - High Income Tax Guarantee (The Buffett Rule) - 25 June 2016</vt:lpstr>
    </vt:vector>
  </TitlesOfParts>
  <Company>Parliament of Australia</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GRN006 - High Income Tax Guarantee (The Buffett Rule) - 25 June 2016</dc:title>
  <dc:creator>Parliamentary Budget Office</dc:creator>
  <cp:lastModifiedBy>Milligan, Louise (PBO)</cp:lastModifiedBy>
  <cp:revision>21</cp:revision>
  <cp:lastPrinted>2016-06-25T01:11:00Z</cp:lastPrinted>
  <dcterms:created xsi:type="dcterms:W3CDTF">2016-06-25T06:51:00Z</dcterms:created>
  <dcterms:modified xsi:type="dcterms:W3CDTF">2016-06-27T01:38:00Z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