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D95CDC" w:rsidP="00B80BCF">
      <w:pPr>
        <w:pStyle w:val="Lettertext"/>
        <w:spacing w:before="1560"/>
      </w:pPr>
      <w:r>
        <w:t>Senator Richard Di Natale</w:t>
      </w:r>
    </w:p>
    <w:p w:rsidR="00040DCE" w:rsidRPr="00002D5D" w:rsidRDefault="00DF17A8" w:rsidP="00B80BCF">
      <w:pPr>
        <w:pStyle w:val="Lettertext"/>
        <w:spacing w:before="0"/>
      </w:pPr>
      <w:r>
        <w:t>Leader of the Australian Greens</w:t>
      </w:r>
    </w:p>
    <w:p w:rsidR="00040DCE" w:rsidRPr="00002D5D" w:rsidRDefault="005C6967" w:rsidP="00B80BCF">
      <w:pPr>
        <w:pStyle w:val="Lettertext"/>
        <w:spacing w:before="0"/>
      </w:pPr>
      <w:r>
        <w:t>Parliament House</w:t>
      </w:r>
    </w:p>
    <w:p w:rsidR="00040DCE" w:rsidRPr="00002D5D" w:rsidRDefault="005C6967" w:rsidP="00B80BCF">
      <w:pPr>
        <w:pStyle w:val="Lettertext"/>
        <w:spacing w:before="0"/>
      </w:pPr>
      <w:proofErr w:type="gramStart"/>
      <w:r>
        <w:t>CANBERRA  ACT</w:t>
      </w:r>
      <w:proofErr w:type="gramEnd"/>
      <w:r>
        <w:t xml:space="preserve">  2600</w:t>
      </w:r>
    </w:p>
    <w:p w:rsidR="00040DCE" w:rsidRPr="00002D5D" w:rsidRDefault="00040DCE" w:rsidP="00B80BCF">
      <w:pPr>
        <w:pStyle w:val="Lettertext"/>
        <w:spacing w:before="480"/>
      </w:pPr>
      <w:r w:rsidRPr="00002D5D">
        <w:t xml:space="preserve">Dear </w:t>
      </w:r>
      <w:r w:rsidR="00D95CDC">
        <w:t>Senator Di Natale</w:t>
      </w:r>
    </w:p>
    <w:p w:rsidR="00040DCE" w:rsidRPr="00002D5D" w:rsidRDefault="00040DCE" w:rsidP="00B80BCF">
      <w:pPr>
        <w:pStyle w:val="Lettertext"/>
      </w:pPr>
      <w:r w:rsidRPr="00002D5D">
        <w:t xml:space="preserve">Please find attached a response to your costing request, </w:t>
      </w:r>
      <w:r w:rsidR="00D95CDC">
        <w:rPr>
          <w:i/>
        </w:rPr>
        <w:t>Top Marginal Tax Rates</w:t>
      </w:r>
      <w:r w:rsidRPr="00002D5D">
        <w:t xml:space="preserve"> (letter of </w:t>
      </w:r>
      <w:r w:rsidR="00D95CDC">
        <w:t xml:space="preserve">23 June </w:t>
      </w:r>
      <w:r w:rsidRPr="00002D5D">
        <w:t>2016).</w:t>
      </w:r>
    </w:p>
    <w:p w:rsidR="00040DCE" w:rsidRPr="00002D5D" w:rsidRDefault="00040DCE" w:rsidP="00B80BCF">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B80BCF">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B80BCF">
      <w:pPr>
        <w:pStyle w:val="Lettertext"/>
      </w:pPr>
      <w:r w:rsidRPr="00002D5D">
        <w:t>Yours sincerely</w:t>
      </w:r>
    </w:p>
    <w:p w:rsidR="00040DCE" w:rsidRPr="00002D5D" w:rsidRDefault="00DA1C8A" w:rsidP="00B80BCF">
      <w:pPr>
        <w:pStyle w:val="Lettertext"/>
        <w:spacing w:before="960"/>
      </w:pPr>
      <w:r w:rsidRPr="00002D5D">
        <w:t>Phil Bowen</w:t>
      </w:r>
    </w:p>
    <w:p w:rsidR="00096F3A" w:rsidRPr="00002D5D" w:rsidRDefault="00B34782" w:rsidP="00B34782">
      <w:pPr>
        <w:pStyle w:val="Lettertext"/>
        <w:spacing w:before="120"/>
      </w:pPr>
      <w:r>
        <w:t xml:space="preserve">24 </w:t>
      </w:r>
      <w:bookmarkStart w:id="0" w:name="_GoBack"/>
      <w:bookmarkEnd w:id="0"/>
      <w:r w:rsidR="00D95CDC">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Tr="005B31B8">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C238D1" w:rsidRDefault="004D5525" w:rsidP="005B31B8">
            <w:pPr>
              <w:pStyle w:val="BodyText"/>
              <w:ind w:left="113" w:right="113"/>
              <w:rPr>
                <w:b/>
              </w:rPr>
            </w:pPr>
            <w:r w:rsidRPr="00C238D1">
              <w:rPr>
                <w:b/>
              </w:rPr>
              <w:t>Name of proposal:</w:t>
            </w:r>
          </w:p>
        </w:tc>
        <w:tc>
          <w:tcPr>
            <w:tcW w:w="5335" w:type="dxa"/>
          </w:tcPr>
          <w:p w:rsidR="004D5525" w:rsidRPr="00D95CDC" w:rsidRDefault="00D95CDC" w:rsidP="005B31B8">
            <w:pPr>
              <w:pStyle w:val="BodyText"/>
              <w:ind w:left="113" w:right="113"/>
              <w:rPr>
                <w:b/>
              </w:rPr>
            </w:pPr>
            <w:r>
              <w:rPr>
                <w:b/>
              </w:rPr>
              <w:t>Top Marginal Tax Rates</w:t>
            </w:r>
          </w:p>
        </w:tc>
      </w:tr>
      <w:tr w:rsidR="004D5525" w:rsidTr="005B31B8">
        <w:tc>
          <w:tcPr>
            <w:tcW w:w="3005" w:type="dxa"/>
          </w:tcPr>
          <w:p w:rsidR="004D5525" w:rsidRDefault="004D5525" w:rsidP="005B31B8">
            <w:pPr>
              <w:pStyle w:val="BodyText"/>
              <w:ind w:left="113" w:right="113"/>
            </w:pPr>
            <w:r>
              <w:t>Summary of proposal:</w:t>
            </w:r>
          </w:p>
        </w:tc>
        <w:tc>
          <w:tcPr>
            <w:tcW w:w="5335" w:type="dxa"/>
          </w:tcPr>
          <w:p w:rsidR="00041D7A" w:rsidRDefault="004D5525" w:rsidP="005B31B8">
            <w:pPr>
              <w:spacing w:after="120"/>
              <w:ind w:left="113" w:right="113"/>
            </w:pPr>
            <w:r w:rsidRPr="00244D92">
              <w:t xml:space="preserve">The proposal would </w:t>
            </w:r>
            <w:r w:rsidR="00244D92" w:rsidRPr="00244D92">
              <w:t>change the personal income tax schedule</w:t>
            </w:r>
            <w:r w:rsidR="00041D7A">
              <w:t xml:space="preserve"> to:</w:t>
            </w:r>
          </w:p>
          <w:p w:rsidR="00041D7A" w:rsidRPr="00144C17" w:rsidRDefault="00041D7A" w:rsidP="005B31B8">
            <w:pPr>
              <w:pStyle w:val="Bullet1"/>
              <w:spacing w:before="114" w:after="120"/>
              <w:ind w:left="448" w:right="113" w:hanging="335"/>
            </w:pPr>
            <w:r>
              <w:t xml:space="preserve">oppose the </w:t>
            </w:r>
            <w:r w:rsidRPr="00144C17">
              <w:t>proposed lifting of the $80,000 threshold to $87,000</w:t>
            </w:r>
          </w:p>
          <w:p w:rsidR="00041D7A" w:rsidRPr="00144C17" w:rsidRDefault="00041D7A" w:rsidP="005B31B8">
            <w:pPr>
              <w:pStyle w:val="Bullet1"/>
              <w:spacing w:before="114" w:after="120"/>
              <w:ind w:left="448" w:right="113" w:hanging="335"/>
            </w:pPr>
            <w:r w:rsidRPr="00144C17">
              <w:t>make the 2 per cent temporary budget repair levy permanent</w:t>
            </w:r>
          </w:p>
          <w:p w:rsidR="00041D7A" w:rsidRDefault="00041D7A" w:rsidP="005B31B8">
            <w:pPr>
              <w:pStyle w:val="Bullet1"/>
              <w:spacing w:before="114" w:after="120"/>
              <w:ind w:left="448" w:right="113" w:hanging="335"/>
            </w:pPr>
            <w:proofErr w:type="gramStart"/>
            <w:r w:rsidRPr="00144C17">
              <w:t>introduce</w:t>
            </w:r>
            <w:proofErr w:type="gramEnd"/>
            <w:r w:rsidRPr="00144C17">
              <w:t xml:space="preserve"> a 50</w:t>
            </w:r>
            <w:r>
              <w:t xml:space="preserve"> per cent tax rate on taxable incomes over $1 million.</w:t>
            </w:r>
          </w:p>
          <w:p w:rsidR="00E90D7D" w:rsidRPr="0097374E" w:rsidRDefault="008805F0" w:rsidP="005B31B8">
            <w:pPr>
              <w:spacing w:after="120"/>
              <w:ind w:left="113" w:right="113"/>
              <w:rPr>
                <w:u w:val="single"/>
              </w:rPr>
            </w:pPr>
            <w:r>
              <w:t xml:space="preserve">A comparison of the current and proposed marginal tax rates is at </w:t>
            </w:r>
            <w:r>
              <w:rPr>
                <w:u w:val="single"/>
              </w:rPr>
              <w:t>Attachment A.</w:t>
            </w:r>
          </w:p>
          <w:p w:rsidR="004D5525" w:rsidRDefault="004D5525" w:rsidP="005B31B8">
            <w:pPr>
              <w:spacing w:after="120"/>
              <w:ind w:left="113" w:right="113"/>
            </w:pPr>
            <w:r w:rsidRPr="002D12CC">
              <w:t xml:space="preserve">The proposal would have effect from </w:t>
            </w:r>
            <w:r w:rsidR="002D12CC" w:rsidRPr="002D12CC">
              <w:t>1</w:t>
            </w:r>
            <w:r w:rsidR="00B87E7B">
              <w:t> </w:t>
            </w:r>
            <w:r w:rsidR="002D12CC" w:rsidRPr="002D12CC">
              <w:t>September</w:t>
            </w:r>
            <w:r w:rsidR="00B87E7B">
              <w:t> </w:t>
            </w:r>
            <w:r w:rsidR="002D12CC" w:rsidRPr="002D12CC">
              <w:t>2016</w:t>
            </w:r>
            <w:r w:rsidRPr="002D12CC">
              <w:t>.</w:t>
            </w:r>
          </w:p>
          <w:p w:rsidR="00E90D7D" w:rsidRDefault="00E90D7D" w:rsidP="005B31B8">
            <w:pPr>
              <w:pStyle w:val="BodyText"/>
              <w:ind w:left="113" w:right="113"/>
            </w:pPr>
            <w:r>
              <w:t>The Fringe Benefits Tax (FBT) rate would be increased to 52 per cent from 1 September 2016, reflecting the highest marginal tax rate and the Medicare levy.</w:t>
            </w:r>
          </w:p>
        </w:tc>
      </w:tr>
      <w:tr w:rsidR="004D5525" w:rsidTr="005B31B8">
        <w:tc>
          <w:tcPr>
            <w:tcW w:w="3005" w:type="dxa"/>
          </w:tcPr>
          <w:p w:rsidR="004D5525" w:rsidRDefault="004D5525" w:rsidP="005B31B8">
            <w:pPr>
              <w:pStyle w:val="BodyText"/>
              <w:ind w:left="113" w:right="113"/>
            </w:pPr>
            <w:r>
              <w:t>Person/party requesting costing:</w:t>
            </w:r>
          </w:p>
        </w:tc>
        <w:tc>
          <w:tcPr>
            <w:tcW w:w="5335" w:type="dxa"/>
          </w:tcPr>
          <w:p w:rsidR="004D5525" w:rsidRDefault="00D95CDC" w:rsidP="005B31B8">
            <w:pPr>
              <w:pStyle w:val="BodyText"/>
              <w:ind w:left="113" w:right="113"/>
            </w:pPr>
            <w:r>
              <w:t>Senator Richard Di Natale, Australian Greens</w:t>
            </w:r>
          </w:p>
        </w:tc>
      </w:tr>
      <w:tr w:rsidR="007D3577" w:rsidTr="005B31B8">
        <w:tc>
          <w:tcPr>
            <w:tcW w:w="3005" w:type="dxa"/>
          </w:tcPr>
          <w:p w:rsidR="007D3577" w:rsidRDefault="007D3577" w:rsidP="005B31B8">
            <w:pPr>
              <w:pStyle w:val="BodyText"/>
              <w:ind w:left="113" w:right="113"/>
            </w:pPr>
            <w:r>
              <w:t>Date of public release of policy:</w:t>
            </w:r>
          </w:p>
        </w:tc>
        <w:tc>
          <w:tcPr>
            <w:tcW w:w="5335" w:type="dxa"/>
          </w:tcPr>
          <w:p w:rsidR="007D3577" w:rsidRDefault="00D95CDC" w:rsidP="005B31B8">
            <w:pPr>
              <w:pStyle w:val="BodyText"/>
              <w:ind w:left="113" w:right="113"/>
            </w:pPr>
            <w:r>
              <w:t>23 March 2016</w:t>
            </w:r>
          </w:p>
          <w:p w:rsidR="00822F58" w:rsidRPr="00C17112" w:rsidRDefault="00970192" w:rsidP="00B80BCF">
            <w:pPr>
              <w:pStyle w:val="BodyText"/>
              <w:ind w:left="113" w:right="113"/>
            </w:pPr>
            <w:hyperlink r:id="rId13" w:history="1">
              <w:r w:rsidR="008805F0" w:rsidRPr="00DA1C3F">
                <w:rPr>
                  <w:rStyle w:val="Hyperlink"/>
                </w:rPr>
                <w:t>http://greens.org.au/news/vic/greens-oppose-income-tax-cuts-company-tax-cuts-big-business</w:t>
              </w:r>
            </w:hyperlink>
          </w:p>
        </w:tc>
      </w:tr>
      <w:tr w:rsidR="004D5525" w:rsidTr="005B31B8">
        <w:tc>
          <w:tcPr>
            <w:tcW w:w="3005" w:type="dxa"/>
          </w:tcPr>
          <w:p w:rsidR="004D5525" w:rsidRDefault="004D5525" w:rsidP="005B31B8">
            <w:pPr>
              <w:pStyle w:val="BodyText"/>
              <w:ind w:left="113" w:right="113"/>
            </w:pPr>
            <w:r>
              <w:t>Date costing request received:</w:t>
            </w:r>
          </w:p>
        </w:tc>
        <w:tc>
          <w:tcPr>
            <w:tcW w:w="5335" w:type="dxa"/>
          </w:tcPr>
          <w:p w:rsidR="004D5525" w:rsidRDefault="00D95CDC" w:rsidP="005B31B8">
            <w:pPr>
              <w:pStyle w:val="BodyText"/>
              <w:ind w:left="113" w:right="113"/>
            </w:pPr>
            <w:r>
              <w:t>23 June 2016</w:t>
            </w:r>
          </w:p>
        </w:tc>
      </w:tr>
      <w:tr w:rsidR="004D5525" w:rsidTr="005B31B8">
        <w:tc>
          <w:tcPr>
            <w:tcW w:w="3005" w:type="dxa"/>
          </w:tcPr>
          <w:p w:rsidR="004D5525" w:rsidRDefault="004D5525" w:rsidP="005B31B8">
            <w:pPr>
              <w:pStyle w:val="BodyText"/>
              <w:ind w:left="113" w:right="113"/>
            </w:pPr>
            <w:r>
              <w:t>Date costing completed</w:t>
            </w:r>
          </w:p>
        </w:tc>
        <w:tc>
          <w:tcPr>
            <w:tcW w:w="5335" w:type="dxa"/>
          </w:tcPr>
          <w:p w:rsidR="004D5525" w:rsidRPr="00C17112" w:rsidRDefault="00FE32F1" w:rsidP="005B31B8">
            <w:pPr>
              <w:pStyle w:val="BodyText"/>
              <w:ind w:left="113" w:right="113"/>
            </w:pPr>
            <w:r>
              <w:t>24</w:t>
            </w:r>
            <w:r w:rsidR="00D95CDC">
              <w:t xml:space="preserve"> June 2016</w:t>
            </w:r>
          </w:p>
        </w:tc>
      </w:tr>
      <w:tr w:rsidR="004D5525" w:rsidTr="005B31B8">
        <w:tc>
          <w:tcPr>
            <w:tcW w:w="3005" w:type="dxa"/>
          </w:tcPr>
          <w:p w:rsidR="004D5525" w:rsidRPr="00220BE5" w:rsidRDefault="004D5525" w:rsidP="005B31B8">
            <w:pPr>
              <w:pStyle w:val="BodyText"/>
              <w:ind w:left="113" w:right="113"/>
            </w:pPr>
            <w:r w:rsidRPr="00220BE5">
              <w:t>Expiry date for the costing:</w:t>
            </w:r>
          </w:p>
        </w:tc>
        <w:tc>
          <w:tcPr>
            <w:tcW w:w="5335" w:type="dxa"/>
          </w:tcPr>
          <w:p w:rsidR="004D5525" w:rsidRPr="00220BE5" w:rsidRDefault="00653049" w:rsidP="005B31B8">
            <w:pPr>
              <w:pStyle w:val="BodyText"/>
              <w:ind w:left="113" w:right="113"/>
            </w:pPr>
            <w:r>
              <w:t>Release</w:t>
            </w:r>
            <w:r w:rsidR="004D5525" w:rsidRPr="00220BE5">
              <w:t xml:space="preserve"> of </w:t>
            </w:r>
            <w:r w:rsidR="00220BE5">
              <w:t>the</w:t>
            </w:r>
            <w:r>
              <w:t xml:space="preserve"> next economic and fiscal outlook report</w:t>
            </w:r>
          </w:p>
        </w:tc>
      </w:tr>
    </w:tbl>
    <w:p w:rsidR="0055581F" w:rsidRPr="00002D5D" w:rsidRDefault="008030EC" w:rsidP="00FC6579">
      <w:pPr>
        <w:pStyle w:val="Heading2"/>
      </w:pPr>
      <w:r w:rsidRPr="00002D5D">
        <w:lastRenderedPageBreak/>
        <w:t>Costing overview</w:t>
      </w:r>
    </w:p>
    <w:p w:rsidR="008030EC" w:rsidRDefault="008030EC" w:rsidP="00FC6579">
      <w:pPr>
        <w:keepNext/>
        <w:keepLines/>
      </w:pPr>
      <w:r w:rsidRPr="000A3AF8">
        <w:t xml:space="preserve">This proposal </w:t>
      </w:r>
      <w:r w:rsidR="00225C16">
        <w:t>would be</w:t>
      </w:r>
      <w:r w:rsidRPr="000A3AF8">
        <w:t xml:space="preserve"> expected to increase the </w:t>
      </w:r>
      <w:r w:rsidR="005035DA" w:rsidRPr="000A3AF8">
        <w:t xml:space="preserve">fiscal </w:t>
      </w:r>
      <w:r w:rsidRPr="000A3AF8">
        <w:t xml:space="preserve">and </w:t>
      </w:r>
      <w:r w:rsidR="005035DA" w:rsidRPr="000A3AF8">
        <w:t>underlying cash</w:t>
      </w:r>
      <w:r w:rsidRPr="000A3AF8">
        <w:t xml:space="preserve"> balance</w:t>
      </w:r>
      <w:r w:rsidR="00D95CDC" w:rsidRPr="000A3AF8">
        <w:t>s</w:t>
      </w:r>
      <w:r w:rsidRPr="000A3AF8">
        <w:t xml:space="preserve"> by </w:t>
      </w:r>
      <w:r w:rsidR="00D95CDC" w:rsidRPr="000A3AF8">
        <w:t>$9,944</w:t>
      </w:r>
      <w:r w:rsidRPr="000A3AF8">
        <w:t> </w:t>
      </w:r>
      <w:r w:rsidR="00DD3E18" w:rsidRPr="000A3AF8">
        <w:t>million</w:t>
      </w:r>
      <w:r w:rsidRPr="000A3AF8">
        <w:t xml:space="preserve"> over the 201</w:t>
      </w:r>
      <w:r w:rsidR="00225C16">
        <w:t>6</w:t>
      </w:r>
      <w:r w:rsidR="00144C17">
        <w:t>-</w:t>
      </w:r>
      <w:r w:rsidRPr="000A3AF8">
        <w:t>1</w:t>
      </w:r>
      <w:r w:rsidR="00225C16">
        <w:t>7</w:t>
      </w:r>
      <w:r w:rsidRPr="000A3AF8">
        <w:t xml:space="preserve"> Budget forward estimates period.  This impact reflects</w:t>
      </w:r>
      <w:r w:rsidR="00D95CDC" w:rsidRPr="000A3AF8">
        <w:t xml:space="preserve"> an increase in revenue of $9,950 million</w:t>
      </w:r>
      <w:r w:rsidRPr="000A3AF8">
        <w:t xml:space="preserve"> </w:t>
      </w:r>
      <w:r w:rsidR="000A3AF8" w:rsidRPr="000A3AF8">
        <w:t>partly offset by</w:t>
      </w:r>
      <w:r w:rsidR="00D95CDC" w:rsidRPr="000A3AF8">
        <w:t xml:space="preserve"> </w:t>
      </w:r>
      <w:r w:rsidRPr="000A3AF8">
        <w:t>a</w:t>
      </w:r>
      <w:r w:rsidR="000A3AF8" w:rsidRPr="000A3AF8">
        <w:t xml:space="preserve"> $6 million</w:t>
      </w:r>
      <w:r w:rsidRPr="000A3AF8">
        <w:t xml:space="preserve"> increase in </w:t>
      </w:r>
      <w:r w:rsidR="000A3AF8" w:rsidRPr="000A3AF8">
        <w:t xml:space="preserve">departmental </w:t>
      </w:r>
      <w:r w:rsidR="00822F58">
        <w:t>expenditure</w:t>
      </w:r>
      <w:r w:rsidR="000A3AF8" w:rsidRPr="000A3AF8">
        <w:t xml:space="preserve"> for the Australian Taxation Office (ATO)</w:t>
      </w:r>
      <w:r w:rsidRPr="000A3AF8">
        <w:t>.</w:t>
      </w:r>
    </w:p>
    <w:p w:rsidR="008D3909" w:rsidRPr="00E90D7D" w:rsidRDefault="00E90D7D" w:rsidP="00002D5D">
      <w:r w:rsidRPr="00E90D7D">
        <w:t xml:space="preserve">This proposal would have </w:t>
      </w:r>
      <w:r w:rsidR="008D3909" w:rsidRPr="00E90D7D">
        <w:t xml:space="preserve">ongoing </w:t>
      </w:r>
      <w:r w:rsidRPr="00E90D7D">
        <w:t>financial implications</w:t>
      </w:r>
      <w:r w:rsidR="008D3909" w:rsidRPr="00E90D7D">
        <w:t xml:space="preserve"> beyond the </w:t>
      </w:r>
      <w:r w:rsidRPr="00E90D7D">
        <w:t xml:space="preserve">2016-17 Budget </w:t>
      </w:r>
      <w:r w:rsidR="008D3909" w:rsidRPr="00E90D7D">
        <w:t>forward estimates period</w:t>
      </w:r>
      <w:r w:rsidRPr="00E90D7D">
        <w:t>.</w:t>
      </w:r>
      <w:r>
        <w:t xml:space="preserve">  The financial implications of the proposal over the 2016-17 Budget forward estimates period are not necessarily reflective of its ongoing implications due to the operation of bracket creep, where nominal income growth leads to higher marginal and average tax rates. </w:t>
      </w:r>
      <w:r w:rsidR="00834CFD">
        <w:t xml:space="preserve"> </w:t>
      </w:r>
      <w:r>
        <w:t xml:space="preserve">The financial implications of the proposal for the period to 2026-27 are included at </w:t>
      </w:r>
      <w:r w:rsidRPr="00E90D7D">
        <w:rPr>
          <w:u w:val="single"/>
        </w:rPr>
        <w:t xml:space="preserve">Attachment </w:t>
      </w:r>
      <w:r w:rsidR="008805F0">
        <w:rPr>
          <w:u w:val="single"/>
        </w:rPr>
        <w:t>B</w:t>
      </w:r>
      <w:r>
        <w:t>.</w:t>
      </w:r>
    </w:p>
    <w:p w:rsidR="008D3909" w:rsidRDefault="000A3AF8" w:rsidP="00002D5D">
      <w:r>
        <w:t>The proposal would be expected to involve departmental expenses of $6 million in 2016</w:t>
      </w:r>
      <w:r>
        <w:noBreakHyphen/>
        <w:t>17.  This amount reflects the estimated cost to the ATO of implementation of the proposal, particularly with regard to the higher marginal tax rate for individuals with taxable income over $1 million and the introduction of different FBT rates for fringe benefits that accrue during different parts of the 2016-17 FBT year.</w:t>
      </w:r>
    </w:p>
    <w:p w:rsidR="008D6985" w:rsidRPr="00002D5D" w:rsidRDefault="008D6985" w:rsidP="00002D5D">
      <w:r>
        <w:t>The introduction of different FBT rates for fringe benefits that accrue during different parts of the FBT year is likely to also involve additional compliance costs on taxpayers.  However, any additional compliance costs for taxpayers associated with this proposal have not been taken into account in this costing, as they do not directly impact the Budget.</w:t>
      </w:r>
    </w:p>
    <w:p w:rsidR="008D3909" w:rsidRDefault="008D3909" w:rsidP="00002D5D">
      <w:r w:rsidRPr="008D6985">
        <w:t xml:space="preserve">This costing is considered to be of </w:t>
      </w:r>
      <w:r w:rsidR="008D6985" w:rsidRPr="008D6985">
        <w:t>low to medium</w:t>
      </w:r>
      <w:r w:rsidRPr="008D6985">
        <w:t xml:space="preserve"> reliability.</w:t>
      </w:r>
      <w:r w:rsidR="008D6985">
        <w:t xml:space="preserve">  It has been estimated based on a large representative sample of administrative tax data.  However, the estimates may be sensitive to behavioural responses by individuals affected by this proposal, particularly individuals at the highest marginal tax rates, and to variations in population and income growth.  The reliability of the costing decreases the further into the future the estimates are projected.</w:t>
      </w:r>
    </w:p>
    <w:p w:rsidR="00AC1F85" w:rsidRPr="00FC6579" w:rsidRDefault="00AC1F85" w:rsidP="00034BF4">
      <w:pPr>
        <w:pStyle w:val="Captionheading"/>
        <w:keepNext w:val="0"/>
      </w:pPr>
      <w:r w:rsidRPr="00FC6579">
        <w:t>Table 1: Financial implications (outturn prices</w:t>
      </w:r>
      <w:proofErr w:type="gramStart"/>
      <w:r w:rsidRPr="00FC6579">
        <w:t>)</w:t>
      </w:r>
      <w:r w:rsidRPr="00844776">
        <w:rPr>
          <w:vertAlign w:val="superscript"/>
        </w:rPr>
        <w:t>(</w:t>
      </w:r>
      <w:proofErr w:type="gramEnd"/>
      <w:r w:rsidRPr="00844776">
        <w:rPr>
          <w:vertAlign w:val="superscript"/>
        </w:rPr>
        <w:t>a)</w:t>
      </w:r>
      <w:r w:rsidR="003758EE">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AC1F85" w:rsidRPr="00B73AC8" w:rsidTr="001821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AC1F85" w:rsidRPr="00B73AC8" w:rsidRDefault="00AC1F85" w:rsidP="00034BF4">
            <w:pPr>
              <w:pStyle w:val="TableText"/>
              <w:keepLines/>
              <w:spacing w:line="240" w:lineRule="auto"/>
              <w:ind w:left="57" w:right="57"/>
              <w:rPr>
                <w:rFonts w:ascii="Calibri" w:hAnsi="Calibri"/>
                <w:szCs w:val="20"/>
              </w:rPr>
            </w:pPr>
            <w:r w:rsidRPr="00B73AC8">
              <w:rPr>
                <w:rFonts w:ascii="Calibri" w:hAnsi="Calibri"/>
                <w:szCs w:val="20"/>
              </w:rPr>
              <w:t>Impact on</w:t>
            </w:r>
            <w:r>
              <w:rPr>
                <w:rFonts w:ascii="Calibri" w:hAnsi="Calibri"/>
                <w:szCs w:val="20"/>
              </w:rPr>
              <w:t xml:space="preserve"> ($m)</w:t>
            </w:r>
          </w:p>
        </w:tc>
        <w:tc>
          <w:tcPr>
            <w:tcW w:w="682" w:type="pct"/>
          </w:tcPr>
          <w:p w:rsidR="00AC1F85" w:rsidRPr="00B73AC8" w:rsidRDefault="00AC1F85" w:rsidP="00034BF4">
            <w:pPr>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AC1F85" w:rsidRPr="00B73AC8" w:rsidRDefault="00AC1F85" w:rsidP="00034BF4">
            <w:pPr>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AC1F85" w:rsidRPr="00B73AC8" w:rsidRDefault="00AC1F85" w:rsidP="00034BF4">
            <w:pPr>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AC1F85" w:rsidRPr="00B73AC8" w:rsidRDefault="00AC1F85" w:rsidP="00034BF4">
            <w:pPr>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AC1F85" w:rsidRPr="000F1A30" w:rsidRDefault="00AC1F85" w:rsidP="00034BF4">
            <w:pPr>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0F1A30">
              <w:rPr>
                <w:rFonts w:ascii="Calibri" w:hAnsi="Calibri"/>
                <w:b/>
                <w:szCs w:val="20"/>
              </w:rPr>
              <w:t>Total</w:t>
            </w:r>
          </w:p>
        </w:tc>
      </w:tr>
      <w:tr w:rsidR="00AC1F85" w:rsidRPr="00B73AC8" w:rsidTr="00182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AC1F85" w:rsidRPr="00B73AC8" w:rsidRDefault="00AC1F85" w:rsidP="00034BF4">
            <w:pPr>
              <w:pStyle w:val="TableTextCentred"/>
              <w:keepLines/>
              <w:spacing w:line="240" w:lineRule="auto"/>
              <w:ind w:left="57" w:right="57"/>
              <w:jc w:val="left"/>
              <w:rPr>
                <w:szCs w:val="20"/>
              </w:rPr>
            </w:pPr>
            <w:r w:rsidRPr="00B73AC8">
              <w:rPr>
                <w:szCs w:val="20"/>
              </w:rPr>
              <w:t>Fiscal balance</w:t>
            </w:r>
          </w:p>
        </w:tc>
        <w:tc>
          <w:tcPr>
            <w:tcW w:w="682" w:type="pct"/>
          </w:tcPr>
          <w:p w:rsidR="00AC1F85" w:rsidRPr="00B73AC8" w:rsidRDefault="00AC1F85" w:rsidP="00034BF4">
            <w:pPr>
              <w:pStyle w:val="TableTextCentred"/>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794.0</w:t>
            </w:r>
          </w:p>
        </w:tc>
        <w:tc>
          <w:tcPr>
            <w:tcW w:w="682" w:type="pct"/>
          </w:tcPr>
          <w:p w:rsidR="00AC1F85" w:rsidRPr="00B73AC8" w:rsidRDefault="00AC1F85" w:rsidP="00034BF4">
            <w:pPr>
              <w:pStyle w:val="TableTextCentred"/>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2,750.0</w:t>
            </w:r>
          </w:p>
        </w:tc>
        <w:tc>
          <w:tcPr>
            <w:tcW w:w="682" w:type="pct"/>
          </w:tcPr>
          <w:p w:rsidR="00AC1F85" w:rsidRPr="00B73AC8" w:rsidRDefault="00AC1F85" w:rsidP="00034BF4">
            <w:pPr>
              <w:pStyle w:val="TableTextCentred"/>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3,100.0</w:t>
            </w:r>
          </w:p>
        </w:tc>
        <w:tc>
          <w:tcPr>
            <w:tcW w:w="682" w:type="pct"/>
          </w:tcPr>
          <w:p w:rsidR="00AC1F85" w:rsidRPr="00B73AC8" w:rsidRDefault="00AC1F85" w:rsidP="00034BF4">
            <w:pPr>
              <w:pStyle w:val="TableTextCentred"/>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3,300.0</w:t>
            </w:r>
          </w:p>
        </w:tc>
        <w:tc>
          <w:tcPr>
            <w:tcW w:w="681" w:type="pct"/>
          </w:tcPr>
          <w:p w:rsidR="00AC1F85" w:rsidRPr="000F1A30" w:rsidRDefault="00AC1F85" w:rsidP="00034BF4">
            <w:pPr>
              <w:pStyle w:val="TableTextCentred"/>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9,944.0</w:t>
            </w:r>
          </w:p>
        </w:tc>
      </w:tr>
      <w:tr w:rsidR="00AC1F85" w:rsidRPr="00536395" w:rsidTr="0018210E">
        <w:tc>
          <w:tcPr>
            <w:cnfStyle w:val="001000000000" w:firstRow="0" w:lastRow="0" w:firstColumn="1" w:lastColumn="0" w:oddVBand="0" w:evenVBand="0" w:oddHBand="0" w:evenHBand="0" w:firstRowFirstColumn="0" w:firstRowLastColumn="0" w:lastRowFirstColumn="0" w:lastRowLastColumn="0"/>
            <w:tcW w:w="1591" w:type="pct"/>
          </w:tcPr>
          <w:p w:rsidR="00AC1F85" w:rsidRPr="00536395" w:rsidRDefault="00AC1F85" w:rsidP="00034BF4">
            <w:pPr>
              <w:pStyle w:val="TableTextCentred"/>
              <w:keepLines/>
              <w:spacing w:line="240" w:lineRule="auto"/>
              <w:ind w:left="57" w:right="57"/>
              <w:jc w:val="left"/>
              <w:rPr>
                <w:szCs w:val="20"/>
              </w:rPr>
            </w:pPr>
            <w:r w:rsidRPr="00536395">
              <w:rPr>
                <w:szCs w:val="20"/>
              </w:rPr>
              <w:t>Underlying cash balance</w:t>
            </w:r>
          </w:p>
        </w:tc>
        <w:tc>
          <w:tcPr>
            <w:tcW w:w="682" w:type="pct"/>
          </w:tcPr>
          <w:p w:rsidR="00AC1F85" w:rsidRPr="00536395" w:rsidRDefault="00AC1F85" w:rsidP="00034BF4">
            <w:pPr>
              <w:pStyle w:val="TableTextCentred"/>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36395">
              <w:rPr>
                <w:rFonts w:ascii="Calibri" w:hAnsi="Calibri"/>
                <w:szCs w:val="20"/>
              </w:rPr>
              <w:t>794.0</w:t>
            </w:r>
          </w:p>
        </w:tc>
        <w:tc>
          <w:tcPr>
            <w:tcW w:w="682" w:type="pct"/>
          </w:tcPr>
          <w:p w:rsidR="00AC1F85" w:rsidRPr="00536395" w:rsidRDefault="00AC1F85" w:rsidP="00034BF4">
            <w:pPr>
              <w:pStyle w:val="TableTextCentred"/>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36395">
              <w:rPr>
                <w:rFonts w:ascii="Calibri" w:hAnsi="Calibri"/>
                <w:szCs w:val="20"/>
              </w:rPr>
              <w:t>2,750.0</w:t>
            </w:r>
          </w:p>
        </w:tc>
        <w:tc>
          <w:tcPr>
            <w:tcW w:w="682" w:type="pct"/>
          </w:tcPr>
          <w:p w:rsidR="00AC1F85" w:rsidRPr="00536395" w:rsidRDefault="00AC1F85" w:rsidP="00034BF4">
            <w:pPr>
              <w:pStyle w:val="TableTextCentred"/>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36395">
              <w:rPr>
                <w:rFonts w:ascii="Calibri" w:hAnsi="Calibri"/>
                <w:szCs w:val="20"/>
              </w:rPr>
              <w:t>3,100.0</w:t>
            </w:r>
          </w:p>
        </w:tc>
        <w:tc>
          <w:tcPr>
            <w:tcW w:w="682" w:type="pct"/>
          </w:tcPr>
          <w:p w:rsidR="00AC1F85" w:rsidRPr="00536395" w:rsidRDefault="00AC1F85" w:rsidP="00034BF4">
            <w:pPr>
              <w:pStyle w:val="TableTextCentred"/>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536395">
              <w:rPr>
                <w:rFonts w:ascii="Calibri" w:hAnsi="Calibri"/>
                <w:szCs w:val="20"/>
              </w:rPr>
              <w:t>3,300.0</w:t>
            </w:r>
          </w:p>
        </w:tc>
        <w:tc>
          <w:tcPr>
            <w:tcW w:w="681" w:type="pct"/>
          </w:tcPr>
          <w:p w:rsidR="00AC1F85" w:rsidRPr="00536395" w:rsidRDefault="00AC1F85" w:rsidP="00034BF4">
            <w:pPr>
              <w:pStyle w:val="TableTextCentred"/>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536395">
              <w:rPr>
                <w:rFonts w:ascii="Calibri" w:hAnsi="Calibri"/>
                <w:b/>
                <w:szCs w:val="20"/>
              </w:rPr>
              <w:t>9,944.0</w:t>
            </w:r>
          </w:p>
        </w:tc>
      </w:tr>
    </w:tbl>
    <w:p w:rsidR="00AC1F85" w:rsidRPr="00536395" w:rsidRDefault="00AC1F85" w:rsidP="00034BF4">
      <w:pPr>
        <w:pStyle w:val="Footnotes"/>
        <w:keepLines/>
        <w:numPr>
          <w:ilvl w:val="0"/>
          <w:numId w:val="7"/>
        </w:numPr>
        <w:ind w:left="284" w:hanging="284"/>
      </w:pPr>
      <w:r w:rsidRPr="00536395">
        <w:t>A positive number indicates an increase in the relevant budget balance</w:t>
      </w:r>
      <w:r w:rsidR="003758EE" w:rsidRPr="00536395">
        <w:t>, a negative number a decrease</w:t>
      </w:r>
      <w:r w:rsidRPr="00536395">
        <w:t>.</w:t>
      </w:r>
    </w:p>
    <w:p w:rsidR="003758EE" w:rsidRPr="00536395" w:rsidRDefault="003758EE" w:rsidP="00034BF4">
      <w:pPr>
        <w:pStyle w:val="Footnotes"/>
        <w:keepLines/>
        <w:numPr>
          <w:ilvl w:val="0"/>
          <w:numId w:val="7"/>
        </w:numPr>
        <w:ind w:left="284" w:hanging="284"/>
      </w:pPr>
      <w:r w:rsidRPr="00536395">
        <w:t>Figures may not sum to totals due to rounding.</w:t>
      </w:r>
    </w:p>
    <w:p w:rsidR="008D3909" w:rsidRPr="00FC6579" w:rsidRDefault="005E3562" w:rsidP="00034BF4">
      <w:pPr>
        <w:pStyle w:val="Heading2"/>
      </w:pPr>
      <w:r w:rsidRPr="00FC6579">
        <w:lastRenderedPageBreak/>
        <w:t>Key assumptions</w:t>
      </w:r>
    </w:p>
    <w:p w:rsidR="0006086F" w:rsidRDefault="0006086F" w:rsidP="00034BF4">
      <w:pPr>
        <w:pStyle w:val="Bullet1"/>
        <w:keepNext/>
      </w:pPr>
      <w:r>
        <w:t>The costing assumes that the enabling legislation would be in place by 1</w:t>
      </w:r>
      <w:r w:rsidR="00F863BD">
        <w:t> </w:t>
      </w:r>
      <w:r>
        <w:t>September</w:t>
      </w:r>
      <w:r w:rsidR="00F863BD">
        <w:t> </w:t>
      </w:r>
      <w:r>
        <w:t>2016.</w:t>
      </w:r>
    </w:p>
    <w:p w:rsidR="0006086F" w:rsidRPr="00002D5D" w:rsidRDefault="0006086F" w:rsidP="0006086F">
      <w:pPr>
        <w:pStyle w:val="Bullet1"/>
      </w:pPr>
      <w:r>
        <w:t>Individuals with incomes in excess of $1 million are assumed to have a taxable income elasticity of 0.35, and individuals with incomes in excess of $180,000 have a taxable income elasticity of 0.2.</w:t>
      </w:r>
      <w:r>
        <w:rPr>
          <w:rStyle w:val="FootnoteReference"/>
        </w:rPr>
        <w:footnoteReference w:id="1"/>
      </w:r>
    </w:p>
    <w:p w:rsidR="0006086F" w:rsidRDefault="0006086F" w:rsidP="0006086F">
      <w:pPr>
        <w:pStyle w:val="Bullet1"/>
      </w:pPr>
      <w:r>
        <w:t>The costing assumes that there is no change in labour supply associated with the proposed changes to personal income tax rates and brackets.</w:t>
      </w:r>
    </w:p>
    <w:p w:rsidR="005E3562" w:rsidRDefault="0006086F" w:rsidP="0006086F">
      <w:pPr>
        <w:pStyle w:val="Bullet2"/>
      </w:pPr>
      <w:r>
        <w:t>While studies indicate that labour supply, particularly by secondary earners, changes in response to changes in effective marginal tax rates, there is considerable uncertainty in the magnitude and timing of the effect on employment.</w:t>
      </w:r>
    </w:p>
    <w:p w:rsidR="0006086F" w:rsidRPr="00002D5D" w:rsidRDefault="002D12CC" w:rsidP="0006086F">
      <w:pPr>
        <w:pStyle w:val="Bullet1"/>
      </w:pPr>
      <w:r>
        <w:t>The increase in the FBT rate to the effective marginal tax rate for individuals with taxable income above $1 million (52 per cent) is assumed to lead to some individuals substituting cash income for fringe benefits, particularly individuals with taxable income between $180,000 and $1 million.</w:t>
      </w:r>
    </w:p>
    <w:p w:rsidR="005E3562" w:rsidRPr="00FC6579" w:rsidRDefault="005E3562" w:rsidP="00E40B8B">
      <w:pPr>
        <w:pStyle w:val="Heading2"/>
      </w:pPr>
      <w:r w:rsidRPr="00FC6579">
        <w:t>Methodology</w:t>
      </w:r>
    </w:p>
    <w:p w:rsidR="005E3562" w:rsidRPr="00144C17" w:rsidRDefault="00317F81">
      <w:pPr>
        <w:pStyle w:val="Bullet1"/>
      </w:pPr>
      <w:r>
        <w:t xml:space="preserve">The costing was estimated using a 16 per cent sample of de-identified personal income tax </w:t>
      </w:r>
      <w:r w:rsidRPr="00144C17">
        <w:t>and superannuation returns for 2012-13 provided by the ATO.  The data was used to estimate the change in tax payable associated with the proposed changes in the income tax schedule.</w:t>
      </w:r>
    </w:p>
    <w:p w:rsidR="005E3562" w:rsidRPr="00144C17" w:rsidRDefault="00317F81">
      <w:pPr>
        <w:pStyle w:val="Bullet1"/>
      </w:pPr>
      <w:r w:rsidRPr="00144C17">
        <w:t>Behavioural responses were incorporated reflecting the above assumptions.</w:t>
      </w:r>
    </w:p>
    <w:p w:rsidR="00125963" w:rsidRPr="00144C17" w:rsidRDefault="00DF17A8">
      <w:pPr>
        <w:pStyle w:val="Bullet1"/>
      </w:pPr>
      <w:r w:rsidRPr="00144C17">
        <w:t>A separate model was used to estimate the financial implications of increases in the FBT rate.  This model separately estimated the flow-on effects of a change in the FBT rate to personal income tax, FBT and company tax collections.</w:t>
      </w:r>
    </w:p>
    <w:p w:rsidR="00DF17A8" w:rsidRPr="00144C17" w:rsidRDefault="00DF17A8">
      <w:pPr>
        <w:pStyle w:val="Bullet1"/>
      </w:pPr>
      <w:r w:rsidRPr="00144C17">
        <w:t>Departmental expenses were estimated based on an analysis of previous policies with similar administrative complexity.</w:t>
      </w:r>
    </w:p>
    <w:p w:rsidR="00DF17A8" w:rsidRPr="00144C17" w:rsidRDefault="00DF17A8">
      <w:pPr>
        <w:pStyle w:val="Bullet1"/>
      </w:pPr>
      <w:r w:rsidRPr="00144C17">
        <w:t>The modelling takes account of the timing of tax collections and the part-year effect of the proposal.</w:t>
      </w:r>
    </w:p>
    <w:p w:rsidR="00DF17A8" w:rsidRPr="002D12CC" w:rsidRDefault="00DF17A8">
      <w:pPr>
        <w:pStyle w:val="Bullet1"/>
      </w:pPr>
      <w:r w:rsidRPr="00144C17">
        <w:t>Estimates of revenue</w:t>
      </w:r>
      <w:r>
        <w:t xml:space="preserve"> have been rounded to the nearest $50 million.  Estimates of departmental expenses have been rounded to the nearest $1 million.</w:t>
      </w:r>
    </w:p>
    <w:p w:rsidR="005E3562" w:rsidRPr="00FC6579" w:rsidRDefault="005E3562" w:rsidP="00E40B8B">
      <w:pPr>
        <w:pStyle w:val="Heading2"/>
      </w:pPr>
      <w:r w:rsidRPr="00FC6579">
        <w:lastRenderedPageBreak/>
        <w:t>Data sources</w:t>
      </w:r>
    </w:p>
    <w:p w:rsidR="00CA5D42" w:rsidRDefault="00DF17A8" w:rsidP="00DF17A8">
      <w:pPr>
        <w:pStyle w:val="Bullet1"/>
      </w:pPr>
      <w:r>
        <w:rPr>
          <w:i/>
        </w:rPr>
        <w:t>The Exchequer effect of the 50 per cent additional rate of income tax,</w:t>
      </w:r>
      <w:r>
        <w:t xml:space="preserve"> HM Revenue and Customs.</w:t>
      </w:r>
    </w:p>
    <w:p w:rsidR="00DF17A8" w:rsidRDefault="00DF17A8" w:rsidP="00DF17A8">
      <w:pPr>
        <w:pStyle w:val="Bullet1"/>
      </w:pPr>
      <w:r w:rsidRPr="00DF17A8">
        <w:t xml:space="preserve">16 </w:t>
      </w:r>
      <w:r>
        <w:t>per cent sample of de-identified personal income tax and superannuation records for the 2012-13 financial year from the ATO.</w:t>
      </w:r>
    </w:p>
    <w:p w:rsidR="00DF17A8" w:rsidRPr="00DF17A8" w:rsidRDefault="00DF17A8" w:rsidP="00DF17A8">
      <w:pPr>
        <w:pStyle w:val="Bullet1"/>
        <w:sectPr w:rsidR="00DF17A8" w:rsidRPr="00DF17A8" w:rsidSect="00002D5D">
          <w:headerReference w:type="first" r:id="rId14"/>
          <w:footerReference w:type="first" r:id="rId15"/>
          <w:pgSz w:w="11906" w:h="16838"/>
          <w:pgMar w:top="1361" w:right="1797" w:bottom="1474" w:left="1797" w:header="709" w:footer="709" w:gutter="0"/>
          <w:cols w:space="708"/>
          <w:titlePg/>
          <w:docGrid w:linePitch="360"/>
        </w:sectPr>
      </w:pPr>
      <w:r>
        <w:t xml:space="preserve">2016-17 Budget, Australian </w:t>
      </w:r>
      <w:r w:rsidR="00FE6BFE">
        <w:t>Government</w:t>
      </w:r>
      <w:r w:rsidR="00257E16">
        <w:t>.</w:t>
      </w:r>
    </w:p>
    <w:p w:rsidR="00C071AF" w:rsidRPr="005B31B8" w:rsidRDefault="001A02D1" w:rsidP="001A2FED">
      <w:pPr>
        <w:pStyle w:val="Heading1"/>
        <w:numPr>
          <w:ilvl w:val="0"/>
          <w:numId w:val="0"/>
        </w:numPr>
        <w:rPr>
          <w:rFonts w:asciiTheme="minorHAnsi" w:hAnsiTheme="minorHAnsi"/>
          <w:bCs w:val="0"/>
          <w:color w:val="auto"/>
          <w:spacing w:val="0"/>
          <w:kern w:val="0"/>
          <w:sz w:val="22"/>
          <w:szCs w:val="22"/>
        </w:rPr>
      </w:pPr>
      <w:r w:rsidRPr="00FC6579">
        <w:lastRenderedPageBreak/>
        <w:t>Attachment A:</w:t>
      </w:r>
      <w:r w:rsidR="001834FD">
        <w:t xml:space="preserve">  </w:t>
      </w:r>
      <w:r w:rsidR="008805F0">
        <w:t>Comparison of current and proposed marginal tax rates</w:t>
      </w:r>
    </w:p>
    <w:tbl>
      <w:tblPr>
        <w:tblStyle w:val="Style1"/>
        <w:tblW w:w="0" w:type="auto"/>
        <w:jc w:val="center"/>
        <w:tblLook w:val="04A0" w:firstRow="1" w:lastRow="0" w:firstColumn="1" w:lastColumn="0" w:noHBand="0" w:noVBand="1"/>
      </w:tblPr>
      <w:tblGrid>
        <w:gridCol w:w="2235"/>
        <w:gridCol w:w="1418"/>
        <w:gridCol w:w="1451"/>
      </w:tblGrid>
      <w:tr w:rsidR="008805F0" w:rsidTr="001A2FED">
        <w:trPr>
          <w:cnfStyle w:val="100000000000" w:firstRow="1" w:lastRow="0" w:firstColumn="0" w:lastColumn="0" w:oddVBand="0" w:evenVBand="0" w:oddHBand="0" w:evenHBand="0" w:firstRowFirstColumn="0" w:firstRowLastColumn="0" w:lastRowFirstColumn="0" w:lastRowLastColumn="0"/>
          <w:jc w:val="center"/>
        </w:trPr>
        <w:tc>
          <w:tcPr>
            <w:tcW w:w="2235" w:type="dxa"/>
            <w:vMerge w:val="restart"/>
            <w:vAlign w:val="center"/>
          </w:tcPr>
          <w:p w:rsidR="008805F0" w:rsidRPr="0097374E" w:rsidRDefault="008805F0" w:rsidP="001A2FED">
            <w:pPr>
              <w:pStyle w:val="TableText"/>
              <w:ind w:left="57" w:right="57"/>
            </w:pPr>
            <w:r w:rsidRPr="0097374E">
              <w:t>Taxable income ($)</w:t>
            </w:r>
          </w:p>
        </w:tc>
        <w:tc>
          <w:tcPr>
            <w:tcW w:w="2869" w:type="dxa"/>
            <w:gridSpan w:val="2"/>
            <w:vAlign w:val="center"/>
          </w:tcPr>
          <w:p w:rsidR="008805F0" w:rsidRPr="0097374E" w:rsidRDefault="008805F0" w:rsidP="001A2FED">
            <w:pPr>
              <w:pStyle w:val="TableTextCentred"/>
              <w:ind w:left="57" w:right="57"/>
              <w:rPr>
                <w:vertAlign w:val="superscript"/>
              </w:rPr>
            </w:pPr>
            <w:r w:rsidRPr="0097374E">
              <w:t>Marginal tax rate (%)</w:t>
            </w:r>
            <w:r w:rsidRPr="0097374E">
              <w:rPr>
                <w:vertAlign w:val="superscript"/>
              </w:rPr>
              <w:t>(a)</w:t>
            </w:r>
          </w:p>
        </w:tc>
      </w:tr>
      <w:tr w:rsidR="008805F0" w:rsidTr="001A2FED">
        <w:trPr>
          <w:jc w:val="center"/>
        </w:trPr>
        <w:tc>
          <w:tcPr>
            <w:tcW w:w="2235" w:type="dxa"/>
            <w:vMerge/>
            <w:vAlign w:val="center"/>
          </w:tcPr>
          <w:p w:rsidR="008805F0" w:rsidRDefault="008805F0" w:rsidP="001A2FED">
            <w:pPr>
              <w:pStyle w:val="TableText"/>
              <w:ind w:left="57" w:right="57"/>
            </w:pPr>
          </w:p>
        </w:tc>
        <w:tc>
          <w:tcPr>
            <w:tcW w:w="1418" w:type="dxa"/>
            <w:vAlign w:val="center"/>
          </w:tcPr>
          <w:p w:rsidR="008805F0" w:rsidRPr="0097374E" w:rsidRDefault="008805F0" w:rsidP="001A2FED">
            <w:pPr>
              <w:pStyle w:val="TableTextCentred"/>
              <w:ind w:left="57" w:right="57"/>
            </w:pPr>
            <w:r w:rsidRPr="0097374E">
              <w:t>Current</w:t>
            </w:r>
          </w:p>
        </w:tc>
        <w:tc>
          <w:tcPr>
            <w:tcW w:w="1451" w:type="dxa"/>
            <w:vAlign w:val="center"/>
          </w:tcPr>
          <w:p w:rsidR="008805F0" w:rsidRPr="0097374E" w:rsidRDefault="008805F0" w:rsidP="001A2FED">
            <w:pPr>
              <w:pStyle w:val="TableTextCentred"/>
              <w:ind w:left="57" w:right="57"/>
            </w:pPr>
            <w:r w:rsidRPr="0097374E">
              <w:t>Proposed</w:t>
            </w:r>
          </w:p>
        </w:tc>
      </w:tr>
      <w:tr w:rsidR="008805F0" w:rsidTr="001A2FED">
        <w:trPr>
          <w:jc w:val="center"/>
        </w:trPr>
        <w:tc>
          <w:tcPr>
            <w:tcW w:w="2235" w:type="dxa"/>
            <w:vAlign w:val="center"/>
          </w:tcPr>
          <w:p w:rsidR="008805F0" w:rsidRDefault="008805F0" w:rsidP="001A2FED">
            <w:pPr>
              <w:pStyle w:val="TableText"/>
              <w:ind w:left="57" w:right="57"/>
            </w:pPr>
            <w:r>
              <w:t>0 – 18,200</w:t>
            </w:r>
          </w:p>
        </w:tc>
        <w:tc>
          <w:tcPr>
            <w:tcW w:w="1418" w:type="dxa"/>
            <w:vAlign w:val="center"/>
          </w:tcPr>
          <w:p w:rsidR="008805F0" w:rsidRDefault="008805F0" w:rsidP="00F42BDB">
            <w:pPr>
              <w:pStyle w:val="TableTextCentred"/>
              <w:ind w:left="57" w:right="57"/>
            </w:pPr>
            <w:r>
              <w:t>0</w:t>
            </w:r>
          </w:p>
        </w:tc>
        <w:tc>
          <w:tcPr>
            <w:tcW w:w="1451" w:type="dxa"/>
            <w:vAlign w:val="center"/>
          </w:tcPr>
          <w:p w:rsidR="008805F0" w:rsidRDefault="008805F0" w:rsidP="00F42BDB">
            <w:pPr>
              <w:pStyle w:val="TableTextCentred"/>
              <w:ind w:left="57" w:right="57"/>
            </w:pPr>
            <w:r>
              <w:t>0</w:t>
            </w:r>
          </w:p>
        </w:tc>
      </w:tr>
      <w:tr w:rsidR="008805F0" w:rsidTr="001A2FED">
        <w:trPr>
          <w:jc w:val="center"/>
        </w:trPr>
        <w:tc>
          <w:tcPr>
            <w:tcW w:w="2235" w:type="dxa"/>
            <w:vAlign w:val="center"/>
          </w:tcPr>
          <w:p w:rsidR="008805F0" w:rsidRDefault="008805F0" w:rsidP="001A2FED">
            <w:pPr>
              <w:pStyle w:val="TableText"/>
              <w:ind w:left="57" w:right="57"/>
            </w:pPr>
            <w:r>
              <w:t>18,201 – 37,000</w:t>
            </w:r>
          </w:p>
        </w:tc>
        <w:tc>
          <w:tcPr>
            <w:tcW w:w="1418" w:type="dxa"/>
            <w:vAlign w:val="center"/>
          </w:tcPr>
          <w:p w:rsidR="008805F0" w:rsidRDefault="008805F0" w:rsidP="00F42BDB">
            <w:pPr>
              <w:pStyle w:val="TableTextCentred"/>
              <w:ind w:left="57" w:right="57"/>
            </w:pPr>
            <w:r>
              <w:t>19</w:t>
            </w:r>
          </w:p>
        </w:tc>
        <w:tc>
          <w:tcPr>
            <w:tcW w:w="1451" w:type="dxa"/>
            <w:vAlign w:val="center"/>
          </w:tcPr>
          <w:p w:rsidR="008805F0" w:rsidRDefault="008805F0" w:rsidP="00F42BDB">
            <w:pPr>
              <w:pStyle w:val="TableTextCentred"/>
              <w:ind w:left="57" w:right="57"/>
            </w:pPr>
            <w:r>
              <w:t>19</w:t>
            </w:r>
          </w:p>
        </w:tc>
      </w:tr>
      <w:tr w:rsidR="008805F0" w:rsidTr="001A2FED">
        <w:trPr>
          <w:jc w:val="center"/>
        </w:trPr>
        <w:tc>
          <w:tcPr>
            <w:tcW w:w="2235" w:type="dxa"/>
            <w:vAlign w:val="center"/>
          </w:tcPr>
          <w:p w:rsidR="008805F0" w:rsidRDefault="008805F0" w:rsidP="001A2FED">
            <w:pPr>
              <w:pStyle w:val="TableText"/>
              <w:ind w:left="57" w:right="57"/>
            </w:pPr>
            <w:r>
              <w:t>37,001 – 80,000</w:t>
            </w:r>
          </w:p>
        </w:tc>
        <w:tc>
          <w:tcPr>
            <w:tcW w:w="1418" w:type="dxa"/>
            <w:vAlign w:val="center"/>
          </w:tcPr>
          <w:p w:rsidR="008805F0" w:rsidRDefault="008805F0" w:rsidP="00F42BDB">
            <w:pPr>
              <w:pStyle w:val="TableTextCentred"/>
              <w:ind w:left="57" w:right="57"/>
            </w:pPr>
            <w:r>
              <w:t>32.5</w:t>
            </w:r>
          </w:p>
        </w:tc>
        <w:tc>
          <w:tcPr>
            <w:tcW w:w="1451" w:type="dxa"/>
            <w:vAlign w:val="center"/>
          </w:tcPr>
          <w:p w:rsidR="008805F0" w:rsidRDefault="008805F0" w:rsidP="00F42BDB">
            <w:pPr>
              <w:pStyle w:val="TableTextCentred"/>
              <w:ind w:left="57" w:right="57"/>
            </w:pPr>
            <w:r>
              <w:t>32.5</w:t>
            </w:r>
          </w:p>
        </w:tc>
      </w:tr>
      <w:tr w:rsidR="008805F0" w:rsidTr="001A2FED">
        <w:trPr>
          <w:jc w:val="center"/>
        </w:trPr>
        <w:tc>
          <w:tcPr>
            <w:tcW w:w="2235" w:type="dxa"/>
            <w:vAlign w:val="center"/>
          </w:tcPr>
          <w:p w:rsidR="008805F0" w:rsidRDefault="008805F0" w:rsidP="001A2FED">
            <w:pPr>
              <w:pStyle w:val="TableText"/>
              <w:ind w:left="57" w:right="57"/>
            </w:pPr>
            <w:r>
              <w:t>80,001 – 87,000</w:t>
            </w:r>
          </w:p>
        </w:tc>
        <w:tc>
          <w:tcPr>
            <w:tcW w:w="1418" w:type="dxa"/>
            <w:vAlign w:val="center"/>
          </w:tcPr>
          <w:p w:rsidR="008805F0" w:rsidRDefault="008805F0" w:rsidP="00F42BDB">
            <w:pPr>
              <w:pStyle w:val="TableTextCentred"/>
              <w:ind w:left="57" w:right="57"/>
            </w:pPr>
            <w:r>
              <w:t>32.5</w:t>
            </w:r>
          </w:p>
        </w:tc>
        <w:tc>
          <w:tcPr>
            <w:tcW w:w="1451" w:type="dxa"/>
            <w:vAlign w:val="center"/>
          </w:tcPr>
          <w:p w:rsidR="008805F0" w:rsidRDefault="008805F0" w:rsidP="00F42BDB">
            <w:pPr>
              <w:pStyle w:val="TableTextCentred"/>
              <w:ind w:left="57" w:right="57"/>
            </w:pPr>
            <w:r>
              <w:t>37</w:t>
            </w:r>
          </w:p>
        </w:tc>
      </w:tr>
      <w:tr w:rsidR="008805F0" w:rsidTr="001A2FED">
        <w:trPr>
          <w:jc w:val="center"/>
        </w:trPr>
        <w:tc>
          <w:tcPr>
            <w:tcW w:w="2235" w:type="dxa"/>
            <w:vAlign w:val="center"/>
          </w:tcPr>
          <w:p w:rsidR="008805F0" w:rsidRDefault="008805F0" w:rsidP="001A2FED">
            <w:pPr>
              <w:pStyle w:val="TableText"/>
              <w:ind w:left="57" w:right="57"/>
            </w:pPr>
            <w:r>
              <w:t>87,001 – 180,000</w:t>
            </w:r>
          </w:p>
        </w:tc>
        <w:tc>
          <w:tcPr>
            <w:tcW w:w="1418" w:type="dxa"/>
            <w:vAlign w:val="center"/>
          </w:tcPr>
          <w:p w:rsidR="008805F0" w:rsidRDefault="008805F0" w:rsidP="00F42BDB">
            <w:pPr>
              <w:pStyle w:val="TableTextCentred"/>
              <w:ind w:left="57" w:right="57"/>
            </w:pPr>
            <w:r>
              <w:t>37</w:t>
            </w:r>
          </w:p>
        </w:tc>
        <w:tc>
          <w:tcPr>
            <w:tcW w:w="1451" w:type="dxa"/>
            <w:vAlign w:val="center"/>
          </w:tcPr>
          <w:p w:rsidR="008805F0" w:rsidRDefault="008805F0" w:rsidP="00F42BDB">
            <w:pPr>
              <w:pStyle w:val="TableTextCentred"/>
              <w:ind w:left="57" w:right="57"/>
            </w:pPr>
            <w:r>
              <w:t>37</w:t>
            </w:r>
          </w:p>
        </w:tc>
      </w:tr>
      <w:tr w:rsidR="008805F0" w:rsidTr="001A2FED">
        <w:trPr>
          <w:jc w:val="center"/>
        </w:trPr>
        <w:tc>
          <w:tcPr>
            <w:tcW w:w="2235" w:type="dxa"/>
            <w:vAlign w:val="center"/>
          </w:tcPr>
          <w:p w:rsidR="008805F0" w:rsidRDefault="008805F0" w:rsidP="001A2FED">
            <w:pPr>
              <w:pStyle w:val="TableText"/>
              <w:ind w:left="57" w:right="57"/>
            </w:pPr>
            <w:r>
              <w:t>180,001 – 1,000,000</w:t>
            </w:r>
          </w:p>
        </w:tc>
        <w:tc>
          <w:tcPr>
            <w:tcW w:w="1418" w:type="dxa"/>
            <w:vAlign w:val="center"/>
          </w:tcPr>
          <w:p w:rsidR="008805F0" w:rsidRPr="00FE32F1" w:rsidRDefault="008805F0" w:rsidP="00F42BDB">
            <w:pPr>
              <w:pStyle w:val="TableTextCentred"/>
              <w:ind w:left="57" w:right="57"/>
              <w:rPr>
                <w:vertAlign w:val="superscript"/>
              </w:rPr>
            </w:pPr>
            <w:r>
              <w:t>47</w:t>
            </w:r>
            <w:r>
              <w:rPr>
                <w:vertAlign w:val="superscript"/>
              </w:rPr>
              <w:t>(b)</w:t>
            </w:r>
          </w:p>
        </w:tc>
        <w:tc>
          <w:tcPr>
            <w:tcW w:w="1451" w:type="dxa"/>
            <w:vAlign w:val="center"/>
          </w:tcPr>
          <w:p w:rsidR="008805F0" w:rsidRDefault="008805F0" w:rsidP="00F42BDB">
            <w:pPr>
              <w:pStyle w:val="TableTextCentred"/>
              <w:ind w:left="57" w:right="57"/>
            </w:pPr>
            <w:r>
              <w:t>47</w:t>
            </w:r>
          </w:p>
        </w:tc>
      </w:tr>
      <w:tr w:rsidR="008805F0" w:rsidTr="001A2FED">
        <w:trPr>
          <w:jc w:val="center"/>
        </w:trPr>
        <w:tc>
          <w:tcPr>
            <w:tcW w:w="2235" w:type="dxa"/>
            <w:vAlign w:val="center"/>
          </w:tcPr>
          <w:p w:rsidR="008805F0" w:rsidRDefault="008805F0" w:rsidP="001A2FED">
            <w:pPr>
              <w:pStyle w:val="TableText"/>
              <w:ind w:left="57" w:right="57"/>
            </w:pPr>
            <w:r>
              <w:t>1,000,000 +</w:t>
            </w:r>
          </w:p>
        </w:tc>
        <w:tc>
          <w:tcPr>
            <w:tcW w:w="1418" w:type="dxa"/>
            <w:vAlign w:val="center"/>
          </w:tcPr>
          <w:p w:rsidR="008805F0" w:rsidRPr="00FE32F1" w:rsidRDefault="008805F0" w:rsidP="00F42BDB">
            <w:pPr>
              <w:pStyle w:val="TableTextCentred"/>
              <w:ind w:left="57" w:right="57"/>
              <w:rPr>
                <w:vertAlign w:val="superscript"/>
              </w:rPr>
            </w:pPr>
            <w:r>
              <w:t>47</w:t>
            </w:r>
            <w:r>
              <w:rPr>
                <w:vertAlign w:val="superscript"/>
              </w:rPr>
              <w:t>(b)</w:t>
            </w:r>
          </w:p>
        </w:tc>
        <w:tc>
          <w:tcPr>
            <w:tcW w:w="1451" w:type="dxa"/>
            <w:vAlign w:val="center"/>
          </w:tcPr>
          <w:p w:rsidR="008805F0" w:rsidRDefault="008805F0" w:rsidP="00F42BDB">
            <w:pPr>
              <w:pStyle w:val="TableTextCentred"/>
              <w:ind w:left="57" w:right="57"/>
            </w:pPr>
            <w:r>
              <w:t>50</w:t>
            </w:r>
          </w:p>
        </w:tc>
      </w:tr>
    </w:tbl>
    <w:p w:rsidR="008805F0" w:rsidRDefault="008805F0" w:rsidP="008805F0">
      <w:pPr>
        <w:pStyle w:val="Footnotes"/>
        <w:numPr>
          <w:ilvl w:val="0"/>
          <w:numId w:val="21"/>
        </w:numPr>
      </w:pPr>
      <w:r w:rsidRPr="00244D92">
        <w:t>Marginal tax rates do not</w:t>
      </w:r>
      <w:r>
        <w:t xml:space="preserve"> include the Medicare levy or the Medicare levy surcharge where applicable.</w:t>
      </w:r>
    </w:p>
    <w:p w:rsidR="008805F0" w:rsidRPr="00244D92" w:rsidRDefault="008805F0" w:rsidP="008805F0">
      <w:pPr>
        <w:pStyle w:val="Footnotes"/>
      </w:pPr>
      <w:r>
        <w:t>Includes the 2 per cent Temporary Budget Repair Levy (TBRL), which will expire after the 2016-17 financial year under current policy settings.</w:t>
      </w:r>
    </w:p>
    <w:p w:rsidR="008805F0" w:rsidRPr="006A06C0" w:rsidRDefault="008805F0" w:rsidP="0097374E">
      <w:pPr>
        <w:pStyle w:val="BodyText"/>
      </w:pPr>
    </w:p>
    <w:p w:rsidR="008805F0" w:rsidRDefault="008805F0" w:rsidP="00FC6579">
      <w:pPr>
        <w:pStyle w:val="Captionheading"/>
        <w:sectPr w:rsidR="008805F0" w:rsidSect="0097374E">
          <w:headerReference w:type="first" r:id="rId16"/>
          <w:footerReference w:type="first" r:id="rId17"/>
          <w:pgSz w:w="11907" w:h="16840" w:code="9"/>
          <w:pgMar w:top="1361" w:right="1797" w:bottom="1474" w:left="1797" w:header="709" w:footer="709" w:gutter="0"/>
          <w:cols w:space="708"/>
          <w:titlePg/>
          <w:docGrid w:linePitch="360"/>
        </w:sectPr>
      </w:pPr>
    </w:p>
    <w:p w:rsidR="008805F0" w:rsidRPr="00FC6579" w:rsidRDefault="008805F0" w:rsidP="008805F0">
      <w:pPr>
        <w:pStyle w:val="Heading1"/>
        <w:numPr>
          <w:ilvl w:val="0"/>
          <w:numId w:val="0"/>
        </w:numPr>
      </w:pPr>
      <w:r w:rsidRPr="00FC6579">
        <w:lastRenderedPageBreak/>
        <w:t xml:space="preserve">Attachment </w:t>
      </w:r>
      <w:r>
        <w:t>B</w:t>
      </w:r>
      <w:r w:rsidRPr="00FC6579">
        <w:t>:</w:t>
      </w:r>
      <w:r>
        <w:t xml:space="preserve">  Top Marginal Tax Rates—financial implications</w:t>
      </w:r>
    </w:p>
    <w:p w:rsidR="00F52474" w:rsidRPr="00D03E03" w:rsidRDefault="00F52474" w:rsidP="00FC6579">
      <w:pPr>
        <w:pStyle w:val="Captionheading"/>
        <w:rPr>
          <w:vertAlign w:val="superscript"/>
        </w:rPr>
      </w:pPr>
      <w:r w:rsidRPr="00FC6579">
        <w:t xml:space="preserve">Table </w:t>
      </w:r>
      <w:r w:rsidR="00D03E03">
        <w:t>A1</w:t>
      </w:r>
      <w:r w:rsidRPr="00FC6579">
        <w:t xml:space="preserve">: </w:t>
      </w:r>
      <w:r w:rsidR="00D03E03">
        <w:t>Top Marginal Tax Rates – Financial implications (outturn prices</w:t>
      </w:r>
      <w:proofErr w:type="gramStart"/>
      <w:r w:rsidR="00D03E03">
        <w:t>)</w:t>
      </w:r>
      <w:r w:rsidR="00D03E03">
        <w:rPr>
          <w:vertAlign w:val="superscript"/>
        </w:rPr>
        <w:t>(</w:t>
      </w:r>
      <w:proofErr w:type="gramEnd"/>
      <w:r w:rsidR="00D03E03">
        <w:rPr>
          <w:vertAlign w:val="superscript"/>
        </w:rPr>
        <w:t>a)</w:t>
      </w:r>
      <w:r w:rsidR="003758EE">
        <w:rPr>
          <w:vertAlign w:val="superscript"/>
        </w:rPr>
        <w:t>(b)</w:t>
      </w:r>
    </w:p>
    <w:tbl>
      <w:tblPr>
        <w:tblStyle w:val="TableGrid"/>
        <w:tblW w:w="4948" w:type="pct"/>
        <w:tblLook w:val="0680" w:firstRow="0" w:lastRow="0" w:firstColumn="1" w:lastColumn="0" w:noHBand="1" w:noVBand="1"/>
      </w:tblPr>
      <w:tblGrid>
        <w:gridCol w:w="2135"/>
        <w:gridCol w:w="898"/>
        <w:gridCol w:w="898"/>
        <w:gridCol w:w="899"/>
        <w:gridCol w:w="899"/>
        <w:gridCol w:w="904"/>
        <w:gridCol w:w="899"/>
        <w:gridCol w:w="899"/>
        <w:gridCol w:w="899"/>
        <w:gridCol w:w="899"/>
        <w:gridCol w:w="899"/>
        <w:gridCol w:w="899"/>
        <w:gridCol w:w="899"/>
        <w:gridCol w:w="943"/>
      </w:tblGrid>
      <w:tr w:rsidR="00713828" w:rsidRPr="00B31810" w:rsidTr="001A2FED">
        <w:trPr>
          <w:cantSplit/>
        </w:trPr>
        <w:tc>
          <w:tcPr>
            <w:cnfStyle w:val="001000000000" w:firstRow="0" w:lastRow="0" w:firstColumn="1" w:lastColumn="0" w:oddVBand="0" w:evenVBand="0" w:oddHBand="0" w:evenHBand="0" w:firstRowFirstColumn="0" w:firstRowLastColumn="0" w:lastRowFirstColumn="0" w:lastRowLastColumn="0"/>
            <w:tcW w:w="770" w:type="pct"/>
            <w:shd w:val="clear" w:color="auto" w:fill="D7DDE9"/>
          </w:tcPr>
          <w:p w:rsidR="00713828" w:rsidRPr="00B31810" w:rsidRDefault="00713828" w:rsidP="001A2FED">
            <w:pPr>
              <w:keepNext/>
              <w:keepLines/>
              <w:spacing w:before="70" w:after="70" w:line="240" w:lineRule="auto"/>
              <w:ind w:left="57" w:right="57"/>
            </w:pPr>
            <w:r w:rsidRPr="00B31810">
              <w:t>($m)</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6" w:type="pct"/>
            <w:shd w:val="clear" w:color="auto" w:fill="D7DDE9"/>
          </w:tcPr>
          <w:p w:rsidR="00713828" w:rsidRPr="00AE30B5"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4" w:type="pct"/>
            <w:shd w:val="clear" w:color="auto" w:fill="D7DDE9"/>
          </w:tcPr>
          <w:p w:rsidR="00713828" w:rsidRPr="00C24267"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42" w:type="pct"/>
            <w:shd w:val="clear" w:color="auto" w:fill="D7DDE9"/>
          </w:tcPr>
          <w:p w:rsidR="00713828" w:rsidRPr="00AE30B5" w:rsidRDefault="00713828" w:rsidP="001A2FE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713828" w:rsidRPr="00EF1D6A" w:rsidTr="001A2FED">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713828" w:rsidRPr="00AE30B5" w:rsidRDefault="00713828" w:rsidP="001A2FED">
            <w:pPr>
              <w:pStyle w:val="TableHeadingCentred"/>
              <w:spacing w:line="240" w:lineRule="auto"/>
              <w:ind w:left="57" w:right="57"/>
              <w:jc w:val="left"/>
              <w:rPr>
                <w:b/>
              </w:rPr>
            </w:pPr>
            <w:r>
              <w:rPr>
                <w:b/>
              </w:rPr>
              <w:t>Fiscal and underlying cash balances</w:t>
            </w:r>
            <w:r w:rsidR="00326396">
              <w:rPr>
                <w:b/>
              </w:rPr>
              <w:t xml:space="preserve"> – revenue/expenses</w:t>
            </w:r>
          </w:p>
        </w:tc>
      </w:tr>
      <w:tr w:rsidR="00713828" w:rsidTr="001A2FED">
        <w:trPr>
          <w:cantSplit/>
        </w:trPr>
        <w:tc>
          <w:tcPr>
            <w:cnfStyle w:val="001000000000" w:firstRow="0" w:lastRow="0" w:firstColumn="1" w:lastColumn="0" w:oddVBand="0" w:evenVBand="0" w:oddHBand="0" w:evenHBand="0" w:firstRowFirstColumn="0" w:firstRowLastColumn="0" w:lastRowFirstColumn="0" w:lastRowLastColumn="0"/>
            <w:tcW w:w="770" w:type="pct"/>
          </w:tcPr>
          <w:p w:rsidR="00713828" w:rsidRPr="0007264D" w:rsidRDefault="00713828" w:rsidP="001A2FED">
            <w:pPr>
              <w:keepNext/>
              <w:keepLines/>
              <w:spacing w:before="70" w:after="70" w:line="240" w:lineRule="auto"/>
              <w:ind w:left="57" w:right="57"/>
            </w:pPr>
            <w:r>
              <w:t>Revenue</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800.0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2,750.0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3,100.0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3,300.0</w:t>
            </w:r>
          </w:p>
        </w:tc>
        <w:tc>
          <w:tcPr>
            <w:tcW w:w="326" w:type="pct"/>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9,950.0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3,550.0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3,800.0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4,050.0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4,300.0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4,600.0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4,950.0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5,300.0</w:t>
            </w:r>
          </w:p>
        </w:tc>
        <w:tc>
          <w:tcPr>
            <w:tcW w:w="342" w:type="pct"/>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40,500.0</w:t>
            </w:r>
          </w:p>
        </w:tc>
      </w:tr>
      <w:tr w:rsidR="00713828" w:rsidTr="001A2FED">
        <w:trPr>
          <w:cantSplit/>
        </w:trPr>
        <w:tc>
          <w:tcPr>
            <w:cnfStyle w:val="001000000000" w:firstRow="0" w:lastRow="0" w:firstColumn="1" w:lastColumn="0" w:oddVBand="0" w:evenVBand="0" w:oddHBand="0" w:evenHBand="0" w:firstRowFirstColumn="0" w:firstRowLastColumn="0" w:lastRowFirstColumn="0" w:lastRowLastColumn="0"/>
            <w:tcW w:w="770" w:type="pct"/>
          </w:tcPr>
          <w:p w:rsidR="00713828" w:rsidRPr="0007264D" w:rsidRDefault="00713828" w:rsidP="001A2FED">
            <w:pPr>
              <w:keepNext/>
              <w:keepLines/>
              <w:spacing w:before="70" w:after="70" w:line="240" w:lineRule="auto"/>
              <w:ind w:left="57" w:right="57"/>
            </w:pPr>
            <w:r>
              <w:t xml:space="preserve">Departmental </w:t>
            </w:r>
            <w:r w:rsidR="00B87E7B">
              <w:t>e</w:t>
            </w:r>
            <w:r>
              <w:t>xpenses (ATO)</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-6.0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6" w:type="pct"/>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-6.0</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24" w:type="pct"/>
          </w:tcPr>
          <w:p w:rsidR="00713828" w:rsidRPr="00C24267"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342" w:type="pct"/>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-6.0</w:t>
            </w:r>
          </w:p>
        </w:tc>
      </w:tr>
      <w:tr w:rsidR="00EC14BC" w:rsidRPr="008D6ECA" w:rsidTr="00EC14BC">
        <w:trPr>
          <w:cantSplit/>
        </w:trPr>
        <w:tc>
          <w:tcPr>
            <w:cnfStyle w:val="001000000000" w:firstRow="0" w:lastRow="0" w:firstColumn="1" w:lastColumn="0" w:oddVBand="0" w:evenVBand="0" w:oddHBand="0" w:evenHBand="0" w:firstRowFirstColumn="0" w:firstRowLastColumn="0" w:lastRowFirstColumn="0" w:lastRowLastColumn="0"/>
            <w:tcW w:w="770" w:type="pct"/>
            <w:shd w:val="clear" w:color="auto" w:fill="D7DDE9"/>
          </w:tcPr>
          <w:p w:rsidR="00713828" w:rsidRPr="008D6ECA" w:rsidRDefault="00713828" w:rsidP="001A2FED">
            <w:pPr>
              <w:keepNext/>
              <w:keepLines/>
              <w:spacing w:before="70" w:after="70" w:line="240" w:lineRule="auto"/>
              <w:ind w:left="57" w:right="57"/>
              <w:rPr>
                <w:b/>
              </w:rPr>
            </w:pPr>
            <w:r>
              <w:rPr>
                <w:b/>
              </w:rPr>
              <w:t>Total</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794.0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2,750.0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3,100.0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3,300.0</w:t>
            </w:r>
          </w:p>
        </w:tc>
        <w:tc>
          <w:tcPr>
            <w:tcW w:w="326" w:type="pct"/>
            <w:shd w:val="clear" w:color="auto" w:fill="D7DDE9"/>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9,944.0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3,550.0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3,800.0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4,050.0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4,300.0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4,600.0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4,950.0</w:t>
            </w:r>
          </w:p>
        </w:tc>
        <w:tc>
          <w:tcPr>
            <w:tcW w:w="324" w:type="pct"/>
            <w:shd w:val="clear" w:color="auto" w:fill="D7DDE9"/>
          </w:tcPr>
          <w:p w:rsidR="00713828" w:rsidRPr="0055406D"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5,300.0</w:t>
            </w:r>
          </w:p>
        </w:tc>
        <w:tc>
          <w:tcPr>
            <w:tcW w:w="342" w:type="pct"/>
            <w:shd w:val="clear" w:color="auto" w:fill="D7DDE9"/>
          </w:tcPr>
          <w:p w:rsidR="00713828" w:rsidRPr="00AE30B5" w:rsidRDefault="00713828" w:rsidP="001A2FED">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40,494.0</w:t>
            </w:r>
          </w:p>
        </w:tc>
      </w:tr>
    </w:tbl>
    <w:p w:rsidR="00257E16" w:rsidRPr="00536395" w:rsidRDefault="00536395" w:rsidP="00536395">
      <w:pPr>
        <w:pStyle w:val="Footnotes"/>
        <w:numPr>
          <w:ilvl w:val="0"/>
          <w:numId w:val="10"/>
        </w:numPr>
        <w:ind w:left="284" w:hanging="284"/>
      </w:pPr>
      <w:r w:rsidRPr="00536395">
        <w:t xml:space="preserve">A positive number indicates an increase in revenue or decrease in expenses or net capital investment in accrual and cash terms.  A negative number indicates a decrease in revenue or an increase in expenses or net capital investment in accrual and cash terms.  </w:t>
      </w:r>
    </w:p>
    <w:p w:rsidR="003758EE" w:rsidRPr="00536395" w:rsidRDefault="003758EE" w:rsidP="003758EE">
      <w:pPr>
        <w:pStyle w:val="Footnotes"/>
        <w:numPr>
          <w:ilvl w:val="0"/>
          <w:numId w:val="10"/>
        </w:numPr>
        <w:ind w:left="284" w:hanging="284"/>
      </w:pPr>
      <w:r w:rsidRPr="00536395">
        <w:t>Figures may not sum to totals due to rounding.</w:t>
      </w:r>
    </w:p>
    <w:p w:rsidR="00041D7A" w:rsidRPr="00FC6579" w:rsidRDefault="00FE6BFE" w:rsidP="00E92F94">
      <w:pPr>
        <w:pStyle w:val="Footnotes"/>
        <w:numPr>
          <w:ilvl w:val="0"/>
          <w:numId w:val="19"/>
        </w:numPr>
        <w:ind w:left="284" w:hanging="284"/>
      </w:pPr>
      <w:r>
        <w:t>Indicates nil.</w:t>
      </w:r>
    </w:p>
    <w:sectPr w:rsidR="00041D7A" w:rsidRPr="00FC6579" w:rsidSect="009749B1">
      <w:pgSz w:w="16840" w:h="11907" w:orient="landscape" w:code="9"/>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CC" w:rsidRDefault="002D12CC" w:rsidP="008F588A">
      <w:pPr>
        <w:spacing w:line="240" w:lineRule="auto"/>
      </w:pPr>
      <w:r>
        <w:separator/>
      </w:r>
    </w:p>
    <w:p w:rsidR="002D12CC" w:rsidRDefault="002D12CC"/>
  </w:endnote>
  <w:endnote w:type="continuationSeparator" w:id="0">
    <w:p w:rsidR="002D12CC" w:rsidRDefault="002D12CC" w:rsidP="008F588A">
      <w:pPr>
        <w:spacing w:line="240" w:lineRule="auto"/>
      </w:pPr>
      <w:r>
        <w:continuationSeparator/>
      </w:r>
    </w:p>
    <w:p w:rsidR="002D12CC" w:rsidRDefault="002D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C24267" w:rsidRDefault="002D12C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70192">
      <w:rPr>
        <w:noProof/>
      </w:rPr>
      <w:t>3</w:t>
    </w:r>
    <w:r w:rsidRPr="00C24267">
      <w:fldChar w:fldCharType="end"/>
    </w:r>
    <w:r w:rsidRPr="00C24267">
      <w:t xml:space="preserve"> of </w:t>
    </w:r>
    <w:r w:rsidR="00970192">
      <w:fldChar w:fldCharType="begin"/>
    </w:r>
    <w:r w:rsidR="00970192">
      <w:instrText xml:space="preserve"> NUMPAGES  \* Arabic  \* MERGEFORMAT </w:instrText>
    </w:r>
    <w:r w:rsidR="00970192">
      <w:fldChar w:fldCharType="separate"/>
    </w:r>
    <w:r w:rsidR="00970192">
      <w:rPr>
        <w:noProof/>
      </w:rPr>
      <w:t>7</w:t>
    </w:r>
    <w:r w:rsidR="0097019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C24267" w:rsidRDefault="002D12CC" w:rsidP="00C24267">
    <w:pPr>
      <w:pStyle w:val="Letterfooter"/>
    </w:pPr>
    <w:r w:rsidRPr="00C24267">
      <w:t>Parliamentary Budget Office   PO Box 6010   Parliament House   Canberra ACT 2600</w:t>
    </w:r>
  </w:p>
  <w:p w:rsidR="002D12CC" w:rsidRPr="00C24267" w:rsidRDefault="002D12CC"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C24267" w:rsidRDefault="002D12C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70192">
      <w:rPr>
        <w:noProof/>
      </w:rPr>
      <w:t>2</w:t>
    </w:r>
    <w:r w:rsidRPr="00C24267">
      <w:fldChar w:fldCharType="end"/>
    </w:r>
    <w:r w:rsidRPr="00C24267">
      <w:t xml:space="preserve"> of </w:t>
    </w:r>
    <w:r w:rsidR="00970192">
      <w:fldChar w:fldCharType="begin"/>
    </w:r>
    <w:r w:rsidR="00970192">
      <w:instrText xml:space="preserve"> NUMPAGES  \* Arabic  \* MERGEFORMAT </w:instrText>
    </w:r>
    <w:r w:rsidR="00970192">
      <w:fldChar w:fldCharType="separate"/>
    </w:r>
    <w:r w:rsidR="00970192">
      <w:rPr>
        <w:noProof/>
      </w:rPr>
      <w:t>7</w:t>
    </w:r>
    <w:r w:rsidR="0097019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C24267" w:rsidRDefault="002D12C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70192">
      <w:rPr>
        <w:noProof/>
      </w:rPr>
      <w:t>7</w:t>
    </w:r>
    <w:r w:rsidRPr="00C24267">
      <w:fldChar w:fldCharType="end"/>
    </w:r>
    <w:r w:rsidRPr="00C24267">
      <w:t xml:space="preserve"> of </w:t>
    </w:r>
    <w:r w:rsidR="00970192">
      <w:fldChar w:fldCharType="begin"/>
    </w:r>
    <w:r w:rsidR="00970192">
      <w:instrText xml:space="preserve"> NUMPAGES  \* Arabic  \* MERGEFORMAT </w:instrText>
    </w:r>
    <w:r w:rsidR="00970192">
      <w:fldChar w:fldCharType="separate"/>
    </w:r>
    <w:r w:rsidR="00970192">
      <w:rPr>
        <w:noProof/>
      </w:rPr>
      <w:t>7</w:t>
    </w:r>
    <w:r w:rsidR="0097019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CC" w:rsidRDefault="002D12CC" w:rsidP="008F588A">
      <w:pPr>
        <w:spacing w:line="240" w:lineRule="auto"/>
      </w:pPr>
      <w:r>
        <w:separator/>
      </w:r>
    </w:p>
  </w:footnote>
  <w:footnote w:type="continuationSeparator" w:id="0">
    <w:p w:rsidR="002D12CC" w:rsidRDefault="002D12CC" w:rsidP="008F588A">
      <w:pPr>
        <w:spacing w:line="240" w:lineRule="auto"/>
      </w:pPr>
      <w:r>
        <w:continuationSeparator/>
      </w:r>
    </w:p>
    <w:p w:rsidR="002D12CC" w:rsidRDefault="002D12CC"/>
  </w:footnote>
  <w:footnote w:id="1">
    <w:p w:rsidR="002D12CC" w:rsidRPr="00F863BD" w:rsidRDefault="002D12CC">
      <w:pPr>
        <w:pStyle w:val="FootnoteText"/>
        <w:rPr>
          <w:sz w:val="18"/>
        </w:rPr>
      </w:pPr>
      <w:r w:rsidRPr="00F863BD">
        <w:rPr>
          <w:rStyle w:val="FootnoteReference"/>
          <w:sz w:val="18"/>
        </w:rPr>
        <w:footnoteRef/>
      </w:r>
      <w:r w:rsidRPr="00F863BD">
        <w:rPr>
          <w:sz w:val="18"/>
        </w:rPr>
        <w:t xml:space="preserve"> </w:t>
      </w:r>
      <w:proofErr w:type="gramStart"/>
      <w:r w:rsidRPr="00F863BD">
        <w:rPr>
          <w:sz w:val="18"/>
        </w:rPr>
        <w:t>A taxable</w:t>
      </w:r>
      <w:proofErr w:type="gramEnd"/>
      <w:r w:rsidRPr="00F863BD">
        <w:rPr>
          <w:sz w:val="18"/>
        </w:rPr>
        <w:t xml:space="preserve"> income elasticity is a measure of the responsiveness of taxable income to changes in after tax income. An increase in tax would result in a decrease in after tax income. </w:t>
      </w:r>
      <w:r w:rsidR="00144C17">
        <w:rPr>
          <w:sz w:val="18"/>
        </w:rPr>
        <w:t xml:space="preserve"> </w:t>
      </w:r>
      <w:r w:rsidRPr="00F863BD">
        <w:rPr>
          <w:sz w:val="18"/>
        </w:rPr>
        <w:t>An elasticity of 0.35 means that a 1 per cent decrease in the net-of-tax rate (the proportion of each additional dollar kept as take-home income) results in a 0.35 per cent decrease in taxable income.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Default="002D12CC"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D12CC" w:rsidRPr="00DA1C8A" w:rsidRDefault="002D12CC"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C17112" w:rsidRDefault="002D12CC" w:rsidP="00C17112">
    <w:pPr>
      <w:pStyle w:val="Header"/>
    </w:pPr>
    <w:r>
      <w:rPr>
        <w:noProof/>
        <w:lang w:eastAsia="en-AU"/>
      </w:rPr>
      <w:drawing>
        <wp:inline distT="0" distB="0" distL="0" distR="0" wp14:anchorId="6C79059A" wp14:editId="79D8E2AC">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C" w:rsidRPr="001B5FF2" w:rsidRDefault="002D12CC" w:rsidP="001B5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1C9F47EB"/>
    <w:multiLevelType w:val="hybridMultilevel"/>
    <w:tmpl w:val="CD688696"/>
    <w:lvl w:ilvl="0" w:tplc="F818675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47594"/>
    <w:multiLevelType w:val="hybridMultilevel"/>
    <w:tmpl w:val="5E9299A2"/>
    <w:lvl w:ilvl="0" w:tplc="F818675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9">
    <w:nsid w:val="40553A8B"/>
    <w:multiLevelType w:val="hybridMultilevel"/>
    <w:tmpl w:val="D070D014"/>
    <w:lvl w:ilvl="0" w:tplc="F120DB54">
      <w:start w:val="3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7C687610"/>
    <w:multiLevelType w:val="hybridMultilevel"/>
    <w:tmpl w:val="07E41CE6"/>
    <w:lvl w:ilvl="0" w:tplc="F818675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0"/>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num>
  <w:num w:numId="12">
    <w:abstractNumId w:val="0"/>
  </w:num>
  <w:num w:numId="13">
    <w:abstractNumId w:val="8"/>
    <w:lvlOverride w:ilvl="0">
      <w:startOverride w:val="1"/>
    </w:lvlOverride>
  </w:num>
  <w:num w:numId="14">
    <w:abstractNumId w:val="8"/>
    <w:lvlOverride w:ilvl="0">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6"/>
  </w:num>
  <w:num w:numId="20">
    <w:abstractNumId w:val="8"/>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0D"/>
    <w:rsid w:val="00002D5D"/>
    <w:rsid w:val="00034BF4"/>
    <w:rsid w:val="00040DCE"/>
    <w:rsid w:val="00041D7A"/>
    <w:rsid w:val="0006086F"/>
    <w:rsid w:val="00096F3A"/>
    <w:rsid w:val="000A3AF8"/>
    <w:rsid w:val="000C1A75"/>
    <w:rsid w:val="000F1A30"/>
    <w:rsid w:val="00125963"/>
    <w:rsid w:val="001278D0"/>
    <w:rsid w:val="0014239B"/>
    <w:rsid w:val="00144C17"/>
    <w:rsid w:val="001834FD"/>
    <w:rsid w:val="001A02D1"/>
    <w:rsid w:val="001A2FED"/>
    <w:rsid w:val="001B5FF2"/>
    <w:rsid w:val="00220BE5"/>
    <w:rsid w:val="00225C16"/>
    <w:rsid w:val="002422A3"/>
    <w:rsid w:val="00244D92"/>
    <w:rsid w:val="00257E16"/>
    <w:rsid w:val="002D12CC"/>
    <w:rsid w:val="00315E34"/>
    <w:rsid w:val="00317F81"/>
    <w:rsid w:val="00326396"/>
    <w:rsid w:val="00326DE2"/>
    <w:rsid w:val="003758EE"/>
    <w:rsid w:val="003D7744"/>
    <w:rsid w:val="003F73CA"/>
    <w:rsid w:val="00422A54"/>
    <w:rsid w:val="00440E32"/>
    <w:rsid w:val="00461597"/>
    <w:rsid w:val="00485374"/>
    <w:rsid w:val="004C283B"/>
    <w:rsid w:val="004D13ED"/>
    <w:rsid w:val="004D5525"/>
    <w:rsid w:val="005035DA"/>
    <w:rsid w:val="00507897"/>
    <w:rsid w:val="00510661"/>
    <w:rsid w:val="00515A85"/>
    <w:rsid w:val="00536395"/>
    <w:rsid w:val="00545F24"/>
    <w:rsid w:val="0055581F"/>
    <w:rsid w:val="0056229A"/>
    <w:rsid w:val="00570154"/>
    <w:rsid w:val="00570B5A"/>
    <w:rsid w:val="00587422"/>
    <w:rsid w:val="005B31B8"/>
    <w:rsid w:val="005C6967"/>
    <w:rsid w:val="005C79AE"/>
    <w:rsid w:val="005E3562"/>
    <w:rsid w:val="005F7DE0"/>
    <w:rsid w:val="00640346"/>
    <w:rsid w:val="00653049"/>
    <w:rsid w:val="00660385"/>
    <w:rsid w:val="00662E65"/>
    <w:rsid w:val="0066665A"/>
    <w:rsid w:val="00676424"/>
    <w:rsid w:val="00686571"/>
    <w:rsid w:val="00692DD8"/>
    <w:rsid w:val="006A06C0"/>
    <w:rsid w:val="006C34AF"/>
    <w:rsid w:val="006F0CE9"/>
    <w:rsid w:val="00713828"/>
    <w:rsid w:val="007202A8"/>
    <w:rsid w:val="007229A9"/>
    <w:rsid w:val="007B029A"/>
    <w:rsid w:val="007D33AA"/>
    <w:rsid w:val="007D3577"/>
    <w:rsid w:val="007F7BCF"/>
    <w:rsid w:val="008030EC"/>
    <w:rsid w:val="00811D6D"/>
    <w:rsid w:val="00817E8E"/>
    <w:rsid w:val="00822F58"/>
    <w:rsid w:val="00834CFD"/>
    <w:rsid w:val="008361C2"/>
    <w:rsid w:val="00844776"/>
    <w:rsid w:val="008805F0"/>
    <w:rsid w:val="008850D9"/>
    <w:rsid w:val="00885478"/>
    <w:rsid w:val="008A4578"/>
    <w:rsid w:val="008C03C3"/>
    <w:rsid w:val="008C1C87"/>
    <w:rsid w:val="008D3909"/>
    <w:rsid w:val="008D6985"/>
    <w:rsid w:val="008F588A"/>
    <w:rsid w:val="00902D2D"/>
    <w:rsid w:val="00902FE4"/>
    <w:rsid w:val="00915804"/>
    <w:rsid w:val="00957285"/>
    <w:rsid w:val="009573AF"/>
    <w:rsid w:val="00970192"/>
    <w:rsid w:val="0097374E"/>
    <w:rsid w:val="009749B1"/>
    <w:rsid w:val="009963ED"/>
    <w:rsid w:val="009D4063"/>
    <w:rsid w:val="00A41BD3"/>
    <w:rsid w:val="00A449C2"/>
    <w:rsid w:val="00A65EA3"/>
    <w:rsid w:val="00AA3D6F"/>
    <w:rsid w:val="00AB6F7D"/>
    <w:rsid w:val="00AC1F85"/>
    <w:rsid w:val="00AC7878"/>
    <w:rsid w:val="00AD493E"/>
    <w:rsid w:val="00AF4B0D"/>
    <w:rsid w:val="00B06055"/>
    <w:rsid w:val="00B34782"/>
    <w:rsid w:val="00B44D8A"/>
    <w:rsid w:val="00B73AC8"/>
    <w:rsid w:val="00B747A7"/>
    <w:rsid w:val="00B80BCF"/>
    <w:rsid w:val="00B87E7B"/>
    <w:rsid w:val="00BC559C"/>
    <w:rsid w:val="00BF36B3"/>
    <w:rsid w:val="00C071AF"/>
    <w:rsid w:val="00C17112"/>
    <w:rsid w:val="00C238D1"/>
    <w:rsid w:val="00C24267"/>
    <w:rsid w:val="00CA5D42"/>
    <w:rsid w:val="00CB40E1"/>
    <w:rsid w:val="00CF6DB6"/>
    <w:rsid w:val="00D03E03"/>
    <w:rsid w:val="00D134CA"/>
    <w:rsid w:val="00D47AB8"/>
    <w:rsid w:val="00D50F49"/>
    <w:rsid w:val="00D52D5F"/>
    <w:rsid w:val="00D949A3"/>
    <w:rsid w:val="00D95CDC"/>
    <w:rsid w:val="00DA1C8A"/>
    <w:rsid w:val="00DB44F0"/>
    <w:rsid w:val="00DC2582"/>
    <w:rsid w:val="00DD109E"/>
    <w:rsid w:val="00DD3E18"/>
    <w:rsid w:val="00DF17A8"/>
    <w:rsid w:val="00E05BA8"/>
    <w:rsid w:val="00E12103"/>
    <w:rsid w:val="00E15AAE"/>
    <w:rsid w:val="00E21184"/>
    <w:rsid w:val="00E40B8B"/>
    <w:rsid w:val="00E5742E"/>
    <w:rsid w:val="00E90D7D"/>
    <w:rsid w:val="00E92F94"/>
    <w:rsid w:val="00EA265F"/>
    <w:rsid w:val="00EC14BC"/>
    <w:rsid w:val="00ED43FF"/>
    <w:rsid w:val="00EE6600"/>
    <w:rsid w:val="00EF1D6A"/>
    <w:rsid w:val="00EF2E51"/>
    <w:rsid w:val="00F31E24"/>
    <w:rsid w:val="00F42BDB"/>
    <w:rsid w:val="00F52474"/>
    <w:rsid w:val="00F5529D"/>
    <w:rsid w:val="00F5669E"/>
    <w:rsid w:val="00F75D33"/>
    <w:rsid w:val="00F863BD"/>
    <w:rsid w:val="00F954CF"/>
    <w:rsid w:val="00FB2E64"/>
    <w:rsid w:val="00FC0794"/>
    <w:rsid w:val="00FC6579"/>
    <w:rsid w:val="00FD3FB3"/>
    <w:rsid w:val="00FE1053"/>
    <w:rsid w:val="00FE32F1"/>
    <w:rsid w:val="00FE6904"/>
    <w:rsid w:val="00FE6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FE1053"/>
    <w:pPr>
      <w:spacing w:before="70" w:after="70" w:line="240" w:lineRule="auto"/>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b/>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FE1053"/>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EndnoteText">
    <w:name w:val="endnote text"/>
    <w:basedOn w:val="Normal"/>
    <w:link w:val="EndnoteTextChar"/>
    <w:uiPriority w:val="99"/>
    <w:semiHidden/>
    <w:unhideWhenUsed/>
    <w:rsid w:val="0006086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6086F"/>
    <w:rPr>
      <w:sz w:val="20"/>
      <w:szCs w:val="20"/>
    </w:rPr>
  </w:style>
  <w:style w:type="character" w:styleId="EndnoteReference">
    <w:name w:val="endnote reference"/>
    <w:basedOn w:val="DefaultParagraphFont"/>
    <w:uiPriority w:val="99"/>
    <w:semiHidden/>
    <w:unhideWhenUsed/>
    <w:rsid w:val="0006086F"/>
    <w:rPr>
      <w:vertAlign w:val="superscript"/>
    </w:rPr>
  </w:style>
  <w:style w:type="paragraph" w:styleId="FootnoteText">
    <w:name w:val="footnote text"/>
    <w:basedOn w:val="Normal"/>
    <w:link w:val="FootnoteTextChar"/>
    <w:uiPriority w:val="99"/>
    <w:semiHidden/>
    <w:unhideWhenUsed/>
    <w:rsid w:val="0006086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6086F"/>
    <w:rPr>
      <w:sz w:val="20"/>
      <w:szCs w:val="20"/>
    </w:rPr>
  </w:style>
  <w:style w:type="character" w:styleId="FootnoteReference">
    <w:name w:val="footnote reference"/>
    <w:basedOn w:val="DefaultParagraphFont"/>
    <w:uiPriority w:val="99"/>
    <w:semiHidden/>
    <w:unhideWhenUsed/>
    <w:rsid w:val="0006086F"/>
    <w:rPr>
      <w:vertAlign w:val="superscript"/>
    </w:rPr>
  </w:style>
  <w:style w:type="character" w:styleId="CommentReference">
    <w:name w:val="annotation reference"/>
    <w:basedOn w:val="DefaultParagraphFont"/>
    <w:uiPriority w:val="99"/>
    <w:semiHidden/>
    <w:unhideWhenUsed/>
    <w:rsid w:val="00822F58"/>
    <w:rPr>
      <w:sz w:val="16"/>
      <w:szCs w:val="16"/>
    </w:rPr>
  </w:style>
  <w:style w:type="paragraph" w:styleId="CommentText">
    <w:name w:val="annotation text"/>
    <w:basedOn w:val="Normal"/>
    <w:link w:val="CommentTextChar"/>
    <w:uiPriority w:val="99"/>
    <w:semiHidden/>
    <w:unhideWhenUsed/>
    <w:rsid w:val="00822F58"/>
    <w:pPr>
      <w:spacing w:line="240" w:lineRule="auto"/>
    </w:pPr>
    <w:rPr>
      <w:sz w:val="20"/>
      <w:szCs w:val="20"/>
    </w:rPr>
  </w:style>
  <w:style w:type="character" w:customStyle="1" w:styleId="CommentTextChar">
    <w:name w:val="Comment Text Char"/>
    <w:basedOn w:val="DefaultParagraphFont"/>
    <w:link w:val="CommentText"/>
    <w:uiPriority w:val="99"/>
    <w:semiHidden/>
    <w:rsid w:val="00822F58"/>
    <w:rPr>
      <w:sz w:val="20"/>
      <w:szCs w:val="20"/>
    </w:rPr>
  </w:style>
  <w:style w:type="paragraph" w:styleId="CommentSubject">
    <w:name w:val="annotation subject"/>
    <w:basedOn w:val="CommentText"/>
    <w:next w:val="CommentText"/>
    <w:link w:val="CommentSubjectChar"/>
    <w:uiPriority w:val="99"/>
    <w:semiHidden/>
    <w:unhideWhenUsed/>
    <w:rsid w:val="00822F58"/>
    <w:rPr>
      <w:b/>
      <w:bCs/>
    </w:rPr>
  </w:style>
  <w:style w:type="character" w:customStyle="1" w:styleId="CommentSubjectChar">
    <w:name w:val="Comment Subject Char"/>
    <w:basedOn w:val="CommentTextChar"/>
    <w:link w:val="CommentSubject"/>
    <w:uiPriority w:val="99"/>
    <w:semiHidden/>
    <w:rsid w:val="00822F58"/>
    <w:rPr>
      <w:b/>
      <w:bCs/>
      <w:sz w:val="20"/>
      <w:szCs w:val="20"/>
    </w:rPr>
  </w:style>
  <w:style w:type="paragraph" w:styleId="Revision">
    <w:name w:val="Revision"/>
    <w:hidden/>
    <w:uiPriority w:val="99"/>
    <w:semiHidden/>
    <w:rsid w:val="00B80B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FE1053"/>
    <w:pPr>
      <w:spacing w:before="70" w:after="70" w:line="240" w:lineRule="auto"/>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b/>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FE1053"/>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EndnoteText">
    <w:name w:val="endnote text"/>
    <w:basedOn w:val="Normal"/>
    <w:link w:val="EndnoteTextChar"/>
    <w:uiPriority w:val="99"/>
    <w:semiHidden/>
    <w:unhideWhenUsed/>
    <w:rsid w:val="0006086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6086F"/>
    <w:rPr>
      <w:sz w:val="20"/>
      <w:szCs w:val="20"/>
    </w:rPr>
  </w:style>
  <w:style w:type="character" w:styleId="EndnoteReference">
    <w:name w:val="endnote reference"/>
    <w:basedOn w:val="DefaultParagraphFont"/>
    <w:uiPriority w:val="99"/>
    <w:semiHidden/>
    <w:unhideWhenUsed/>
    <w:rsid w:val="0006086F"/>
    <w:rPr>
      <w:vertAlign w:val="superscript"/>
    </w:rPr>
  </w:style>
  <w:style w:type="paragraph" w:styleId="FootnoteText">
    <w:name w:val="footnote text"/>
    <w:basedOn w:val="Normal"/>
    <w:link w:val="FootnoteTextChar"/>
    <w:uiPriority w:val="99"/>
    <w:semiHidden/>
    <w:unhideWhenUsed/>
    <w:rsid w:val="0006086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6086F"/>
    <w:rPr>
      <w:sz w:val="20"/>
      <w:szCs w:val="20"/>
    </w:rPr>
  </w:style>
  <w:style w:type="character" w:styleId="FootnoteReference">
    <w:name w:val="footnote reference"/>
    <w:basedOn w:val="DefaultParagraphFont"/>
    <w:uiPriority w:val="99"/>
    <w:semiHidden/>
    <w:unhideWhenUsed/>
    <w:rsid w:val="0006086F"/>
    <w:rPr>
      <w:vertAlign w:val="superscript"/>
    </w:rPr>
  </w:style>
  <w:style w:type="character" w:styleId="CommentReference">
    <w:name w:val="annotation reference"/>
    <w:basedOn w:val="DefaultParagraphFont"/>
    <w:uiPriority w:val="99"/>
    <w:semiHidden/>
    <w:unhideWhenUsed/>
    <w:rsid w:val="00822F58"/>
    <w:rPr>
      <w:sz w:val="16"/>
      <w:szCs w:val="16"/>
    </w:rPr>
  </w:style>
  <w:style w:type="paragraph" w:styleId="CommentText">
    <w:name w:val="annotation text"/>
    <w:basedOn w:val="Normal"/>
    <w:link w:val="CommentTextChar"/>
    <w:uiPriority w:val="99"/>
    <w:semiHidden/>
    <w:unhideWhenUsed/>
    <w:rsid w:val="00822F58"/>
    <w:pPr>
      <w:spacing w:line="240" w:lineRule="auto"/>
    </w:pPr>
    <w:rPr>
      <w:sz w:val="20"/>
      <w:szCs w:val="20"/>
    </w:rPr>
  </w:style>
  <w:style w:type="character" w:customStyle="1" w:styleId="CommentTextChar">
    <w:name w:val="Comment Text Char"/>
    <w:basedOn w:val="DefaultParagraphFont"/>
    <w:link w:val="CommentText"/>
    <w:uiPriority w:val="99"/>
    <w:semiHidden/>
    <w:rsid w:val="00822F58"/>
    <w:rPr>
      <w:sz w:val="20"/>
      <w:szCs w:val="20"/>
    </w:rPr>
  </w:style>
  <w:style w:type="paragraph" w:styleId="CommentSubject">
    <w:name w:val="annotation subject"/>
    <w:basedOn w:val="CommentText"/>
    <w:next w:val="CommentText"/>
    <w:link w:val="CommentSubjectChar"/>
    <w:uiPriority w:val="99"/>
    <w:semiHidden/>
    <w:unhideWhenUsed/>
    <w:rsid w:val="00822F58"/>
    <w:rPr>
      <w:b/>
      <w:bCs/>
    </w:rPr>
  </w:style>
  <w:style w:type="character" w:customStyle="1" w:styleId="CommentSubjectChar">
    <w:name w:val="Comment Subject Char"/>
    <w:basedOn w:val="CommentTextChar"/>
    <w:link w:val="CommentSubject"/>
    <w:uiPriority w:val="99"/>
    <w:semiHidden/>
    <w:rsid w:val="00822F58"/>
    <w:rPr>
      <w:b/>
      <w:bCs/>
      <w:sz w:val="20"/>
      <w:szCs w:val="20"/>
    </w:rPr>
  </w:style>
  <w:style w:type="paragraph" w:styleId="Revision">
    <w:name w:val="Revision"/>
    <w:hidden/>
    <w:uiPriority w:val="99"/>
    <w:semiHidden/>
    <w:rsid w:val="00B80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news/vic/greens-oppose-income-tax-cuts-company-tax-cuts-big-busi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2F5587-0AF8-451E-9C6B-E39F2501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PBO - GRN005 - Top Marginal Tax Rates - 24 June 2016</vt:lpstr>
    </vt:vector>
  </TitlesOfParts>
  <Company>Parliament of Australia</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GRN005 - Top Marginal Tax Rates - 24 June 2016</dc:title>
  <dc:creator>Parliamentary Budget Office</dc:creator>
  <cp:lastModifiedBy>Milligan, Louise (PBO)</cp:lastModifiedBy>
  <cp:revision>10</cp:revision>
  <cp:lastPrinted>2016-06-24T07:32:00Z</cp:lastPrinted>
  <dcterms:created xsi:type="dcterms:W3CDTF">2016-06-24T10:06:00Z</dcterms:created>
  <dcterms:modified xsi:type="dcterms:W3CDTF">2016-06-27T01:35:00Z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