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E" w:rsidRPr="00417E6E" w:rsidRDefault="00417E6E" w:rsidP="00417E6E">
      <w:pPr>
        <w:spacing w:before="1560" w:after="0" w:line="240" w:lineRule="auto"/>
        <w:rPr>
          <w:rFonts w:ascii="Times New Roman" w:hAnsi="Times New Roman" w:cs="Times New Roman"/>
          <w:sz w:val="24"/>
          <w:szCs w:val="24"/>
        </w:rPr>
      </w:pPr>
      <w:r w:rsidRPr="00417E6E">
        <w:rPr>
          <w:rFonts w:ascii="Times New Roman" w:hAnsi="Times New Roman" w:cs="Times New Roman"/>
          <w:sz w:val="24"/>
          <w:szCs w:val="24"/>
        </w:rPr>
        <w:t>Senator Richard Di Natale</w:t>
      </w:r>
    </w:p>
    <w:p w:rsidR="00417E6E" w:rsidRDefault="00417E6E" w:rsidP="00417E6E">
      <w:pPr>
        <w:spacing w:before="0" w:after="0" w:line="240" w:lineRule="auto"/>
        <w:rPr>
          <w:rFonts w:ascii="Times New Roman" w:hAnsi="Times New Roman" w:cs="Times New Roman"/>
          <w:sz w:val="24"/>
          <w:szCs w:val="24"/>
        </w:rPr>
      </w:pPr>
      <w:r w:rsidRPr="00417E6E">
        <w:rPr>
          <w:rFonts w:ascii="Times New Roman" w:hAnsi="Times New Roman" w:cs="Times New Roman"/>
          <w:sz w:val="24"/>
          <w:szCs w:val="24"/>
        </w:rPr>
        <w:t>Leader of the Australian Greens</w:t>
      </w:r>
    </w:p>
    <w:p w:rsidR="00040DCE" w:rsidRPr="00002D5D" w:rsidRDefault="005C6967" w:rsidP="00417E6E">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417E6E" w:rsidRPr="00417E6E">
        <w:rPr>
          <w:rFonts w:ascii="Times New Roman" w:hAnsi="Times New Roman" w:cs="Times New Roman"/>
          <w:sz w:val="24"/>
          <w:szCs w:val="24"/>
        </w:rPr>
        <w:t>Senator</w:t>
      </w:r>
      <w:r w:rsidRPr="00002D5D">
        <w:rPr>
          <w:rFonts w:ascii="Times New Roman" w:hAnsi="Times New Roman" w:cs="Times New Roman"/>
          <w:sz w:val="24"/>
          <w:szCs w:val="24"/>
        </w:rPr>
        <w:t xml:space="preserve"> </w:t>
      </w:r>
      <w:r w:rsidR="00417E6E" w:rsidRPr="00417E6E">
        <w:rPr>
          <w:rFonts w:ascii="Times New Roman" w:hAnsi="Times New Roman" w:cs="Times New Roman"/>
          <w:sz w:val="24"/>
          <w:szCs w:val="24"/>
        </w:rPr>
        <w:t>Di Natale</w:t>
      </w:r>
    </w:p>
    <w:p w:rsidR="00040DCE" w:rsidRPr="00002D5D" w:rsidRDefault="00040DCE" w:rsidP="00C17112">
      <w:pPr>
        <w:pStyle w:val="Lettertext"/>
      </w:pPr>
      <w:r w:rsidRPr="00002D5D">
        <w:t xml:space="preserve">Please find attached a response to your costing request, </w:t>
      </w:r>
      <w:r w:rsidR="00417E6E" w:rsidRPr="00417E6E">
        <w:rPr>
          <w:i/>
        </w:rPr>
        <w:t>Too-Big-To-Fail Bank Levy</w:t>
      </w:r>
      <w:r w:rsidRPr="00002D5D">
        <w:t xml:space="preserve"> (letter of </w:t>
      </w:r>
      <w:r w:rsidR="00F249C0" w:rsidRPr="00F249C0">
        <w:t>2</w:t>
      </w:r>
      <w:r w:rsidR="00733798">
        <w:t>3</w:t>
      </w:r>
      <w:r w:rsidR="00F249C0" w:rsidRPr="00F249C0">
        <w:t xml:space="preserve"> </w:t>
      </w:r>
      <w:r w:rsidR="00733798">
        <w:t>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906766" w:rsidP="00906766">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24 </w:t>
      </w:r>
      <w:bookmarkStart w:id="0" w:name="_GoBack"/>
      <w:bookmarkEnd w:id="0"/>
      <w:r w:rsidR="00F249C0">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528" w:type="dxa"/>
        <w:tblLayout w:type="fixed"/>
        <w:tblLook w:val="04A0" w:firstRow="1" w:lastRow="0" w:firstColumn="1" w:lastColumn="0" w:noHBand="0" w:noVBand="1"/>
      </w:tblPr>
      <w:tblGrid>
        <w:gridCol w:w="2763"/>
        <w:gridCol w:w="5765"/>
      </w:tblGrid>
      <w:tr w:rsidR="004D5525" w:rsidTr="00381623">
        <w:trPr>
          <w:cnfStyle w:val="100000000000" w:firstRow="1" w:lastRow="0" w:firstColumn="0" w:lastColumn="0" w:oddVBand="0" w:evenVBand="0" w:oddHBand="0" w:evenHBand="0" w:firstRowFirstColumn="0" w:firstRowLastColumn="0" w:lastRowFirstColumn="0" w:lastRowLastColumn="0"/>
        </w:trPr>
        <w:tc>
          <w:tcPr>
            <w:tcW w:w="3005" w:type="dxa"/>
          </w:tcPr>
          <w:p w:rsidR="004D5525" w:rsidRDefault="004D5525" w:rsidP="004D5525">
            <w:pPr>
              <w:pStyle w:val="BodyText"/>
            </w:pPr>
            <w:r>
              <w:t>Name of proposal:</w:t>
            </w:r>
          </w:p>
        </w:tc>
        <w:tc>
          <w:tcPr>
            <w:tcW w:w="6293" w:type="dxa"/>
          </w:tcPr>
          <w:p w:rsidR="004D5525" w:rsidRDefault="00F541C2" w:rsidP="004D5525">
            <w:pPr>
              <w:pStyle w:val="BodyText"/>
            </w:pPr>
            <w:r w:rsidRPr="00F541C2">
              <w:t>Too-Big-To-Fail Bank Levy</w:t>
            </w:r>
          </w:p>
        </w:tc>
      </w:tr>
      <w:tr w:rsidR="004D5525" w:rsidTr="00381623">
        <w:tc>
          <w:tcPr>
            <w:tcW w:w="3005" w:type="dxa"/>
          </w:tcPr>
          <w:p w:rsidR="004D5525" w:rsidRDefault="004D5525" w:rsidP="004D5525">
            <w:pPr>
              <w:pStyle w:val="BodyText"/>
            </w:pPr>
            <w:r>
              <w:t>Summary of proposal:</w:t>
            </w:r>
          </w:p>
        </w:tc>
        <w:tc>
          <w:tcPr>
            <w:tcW w:w="6293" w:type="dxa"/>
          </w:tcPr>
          <w:p w:rsidR="00F541C2" w:rsidRDefault="00F541C2" w:rsidP="00F541C2">
            <w:r>
              <w:t>The proposal would introduce a 20 basis point levy on bank assets in excess of $100 billion</w:t>
            </w:r>
            <w:r w:rsidR="00C16D91">
              <w:t>.</w:t>
            </w:r>
          </w:p>
          <w:p w:rsidR="00F541C2" w:rsidRDefault="00F541C2" w:rsidP="00F541C2">
            <w:r>
              <w:t>The levy would be deductible for the purposes of calculating company tax payable.</w:t>
            </w:r>
          </w:p>
          <w:p w:rsidR="004D5525" w:rsidRDefault="00F541C2" w:rsidP="00F541C2">
            <w:pPr>
              <w:pStyle w:val="BodyText"/>
            </w:pPr>
            <w:r>
              <w:t>The proposal wou</w:t>
            </w:r>
            <w:r w:rsidR="00450B49">
              <w:t>ld have effect from 1 September </w:t>
            </w:r>
            <w:r>
              <w:t>2016.</w:t>
            </w:r>
          </w:p>
        </w:tc>
      </w:tr>
      <w:tr w:rsidR="004D5525" w:rsidTr="00381623">
        <w:tc>
          <w:tcPr>
            <w:tcW w:w="3005" w:type="dxa"/>
          </w:tcPr>
          <w:p w:rsidR="004D5525" w:rsidRDefault="004D5525" w:rsidP="004D5525">
            <w:pPr>
              <w:pStyle w:val="BodyText"/>
            </w:pPr>
            <w:r>
              <w:t>Person/party requesting costing:</w:t>
            </w:r>
          </w:p>
        </w:tc>
        <w:tc>
          <w:tcPr>
            <w:tcW w:w="6293" w:type="dxa"/>
          </w:tcPr>
          <w:p w:rsidR="004D5525" w:rsidRDefault="001C4C55" w:rsidP="004D5525">
            <w:pPr>
              <w:pStyle w:val="BodyText"/>
            </w:pPr>
            <w:r w:rsidRPr="001C4C55">
              <w:t>Senator Richard Di Natale, Australian Greens</w:t>
            </w:r>
          </w:p>
        </w:tc>
      </w:tr>
      <w:tr w:rsidR="007D3577" w:rsidTr="00381623">
        <w:tc>
          <w:tcPr>
            <w:tcW w:w="3005" w:type="dxa"/>
          </w:tcPr>
          <w:p w:rsidR="007D3577" w:rsidRDefault="007D3577" w:rsidP="00060F22">
            <w:pPr>
              <w:pStyle w:val="BodyText"/>
            </w:pPr>
            <w:r>
              <w:t>Date of public release of policy:</w:t>
            </w:r>
          </w:p>
        </w:tc>
        <w:tc>
          <w:tcPr>
            <w:tcW w:w="6293" w:type="dxa"/>
          </w:tcPr>
          <w:p w:rsidR="007D3577" w:rsidRDefault="00C007F3" w:rsidP="00AC4172">
            <w:pPr>
              <w:pStyle w:val="BodyText"/>
            </w:pPr>
            <w:r>
              <w:t xml:space="preserve">31 </w:t>
            </w:r>
            <w:r w:rsidR="00AC4172">
              <w:t>May 2016</w:t>
            </w:r>
          </w:p>
          <w:p w:rsidR="00586FEE" w:rsidRPr="00C17112" w:rsidRDefault="00A04619" w:rsidP="00586FEE">
            <w:pPr>
              <w:pStyle w:val="BodyText"/>
            </w:pPr>
            <w:hyperlink r:id="rId13" w:history="1">
              <w:r w:rsidR="00586FEE" w:rsidRPr="00C24AE4">
                <w:rPr>
                  <w:rStyle w:val="Hyperlink"/>
                </w:rPr>
                <w:t>http://greens.org.au/sites/greens.org.au/files/20160531_Banking%20and%20Finance.pdf</w:t>
              </w:r>
            </w:hyperlink>
          </w:p>
        </w:tc>
      </w:tr>
      <w:tr w:rsidR="004D5525" w:rsidTr="00381623">
        <w:tc>
          <w:tcPr>
            <w:tcW w:w="3005" w:type="dxa"/>
          </w:tcPr>
          <w:p w:rsidR="004D5525" w:rsidRDefault="004D5525" w:rsidP="004D5525">
            <w:pPr>
              <w:pStyle w:val="BodyText"/>
            </w:pPr>
            <w:r>
              <w:t>Date costing request received:</w:t>
            </w:r>
          </w:p>
        </w:tc>
        <w:tc>
          <w:tcPr>
            <w:tcW w:w="6293" w:type="dxa"/>
          </w:tcPr>
          <w:p w:rsidR="004D5525" w:rsidRDefault="001C4C55" w:rsidP="004D5525">
            <w:pPr>
              <w:pStyle w:val="BodyText"/>
            </w:pPr>
            <w:r>
              <w:t>23 June 2016</w:t>
            </w:r>
          </w:p>
        </w:tc>
      </w:tr>
      <w:tr w:rsidR="004D5525" w:rsidTr="00381623">
        <w:tc>
          <w:tcPr>
            <w:tcW w:w="3005" w:type="dxa"/>
          </w:tcPr>
          <w:p w:rsidR="004D5525" w:rsidRDefault="004D5525" w:rsidP="004D5525">
            <w:pPr>
              <w:pStyle w:val="BodyText"/>
            </w:pPr>
            <w:r>
              <w:t>Date costing completed</w:t>
            </w:r>
          </w:p>
        </w:tc>
        <w:tc>
          <w:tcPr>
            <w:tcW w:w="6293" w:type="dxa"/>
          </w:tcPr>
          <w:p w:rsidR="004D5525" w:rsidRPr="00C17112" w:rsidRDefault="001C4C55" w:rsidP="00DB551B">
            <w:pPr>
              <w:pStyle w:val="BodyText"/>
            </w:pPr>
            <w:r>
              <w:t>2</w:t>
            </w:r>
            <w:r w:rsidR="00DB551B">
              <w:t>4</w:t>
            </w:r>
            <w:r>
              <w:t xml:space="preserve"> June 2016</w:t>
            </w:r>
          </w:p>
        </w:tc>
      </w:tr>
      <w:tr w:rsidR="004D5525" w:rsidTr="00381623">
        <w:tc>
          <w:tcPr>
            <w:tcW w:w="3005" w:type="dxa"/>
          </w:tcPr>
          <w:p w:rsidR="004D5525" w:rsidRPr="00220BE5" w:rsidRDefault="004D5525" w:rsidP="004D5525">
            <w:pPr>
              <w:pStyle w:val="BodyText"/>
            </w:pPr>
            <w:r w:rsidRPr="00220BE5">
              <w:t>Expiry date for the costing:</w:t>
            </w:r>
          </w:p>
        </w:tc>
        <w:tc>
          <w:tcPr>
            <w:tcW w:w="6293" w:type="dxa"/>
          </w:tcPr>
          <w:p w:rsidR="004D5525" w:rsidRPr="00220BE5" w:rsidRDefault="00F4535C" w:rsidP="00220BE5">
            <w:pPr>
              <w:pStyle w:val="BodyText"/>
            </w:pPr>
            <w:r>
              <w:t>Release of the next economic and fiscal outlook report</w:t>
            </w:r>
          </w:p>
        </w:tc>
      </w:tr>
    </w:tbl>
    <w:p w:rsidR="0055581F" w:rsidRPr="00002D5D" w:rsidRDefault="008030EC" w:rsidP="00FC6579">
      <w:pPr>
        <w:pStyle w:val="Heading2"/>
      </w:pPr>
      <w:r w:rsidRPr="00002D5D">
        <w:t>Costing overview</w:t>
      </w:r>
    </w:p>
    <w:p w:rsidR="005E0624" w:rsidRDefault="005E0624" w:rsidP="005E0624">
      <w:r w:rsidRPr="00B311E5">
        <w:t xml:space="preserve">This proposal </w:t>
      </w:r>
      <w:r>
        <w:t>would be</w:t>
      </w:r>
      <w:r w:rsidRPr="00B311E5">
        <w:t xml:space="preserve"> expected to increase both the </w:t>
      </w:r>
      <w:r w:rsidR="00F17407" w:rsidRPr="00B311E5">
        <w:t xml:space="preserve">fiscal </w:t>
      </w:r>
      <w:r w:rsidRPr="00B311E5">
        <w:t xml:space="preserve">and </w:t>
      </w:r>
      <w:r w:rsidR="00F17407" w:rsidRPr="00B311E5">
        <w:t xml:space="preserve">underlying cash </w:t>
      </w:r>
      <w:r w:rsidRPr="00B311E5">
        <w:t xml:space="preserve">balances by </w:t>
      </w:r>
      <w:r w:rsidRPr="00A93541">
        <w:t>$1</w:t>
      </w:r>
      <w:r>
        <w:t>4,900</w:t>
      </w:r>
      <w:r w:rsidRPr="00A93541">
        <w:t> </w:t>
      </w:r>
      <w:r>
        <w:t>m</w:t>
      </w:r>
      <w:r w:rsidRPr="00A93541">
        <w:t xml:space="preserve">illion </w:t>
      </w:r>
      <w:r w:rsidRPr="00B311E5">
        <w:t>over the 201</w:t>
      </w:r>
      <w:r>
        <w:t>6</w:t>
      </w:r>
      <w:r w:rsidRPr="00B311E5">
        <w:t>-1</w:t>
      </w:r>
      <w:r>
        <w:t>7</w:t>
      </w:r>
      <w:r w:rsidRPr="00B311E5">
        <w:t xml:space="preserve"> Budget forward estimates period.  This impact</w:t>
      </w:r>
      <w:r>
        <w:t xml:space="preserve"> entirely</w:t>
      </w:r>
      <w:r w:rsidRPr="00B311E5">
        <w:t xml:space="preserve"> reflects an increase in revenue over this period.</w:t>
      </w:r>
      <w:r>
        <w:t xml:space="preserve">  A detailed breakdown of this costing is presented at </w:t>
      </w:r>
      <w:r w:rsidRPr="00CF61CD">
        <w:rPr>
          <w:u w:val="single"/>
        </w:rPr>
        <w:t>Attachment A</w:t>
      </w:r>
      <w:r>
        <w:t>.</w:t>
      </w:r>
    </w:p>
    <w:p w:rsidR="005E0624" w:rsidRDefault="005E0624" w:rsidP="005E0624">
      <w:r w:rsidRPr="005A71B1">
        <w:t xml:space="preserve">This </w:t>
      </w:r>
      <w:r>
        <w:t>proposal would</w:t>
      </w:r>
      <w:r w:rsidRPr="005A71B1">
        <w:t xml:space="preserve"> have an ongoing impact that extends beyond the </w:t>
      </w:r>
      <w:r w:rsidR="0023211A">
        <w:t>2016</w:t>
      </w:r>
      <w:r w:rsidR="0023211A">
        <w:noBreakHyphen/>
        <w:t xml:space="preserve">17 Budget </w:t>
      </w:r>
      <w:r w:rsidRPr="005A71B1">
        <w:t>forward estimates period.</w:t>
      </w:r>
      <w:r>
        <w:t xml:space="preserve"> </w:t>
      </w:r>
    </w:p>
    <w:p w:rsidR="00CA0286" w:rsidRDefault="00CA0286" w:rsidP="00CA0286">
      <w:r w:rsidRPr="00B0106E">
        <w:t xml:space="preserve">Departmental expenses are not expected to be significant and have not been </w:t>
      </w:r>
      <w:r>
        <w:t>included</w:t>
      </w:r>
      <w:r w:rsidRPr="00B0106E">
        <w:t xml:space="preserve"> in this costing.</w:t>
      </w:r>
    </w:p>
    <w:p w:rsidR="005E0624" w:rsidRDefault="005E0624" w:rsidP="005E0624">
      <w:pPr>
        <w:pStyle w:val="Bullet2"/>
        <w:numPr>
          <w:ilvl w:val="0"/>
          <w:numId w:val="0"/>
        </w:numPr>
        <w:spacing w:before="240"/>
      </w:pPr>
      <w:r w:rsidRPr="005A71B1">
        <w:lastRenderedPageBreak/>
        <w:t xml:space="preserve">This costing is considered to be of </w:t>
      </w:r>
      <w:r>
        <w:t>low to medium</w:t>
      </w:r>
      <w:r w:rsidRPr="005A71B1">
        <w:t xml:space="preserve"> reliability. </w:t>
      </w:r>
      <w:r>
        <w:t xml:space="preserve"> While i</w:t>
      </w:r>
      <w:r w:rsidRPr="005A71B1">
        <w:t>t is based on high quality, up</w:t>
      </w:r>
      <w:r>
        <w:noBreakHyphen/>
      </w:r>
      <w:r w:rsidRPr="005A71B1">
        <w:t>to</w:t>
      </w:r>
      <w:r>
        <w:noBreakHyphen/>
      </w:r>
      <w:r w:rsidRPr="005A71B1">
        <w:t>date information</w:t>
      </w:r>
      <w:r>
        <w:t xml:space="preserve"> and</w:t>
      </w:r>
      <w:r w:rsidRPr="005A71B1">
        <w:t xml:space="preserve"> current growth forecasts</w:t>
      </w:r>
      <w:r>
        <w:t xml:space="preserve">, there is significant uncertainty around the behavioural response of banks to the proposal.  As the proposed levy would be equivalent to approximately a quarter of the income tax currently paid by the major banks, it is likely to result in a behavioural response.  However, the nature, timing and magnitude of this response </w:t>
      </w:r>
      <w:r w:rsidR="00586FEE">
        <w:t>are</w:t>
      </w:r>
      <w:r>
        <w:t xml:space="preserve"> highly uncertain and cannot be reliably estimated.</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A10683">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DA3B55">
            <w:pPr>
              <w:pStyle w:val="TableText"/>
              <w:keepNext/>
              <w:keepLines/>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DA3B55">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DA3B55">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DA3B55">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DA3B55">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DA3B55">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9A1A3C"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9A1A3C" w:rsidRPr="00B73AC8" w:rsidRDefault="009A1A3C" w:rsidP="00DA3B55">
            <w:pPr>
              <w:pStyle w:val="TableTextCentred"/>
              <w:keepNext/>
              <w:keepLines/>
              <w:ind w:left="57" w:right="57"/>
              <w:jc w:val="left"/>
              <w:rPr>
                <w:szCs w:val="20"/>
              </w:rPr>
            </w:pPr>
            <w:r w:rsidRPr="00B73AC8">
              <w:rPr>
                <w:szCs w:val="20"/>
              </w:rPr>
              <w:t>Fiscal balance</w:t>
            </w:r>
          </w:p>
        </w:tc>
        <w:tc>
          <w:tcPr>
            <w:tcW w:w="682" w:type="pct"/>
          </w:tcPr>
          <w:p w:rsidR="009A1A3C" w:rsidRPr="0062018A" w:rsidRDefault="009A1A3C" w:rsidP="009A1A3C">
            <w:pPr>
              <w:jc w:val="right"/>
              <w:cnfStyle w:val="000000100000" w:firstRow="0" w:lastRow="0" w:firstColumn="0" w:lastColumn="0" w:oddVBand="0" w:evenVBand="0" w:oddHBand="1" w:evenHBand="0" w:firstRowFirstColumn="0" w:firstRowLastColumn="0" w:lastRowFirstColumn="0" w:lastRowLastColumn="0"/>
            </w:pPr>
            <w:r w:rsidRPr="0062018A">
              <w:t>2,900</w:t>
            </w:r>
            <w:r w:rsidR="00266A90">
              <w:t>.0</w:t>
            </w:r>
          </w:p>
        </w:tc>
        <w:tc>
          <w:tcPr>
            <w:tcW w:w="682" w:type="pct"/>
          </w:tcPr>
          <w:p w:rsidR="009A1A3C" w:rsidRPr="0062018A" w:rsidRDefault="009A1A3C" w:rsidP="009A1A3C">
            <w:pPr>
              <w:jc w:val="right"/>
              <w:cnfStyle w:val="000000100000" w:firstRow="0" w:lastRow="0" w:firstColumn="0" w:lastColumn="0" w:oddVBand="0" w:evenVBand="0" w:oddHBand="1" w:evenHBand="0" w:firstRowFirstColumn="0" w:firstRowLastColumn="0" w:lastRowFirstColumn="0" w:lastRowLastColumn="0"/>
            </w:pPr>
            <w:r w:rsidRPr="0062018A">
              <w:t>3,700</w:t>
            </w:r>
            <w:r w:rsidR="00266A90">
              <w:t>.0</w:t>
            </w:r>
          </w:p>
        </w:tc>
        <w:tc>
          <w:tcPr>
            <w:tcW w:w="682" w:type="pct"/>
          </w:tcPr>
          <w:p w:rsidR="009A1A3C" w:rsidRPr="0062018A" w:rsidRDefault="009A1A3C" w:rsidP="009A1A3C">
            <w:pPr>
              <w:jc w:val="right"/>
              <w:cnfStyle w:val="000000100000" w:firstRow="0" w:lastRow="0" w:firstColumn="0" w:lastColumn="0" w:oddVBand="0" w:evenVBand="0" w:oddHBand="1" w:evenHBand="0" w:firstRowFirstColumn="0" w:firstRowLastColumn="0" w:lastRowFirstColumn="0" w:lastRowLastColumn="0"/>
            </w:pPr>
            <w:r w:rsidRPr="0062018A">
              <w:t>4,000</w:t>
            </w:r>
            <w:r w:rsidR="00266A90">
              <w:t>.0</w:t>
            </w:r>
          </w:p>
        </w:tc>
        <w:tc>
          <w:tcPr>
            <w:tcW w:w="682" w:type="pct"/>
          </w:tcPr>
          <w:p w:rsidR="009A1A3C" w:rsidRPr="0062018A" w:rsidRDefault="009A1A3C" w:rsidP="009A1A3C">
            <w:pPr>
              <w:jc w:val="right"/>
              <w:cnfStyle w:val="000000100000" w:firstRow="0" w:lastRow="0" w:firstColumn="0" w:lastColumn="0" w:oddVBand="0" w:evenVBand="0" w:oddHBand="1" w:evenHBand="0" w:firstRowFirstColumn="0" w:firstRowLastColumn="0" w:lastRowFirstColumn="0" w:lastRowLastColumn="0"/>
            </w:pPr>
            <w:r w:rsidRPr="0062018A">
              <w:t>4,300</w:t>
            </w:r>
            <w:r w:rsidR="00266A90">
              <w:t>.0</w:t>
            </w:r>
          </w:p>
        </w:tc>
        <w:tc>
          <w:tcPr>
            <w:tcW w:w="681" w:type="pct"/>
          </w:tcPr>
          <w:p w:rsidR="009A1A3C" w:rsidRPr="008A775A" w:rsidRDefault="009A1A3C" w:rsidP="009A1A3C">
            <w:pPr>
              <w:jc w:val="right"/>
              <w:cnfStyle w:val="000000100000" w:firstRow="0" w:lastRow="0" w:firstColumn="0" w:lastColumn="0" w:oddVBand="0" w:evenVBand="0" w:oddHBand="1" w:evenHBand="0" w:firstRowFirstColumn="0" w:firstRowLastColumn="0" w:lastRowFirstColumn="0" w:lastRowLastColumn="0"/>
              <w:rPr>
                <w:b/>
              </w:rPr>
            </w:pPr>
            <w:r w:rsidRPr="008A775A">
              <w:rPr>
                <w:b/>
              </w:rPr>
              <w:t>14,900</w:t>
            </w:r>
            <w:r w:rsidR="00266A90">
              <w:rPr>
                <w:b/>
              </w:rPr>
              <w:t>.0</w:t>
            </w:r>
          </w:p>
        </w:tc>
      </w:tr>
      <w:tr w:rsidR="009A1A3C"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9A1A3C" w:rsidRPr="00B73AC8" w:rsidRDefault="009A1A3C" w:rsidP="00DA3B55">
            <w:pPr>
              <w:pStyle w:val="TableTextCentred"/>
              <w:keepNext/>
              <w:keepLines/>
              <w:ind w:left="57" w:right="57"/>
              <w:jc w:val="left"/>
              <w:rPr>
                <w:szCs w:val="20"/>
              </w:rPr>
            </w:pPr>
            <w:r w:rsidRPr="00B73AC8">
              <w:rPr>
                <w:szCs w:val="20"/>
              </w:rPr>
              <w:t>Underlying cash balance</w:t>
            </w:r>
          </w:p>
        </w:tc>
        <w:tc>
          <w:tcPr>
            <w:tcW w:w="682" w:type="pct"/>
          </w:tcPr>
          <w:p w:rsidR="009A1A3C" w:rsidRPr="0062018A" w:rsidRDefault="009A1A3C" w:rsidP="009A1A3C">
            <w:pPr>
              <w:jc w:val="right"/>
              <w:cnfStyle w:val="000000000000" w:firstRow="0" w:lastRow="0" w:firstColumn="0" w:lastColumn="0" w:oddVBand="0" w:evenVBand="0" w:oddHBand="0" w:evenHBand="0" w:firstRowFirstColumn="0" w:firstRowLastColumn="0" w:lastRowFirstColumn="0" w:lastRowLastColumn="0"/>
            </w:pPr>
            <w:r w:rsidRPr="0062018A">
              <w:t>2,900</w:t>
            </w:r>
            <w:r w:rsidR="00266A90">
              <w:t>.0</w:t>
            </w:r>
          </w:p>
        </w:tc>
        <w:tc>
          <w:tcPr>
            <w:tcW w:w="682" w:type="pct"/>
          </w:tcPr>
          <w:p w:rsidR="009A1A3C" w:rsidRPr="0062018A" w:rsidRDefault="009A1A3C" w:rsidP="009A1A3C">
            <w:pPr>
              <w:jc w:val="right"/>
              <w:cnfStyle w:val="000000000000" w:firstRow="0" w:lastRow="0" w:firstColumn="0" w:lastColumn="0" w:oddVBand="0" w:evenVBand="0" w:oddHBand="0" w:evenHBand="0" w:firstRowFirstColumn="0" w:firstRowLastColumn="0" w:lastRowFirstColumn="0" w:lastRowLastColumn="0"/>
            </w:pPr>
            <w:r w:rsidRPr="0062018A">
              <w:t>3,700</w:t>
            </w:r>
            <w:r w:rsidR="00266A90">
              <w:t>.0</w:t>
            </w:r>
          </w:p>
        </w:tc>
        <w:tc>
          <w:tcPr>
            <w:tcW w:w="682" w:type="pct"/>
          </w:tcPr>
          <w:p w:rsidR="009A1A3C" w:rsidRPr="0062018A" w:rsidRDefault="009A1A3C" w:rsidP="009A1A3C">
            <w:pPr>
              <w:jc w:val="right"/>
              <w:cnfStyle w:val="000000000000" w:firstRow="0" w:lastRow="0" w:firstColumn="0" w:lastColumn="0" w:oddVBand="0" w:evenVBand="0" w:oddHBand="0" w:evenHBand="0" w:firstRowFirstColumn="0" w:firstRowLastColumn="0" w:lastRowFirstColumn="0" w:lastRowLastColumn="0"/>
            </w:pPr>
            <w:r w:rsidRPr="0062018A">
              <w:t>4,000</w:t>
            </w:r>
            <w:r w:rsidR="00266A90">
              <w:t>.0</w:t>
            </w:r>
          </w:p>
        </w:tc>
        <w:tc>
          <w:tcPr>
            <w:tcW w:w="682" w:type="pct"/>
          </w:tcPr>
          <w:p w:rsidR="009A1A3C" w:rsidRPr="0062018A" w:rsidRDefault="009A1A3C" w:rsidP="009A1A3C">
            <w:pPr>
              <w:jc w:val="right"/>
              <w:cnfStyle w:val="000000000000" w:firstRow="0" w:lastRow="0" w:firstColumn="0" w:lastColumn="0" w:oddVBand="0" w:evenVBand="0" w:oddHBand="0" w:evenHBand="0" w:firstRowFirstColumn="0" w:firstRowLastColumn="0" w:lastRowFirstColumn="0" w:lastRowLastColumn="0"/>
            </w:pPr>
            <w:r w:rsidRPr="0062018A">
              <w:t>4,300</w:t>
            </w:r>
            <w:r w:rsidR="00266A90">
              <w:t>.0</w:t>
            </w:r>
          </w:p>
        </w:tc>
        <w:tc>
          <w:tcPr>
            <w:tcW w:w="681" w:type="pct"/>
          </w:tcPr>
          <w:p w:rsidR="009A1A3C" w:rsidRPr="008A775A" w:rsidRDefault="009A1A3C" w:rsidP="009A1A3C">
            <w:pPr>
              <w:jc w:val="right"/>
              <w:cnfStyle w:val="000000000000" w:firstRow="0" w:lastRow="0" w:firstColumn="0" w:lastColumn="0" w:oddVBand="0" w:evenVBand="0" w:oddHBand="0" w:evenHBand="0" w:firstRowFirstColumn="0" w:firstRowLastColumn="0" w:lastRowFirstColumn="0" w:lastRowLastColumn="0"/>
              <w:rPr>
                <w:b/>
              </w:rPr>
            </w:pPr>
            <w:r w:rsidRPr="008A775A">
              <w:rPr>
                <w:b/>
              </w:rPr>
              <w:t>14,900</w:t>
            </w:r>
            <w:r w:rsidR="00266A90">
              <w:rPr>
                <w:b/>
              </w:rPr>
              <w:t>.0</w:t>
            </w:r>
          </w:p>
        </w:tc>
      </w:tr>
    </w:tbl>
    <w:p w:rsidR="00A10683" w:rsidRDefault="00A10683" w:rsidP="00A10683">
      <w:pPr>
        <w:pStyle w:val="Footnotes"/>
        <w:keepNext/>
        <w:keepLines/>
        <w:ind w:left="284" w:hanging="284"/>
      </w:pPr>
      <w:r w:rsidRPr="001230F4">
        <w:t>A positive number represents an increase in the relevant bu</w:t>
      </w:r>
      <w:r>
        <w:t xml:space="preserve">dget </w:t>
      </w:r>
      <w:proofErr w:type="gramStart"/>
      <w:r>
        <w:t>balance,</w:t>
      </w:r>
      <w:proofErr w:type="gramEnd"/>
      <w:r>
        <w:t xml:space="preserve"> a negative number represents a decrease.</w:t>
      </w:r>
    </w:p>
    <w:p w:rsidR="00A10683" w:rsidRPr="000A3046" w:rsidRDefault="00A10683" w:rsidP="00A10683">
      <w:pPr>
        <w:pStyle w:val="Footnotes"/>
        <w:keepNext/>
        <w:keepLines/>
        <w:ind w:left="284" w:hanging="284"/>
      </w:pPr>
      <w:r>
        <w:t>Figures may not sum to totals due to rounding.</w:t>
      </w:r>
    </w:p>
    <w:p w:rsidR="008D3909" w:rsidRPr="00FC6579" w:rsidRDefault="005E3562" w:rsidP="00E40B8B">
      <w:pPr>
        <w:pStyle w:val="Heading2"/>
      </w:pPr>
      <w:r w:rsidRPr="00FC6579">
        <w:t>Key assumptions</w:t>
      </w:r>
    </w:p>
    <w:p w:rsidR="0078245C" w:rsidRPr="00586FEE" w:rsidRDefault="0078245C" w:rsidP="00586FEE">
      <w:pPr>
        <w:pStyle w:val="Bullet1"/>
      </w:pPr>
      <w:r w:rsidRPr="00642159">
        <w:t xml:space="preserve">The </w:t>
      </w:r>
      <w:r w:rsidRPr="00586FEE">
        <w:t>levy would be payable annually in a single instalment in advance based on the estimated average value of bank assets over the year.</w:t>
      </w:r>
    </w:p>
    <w:p w:rsidR="0078245C" w:rsidRDefault="0078245C" w:rsidP="00586FEE">
      <w:pPr>
        <w:pStyle w:val="Bullet1"/>
      </w:pPr>
      <w:r w:rsidRPr="00586FEE">
        <w:t>The value</w:t>
      </w:r>
      <w:r>
        <w:t xml:space="preserve"> of bank assets is assumed to grow each year by the average growth rate in bank assets over the last five years.</w:t>
      </w:r>
    </w:p>
    <w:p w:rsidR="0078245C" w:rsidRDefault="0078245C" w:rsidP="0078245C">
      <w:pPr>
        <w:widowControl w:val="0"/>
        <w:rPr>
          <w:i/>
        </w:rPr>
      </w:pPr>
      <w:r w:rsidRPr="002A4FCA">
        <w:rPr>
          <w:i/>
        </w:rPr>
        <w:t>Behavioural assumptions</w:t>
      </w:r>
    </w:p>
    <w:p w:rsidR="0078245C" w:rsidRPr="00586FEE" w:rsidRDefault="0078245C" w:rsidP="00586FEE">
      <w:pPr>
        <w:pStyle w:val="Bullet1"/>
      </w:pPr>
      <w:r w:rsidRPr="00F41EF6">
        <w:t>The costing assumes that</w:t>
      </w:r>
      <w:r>
        <w:t>,</w:t>
      </w:r>
      <w:r w:rsidRPr="00F41EF6">
        <w:t xml:space="preserve"> </w:t>
      </w:r>
      <w:r>
        <w:t xml:space="preserve">as the levy would only apply to some banks, competition from other </w:t>
      </w:r>
      <w:r w:rsidRPr="00586FEE">
        <w:t>financial institutions would mean that the proposed levy would not be passed on to bank customers, and instead would reduce the profit and taxable income of these banks.</w:t>
      </w:r>
    </w:p>
    <w:p w:rsidR="0078245C" w:rsidRDefault="0078245C" w:rsidP="00586FEE">
      <w:pPr>
        <w:pStyle w:val="Bullet1"/>
      </w:pPr>
      <w:r w:rsidRPr="00586FEE">
        <w:t xml:space="preserve">This assumption would only have a material impact on the costing if the average marginal tax rate of bank customers was materially different from the company tax rate. </w:t>
      </w:r>
      <w:r w:rsidR="00586FEE">
        <w:t xml:space="preserve"> </w:t>
      </w:r>
      <w:r w:rsidRPr="00586FEE">
        <w:t>The costing also</w:t>
      </w:r>
      <w:r>
        <w:t xml:space="preserve"> assumes that the imposition of the levy would not change the behaviour</w:t>
      </w:r>
      <w:r w:rsidRPr="00113EA4">
        <w:rPr>
          <w:spacing w:val="-10"/>
        </w:rPr>
        <w:t xml:space="preserve"> </w:t>
      </w:r>
      <w:r>
        <w:t>of Australian banks over the short term, for instance by moving banking business offshore or restructuring businesses to get under the asset threshold.</w:t>
      </w:r>
    </w:p>
    <w:p w:rsidR="005E3562" w:rsidRPr="00002D5D" w:rsidRDefault="0078245C" w:rsidP="00586FEE">
      <w:pPr>
        <w:pStyle w:val="Bullet2"/>
      </w:pPr>
      <w:r>
        <w:t xml:space="preserve">Behavioural </w:t>
      </w:r>
      <w:r w:rsidRPr="00586FEE">
        <w:t>responses</w:t>
      </w:r>
      <w:r>
        <w:t xml:space="preserve"> of the major banks in reaction to the levy could materially affect the estimated revenue from the levy.</w:t>
      </w:r>
    </w:p>
    <w:p w:rsidR="005E3562" w:rsidRPr="00FC6579" w:rsidRDefault="005E3562" w:rsidP="00E40B8B">
      <w:pPr>
        <w:pStyle w:val="Heading2"/>
      </w:pPr>
      <w:r w:rsidRPr="00FC6579">
        <w:t>Methodology</w:t>
      </w:r>
    </w:p>
    <w:p w:rsidR="0078245C" w:rsidRDefault="0078245C" w:rsidP="0078245C">
      <w:r>
        <w:t xml:space="preserve">Total resident assets of Australian banks were obtained from the </w:t>
      </w:r>
      <w:r w:rsidR="000F42BF">
        <w:t>Australian Prudential Regulation Authority (</w:t>
      </w:r>
      <w:r>
        <w:t>APRA</w:t>
      </w:r>
      <w:r w:rsidR="000F42BF">
        <w:t>)</w:t>
      </w:r>
      <w:r>
        <w:t xml:space="preserve"> Monthly Banking Statistics for each licensed bank.  Total resident assets are defined as “all assets on the banks' domestic books that are due from residents”.  The bank assets were then tested against the proposed $100 billion threshold.  </w:t>
      </w:r>
      <w:r>
        <w:lastRenderedPageBreak/>
        <w:t>Only assets of banks that were in excess of the threshold were assessed for the levy.  An offsetting company tax deduction was then applied.</w:t>
      </w:r>
    </w:p>
    <w:p w:rsidR="005E3562" w:rsidRPr="00002D5D" w:rsidRDefault="0078245C" w:rsidP="0078245C">
      <w:r>
        <w:t>Estimates are rounded to the nearest $100 million.</w:t>
      </w:r>
    </w:p>
    <w:p w:rsidR="005E3562" w:rsidRPr="00FC6579" w:rsidRDefault="005E3562" w:rsidP="00E40B8B">
      <w:pPr>
        <w:pStyle w:val="Heading2"/>
      </w:pPr>
      <w:r w:rsidRPr="00FC6579">
        <w:t>Data sources</w:t>
      </w:r>
    </w:p>
    <w:p w:rsidR="0078245C" w:rsidRPr="0078245C" w:rsidRDefault="0078245C" w:rsidP="00586FEE">
      <w:pPr>
        <w:pStyle w:val="Bullet1"/>
      </w:pPr>
      <w:r w:rsidRPr="0078245C">
        <w:t xml:space="preserve">APRA </w:t>
      </w:r>
      <w:r w:rsidRPr="00381623">
        <w:t>Monthly Banking Statistics</w:t>
      </w:r>
    </w:p>
    <w:p w:rsidR="0078245C" w:rsidRPr="0078245C" w:rsidRDefault="0078245C" w:rsidP="00586FEE">
      <w:pPr>
        <w:pStyle w:val="Bullet1"/>
      </w:pPr>
      <w:r w:rsidRPr="0078245C">
        <w:t xml:space="preserve">APRA </w:t>
      </w:r>
      <w:r w:rsidRPr="00381623">
        <w:t>Quarterly Authorised Deposit-taking Institution Performance</w:t>
      </w:r>
      <w:r w:rsidRPr="0078245C">
        <w:t>.</w:t>
      </w:r>
    </w:p>
    <w:p w:rsidR="00C12337" w:rsidRDefault="00C12337" w:rsidP="0078245C">
      <w:pPr>
        <w:pStyle w:val="TableTextBullet"/>
        <w:numPr>
          <w:ilvl w:val="0"/>
          <w:numId w:val="0"/>
        </w:numPr>
        <w:ind w:left="284" w:hanging="171"/>
        <w:rPr>
          <w:highlight w:val="yellow"/>
        </w:rPr>
        <w:sectPr w:rsidR="00C12337" w:rsidSect="00775EAC">
          <w:headerReference w:type="first" r:id="rId14"/>
          <w:footerReference w:type="first" r:id="rId15"/>
          <w:pgSz w:w="11906" w:h="16838"/>
          <w:pgMar w:top="1361" w:right="1797" w:bottom="1474" w:left="1797" w:header="709" w:footer="709" w:gutter="0"/>
          <w:cols w:space="708"/>
          <w:titlePg/>
          <w:docGrid w:linePitch="360"/>
        </w:sectPr>
      </w:pPr>
    </w:p>
    <w:p w:rsidR="001A02D1" w:rsidRPr="00FC6579" w:rsidRDefault="001A02D1" w:rsidP="00CF3E08">
      <w:pPr>
        <w:pStyle w:val="Heading1"/>
      </w:pPr>
      <w:r w:rsidRPr="00FC6579">
        <w:lastRenderedPageBreak/>
        <w:t>Attachment A:</w:t>
      </w:r>
      <w:r w:rsidR="00841C3A">
        <w:t xml:space="preserve"> </w:t>
      </w:r>
      <w:r w:rsidR="00CF3E08" w:rsidRPr="00CF3E08">
        <w:t>Too-Big-To-Fail Bank Levy</w:t>
      </w:r>
      <w:r w:rsidR="00440E32">
        <w:t>—financial</w:t>
      </w:r>
      <w:r w:rsidR="00841C3A">
        <w:t> </w:t>
      </w:r>
      <w:r w:rsidR="00440E32">
        <w:t>implications</w:t>
      </w:r>
    </w:p>
    <w:p w:rsidR="001A02D1" w:rsidRPr="00FC6579" w:rsidRDefault="007944F0" w:rsidP="003B4FB5">
      <w:r w:rsidRPr="007944F0">
        <w:t>The following table provides a breakdown of the estimated impacts of applying a 20 basis point levy on bank assets in excess of $100 billion over the 2016-17 Budget forward estimates period.</w:t>
      </w:r>
    </w:p>
    <w:p w:rsidR="00EA5685" w:rsidRPr="00E40B8B" w:rsidRDefault="00EA5685" w:rsidP="00EA5685">
      <w:pPr>
        <w:pStyle w:val="Captionheading"/>
        <w:rPr>
          <w:vertAlign w:val="superscript"/>
        </w:rPr>
      </w:pPr>
      <w:r w:rsidRPr="00FC6579">
        <w:t xml:space="preserve">Table </w:t>
      </w:r>
      <w:r>
        <w:t>A</w:t>
      </w:r>
      <w:r w:rsidRPr="00FC6579">
        <w:t xml:space="preserve">: </w:t>
      </w:r>
      <w:r w:rsidR="00CF3E08" w:rsidRPr="00CF3E08">
        <w:t xml:space="preserve">Too-Big-To-Fail Bank Levy </w:t>
      </w:r>
      <w:r>
        <w:t>—Financial implications (outturn prices</w:t>
      </w:r>
      <w:proofErr w:type="gramStart"/>
      <w:r>
        <w:t>)</w:t>
      </w:r>
      <w:r>
        <w:rPr>
          <w:vertAlign w:val="superscript"/>
        </w:rPr>
        <w:t>(</w:t>
      </w:r>
      <w:proofErr w:type="gramEnd"/>
      <w:r>
        <w:rPr>
          <w:vertAlign w:val="superscript"/>
        </w:rPr>
        <w:t>a)</w:t>
      </w:r>
      <w:r w:rsidR="000700AC">
        <w:rPr>
          <w:vertAlign w:val="superscript"/>
        </w:rPr>
        <w:t>(b)</w:t>
      </w:r>
    </w:p>
    <w:tbl>
      <w:tblPr>
        <w:tblStyle w:val="TableGrid"/>
        <w:tblW w:w="4995" w:type="pct"/>
        <w:tblLook w:val="04A0" w:firstRow="1" w:lastRow="0" w:firstColumn="1" w:lastColumn="0" w:noHBand="0" w:noVBand="1"/>
      </w:tblPr>
      <w:tblGrid>
        <w:gridCol w:w="2644"/>
        <w:gridCol w:w="1134"/>
        <w:gridCol w:w="1134"/>
        <w:gridCol w:w="1134"/>
        <w:gridCol w:w="1134"/>
        <w:gridCol w:w="1134"/>
      </w:tblGrid>
      <w:tr w:rsidR="00EA5685" w:rsidRPr="00EF1D6A" w:rsidTr="00D559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0" w:type="pct"/>
            <w:vAlign w:val="center"/>
          </w:tcPr>
          <w:p w:rsidR="00EA5685" w:rsidRPr="00EF1D6A" w:rsidRDefault="00EA5685" w:rsidP="00D559F8">
            <w:pPr>
              <w:pStyle w:val="TableText"/>
              <w:keepNext/>
              <w:keepLines/>
              <w:spacing w:line="240" w:lineRule="auto"/>
              <w:ind w:left="57" w:right="57"/>
              <w:rPr>
                <w:rFonts w:ascii="Calibri" w:hAnsi="Calibri"/>
                <w:b/>
                <w:szCs w:val="20"/>
              </w:rPr>
            </w:pPr>
            <w:r w:rsidRPr="00EF1D6A">
              <w:rPr>
                <w:rFonts w:ascii="Calibri" w:hAnsi="Calibri"/>
                <w:szCs w:val="20"/>
              </w:rPr>
              <w:t>($m)</w:t>
            </w:r>
          </w:p>
        </w:tc>
        <w:tc>
          <w:tcPr>
            <w:tcW w:w="682" w:type="pct"/>
            <w:vAlign w:val="center"/>
          </w:tcPr>
          <w:p w:rsidR="00EA5685" w:rsidRPr="00C24267" w:rsidRDefault="00EA5685" w:rsidP="00D559F8">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vAlign w:val="center"/>
          </w:tcPr>
          <w:p w:rsidR="00EA5685" w:rsidRPr="00C24267" w:rsidRDefault="00EA5685" w:rsidP="00D559F8">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vAlign w:val="center"/>
          </w:tcPr>
          <w:p w:rsidR="00EA5685" w:rsidRPr="00C24267" w:rsidRDefault="00EA5685" w:rsidP="00D559F8">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vAlign w:val="center"/>
          </w:tcPr>
          <w:p w:rsidR="00EA5685" w:rsidRPr="00C24267" w:rsidRDefault="00EA5685" w:rsidP="00D559F8">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vAlign w:val="center"/>
          </w:tcPr>
          <w:p w:rsidR="00EA5685" w:rsidRPr="00AE30B5" w:rsidRDefault="00EA5685" w:rsidP="00D559F8">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w:t>
            </w:r>
            <w:r w:rsidRPr="00AE30B5">
              <w:rPr>
                <w:b/>
                <w:szCs w:val="20"/>
              </w:rPr>
              <w:t xml:space="preserve"> to 2019–20</w:t>
            </w:r>
          </w:p>
        </w:tc>
      </w:tr>
      <w:tr w:rsidR="00EA5685" w:rsidRPr="00EF1D6A" w:rsidTr="00D55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rsidR="00EA5685" w:rsidRPr="00AE30B5" w:rsidRDefault="00EA5685" w:rsidP="00D559F8">
            <w:pPr>
              <w:pStyle w:val="TableHeadingCentred"/>
              <w:spacing w:line="240" w:lineRule="auto"/>
              <w:ind w:left="57" w:right="57"/>
              <w:jc w:val="left"/>
              <w:rPr>
                <w:b/>
              </w:rPr>
            </w:pPr>
            <w:r w:rsidRPr="00AE30B5">
              <w:rPr>
                <w:b/>
              </w:rPr>
              <w:t xml:space="preserve">Fiscal and underlying cash balances – </w:t>
            </w:r>
            <w:r w:rsidR="00381623">
              <w:rPr>
                <w:b/>
              </w:rPr>
              <w:t>revenue</w:t>
            </w:r>
            <w:r w:rsidRPr="00AE30B5">
              <w:rPr>
                <w:b/>
              </w:rPr>
              <w:t>/</w:t>
            </w:r>
            <w:r w:rsidR="00381623">
              <w:rPr>
                <w:b/>
              </w:rPr>
              <w:t>receipts</w:t>
            </w:r>
          </w:p>
        </w:tc>
      </w:tr>
      <w:tr w:rsidR="006C17E3" w:rsidRPr="0066665A" w:rsidTr="00D559F8">
        <w:tc>
          <w:tcPr>
            <w:cnfStyle w:val="001000000000" w:firstRow="0" w:lastRow="0" w:firstColumn="1" w:lastColumn="0" w:oddVBand="0" w:evenVBand="0" w:oddHBand="0" w:evenHBand="0" w:firstRowFirstColumn="0" w:firstRowLastColumn="0" w:lastRowFirstColumn="0" w:lastRowLastColumn="0"/>
            <w:tcW w:w="1590" w:type="pct"/>
          </w:tcPr>
          <w:p w:rsidR="006C17E3" w:rsidRPr="001B7B80" w:rsidRDefault="006C17E3" w:rsidP="00D559F8">
            <w:pPr>
              <w:spacing w:before="70" w:after="70" w:line="240" w:lineRule="auto"/>
              <w:ind w:left="57" w:right="57"/>
            </w:pPr>
            <w:r w:rsidRPr="001B7B80">
              <w:t>Gross revenue raised from proposed levy</w:t>
            </w:r>
          </w:p>
        </w:tc>
        <w:tc>
          <w:tcPr>
            <w:tcW w:w="682" w:type="pct"/>
          </w:tcPr>
          <w:p w:rsidR="006C17E3" w:rsidRPr="001B7B80" w:rsidRDefault="006C17E3" w:rsidP="00D559F8">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1B7B80">
              <w:t>4,100</w:t>
            </w:r>
            <w:r w:rsidR="00266A90">
              <w:t>.0</w:t>
            </w:r>
          </w:p>
        </w:tc>
        <w:tc>
          <w:tcPr>
            <w:tcW w:w="682" w:type="pct"/>
          </w:tcPr>
          <w:p w:rsidR="006C17E3" w:rsidRPr="001B7B80" w:rsidRDefault="006C17E3" w:rsidP="00D559F8">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1B7B80">
              <w:t>5,300</w:t>
            </w:r>
            <w:r w:rsidR="00266A90">
              <w:t>.0</w:t>
            </w:r>
          </w:p>
        </w:tc>
        <w:tc>
          <w:tcPr>
            <w:tcW w:w="682" w:type="pct"/>
          </w:tcPr>
          <w:p w:rsidR="006C17E3" w:rsidRPr="001B7B80" w:rsidRDefault="006C17E3" w:rsidP="00D559F8">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1B7B80">
              <w:t>5,700</w:t>
            </w:r>
            <w:r w:rsidR="00266A90">
              <w:t>.0</w:t>
            </w:r>
          </w:p>
        </w:tc>
        <w:tc>
          <w:tcPr>
            <w:tcW w:w="682" w:type="pct"/>
          </w:tcPr>
          <w:p w:rsidR="006C17E3" w:rsidRPr="001B7B80" w:rsidRDefault="006C17E3" w:rsidP="00D559F8">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1B7B80">
              <w:t>6,100</w:t>
            </w:r>
            <w:r w:rsidR="00266A90">
              <w:t>.0</w:t>
            </w:r>
          </w:p>
        </w:tc>
        <w:tc>
          <w:tcPr>
            <w:tcW w:w="682" w:type="pct"/>
          </w:tcPr>
          <w:p w:rsidR="006C17E3" w:rsidRPr="008A775A" w:rsidRDefault="006C17E3" w:rsidP="00D559F8">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8A775A">
              <w:rPr>
                <w:b/>
              </w:rPr>
              <w:t>21,200</w:t>
            </w:r>
            <w:r w:rsidR="00266A90">
              <w:rPr>
                <w:b/>
              </w:rPr>
              <w:t>.0</w:t>
            </w:r>
          </w:p>
        </w:tc>
      </w:tr>
      <w:tr w:rsidR="006C17E3" w:rsidRPr="0066665A" w:rsidTr="00D55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6C17E3" w:rsidRPr="001B7B80" w:rsidRDefault="006C17E3" w:rsidP="00D559F8">
            <w:pPr>
              <w:spacing w:before="70" w:after="70" w:line="240" w:lineRule="auto"/>
              <w:ind w:left="57" w:right="57"/>
            </w:pPr>
            <w:r w:rsidRPr="001B7B80">
              <w:t xml:space="preserve">Impact on company tax </w:t>
            </w:r>
          </w:p>
        </w:tc>
        <w:tc>
          <w:tcPr>
            <w:tcW w:w="682" w:type="pct"/>
          </w:tcPr>
          <w:p w:rsidR="006C17E3" w:rsidRPr="001B7B80" w:rsidRDefault="006C17E3" w:rsidP="00D559F8">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1B7B80">
              <w:t>-1,200</w:t>
            </w:r>
            <w:r w:rsidR="00266A90">
              <w:t>.0</w:t>
            </w:r>
          </w:p>
        </w:tc>
        <w:tc>
          <w:tcPr>
            <w:tcW w:w="682" w:type="pct"/>
          </w:tcPr>
          <w:p w:rsidR="006C17E3" w:rsidRPr="001B7B80" w:rsidRDefault="006C17E3" w:rsidP="00D559F8">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1B7B80">
              <w:t>-1,600</w:t>
            </w:r>
            <w:r w:rsidR="00266A90">
              <w:t>.0</w:t>
            </w:r>
          </w:p>
        </w:tc>
        <w:tc>
          <w:tcPr>
            <w:tcW w:w="682" w:type="pct"/>
          </w:tcPr>
          <w:p w:rsidR="006C17E3" w:rsidRPr="001B7B80" w:rsidRDefault="006C17E3" w:rsidP="00D559F8">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1B7B80">
              <w:t>-1,700</w:t>
            </w:r>
            <w:r w:rsidR="00266A90">
              <w:t>.0</w:t>
            </w:r>
          </w:p>
        </w:tc>
        <w:tc>
          <w:tcPr>
            <w:tcW w:w="682" w:type="pct"/>
          </w:tcPr>
          <w:p w:rsidR="006C17E3" w:rsidRPr="001B7B80" w:rsidRDefault="006C17E3" w:rsidP="00D559F8">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1B7B80">
              <w:t>-1,800</w:t>
            </w:r>
            <w:r w:rsidR="00266A90">
              <w:t>.0</w:t>
            </w:r>
          </w:p>
        </w:tc>
        <w:tc>
          <w:tcPr>
            <w:tcW w:w="682" w:type="pct"/>
          </w:tcPr>
          <w:p w:rsidR="006C17E3" w:rsidRPr="008A775A" w:rsidRDefault="006C17E3" w:rsidP="00D559F8">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rPr>
            </w:pPr>
            <w:r w:rsidRPr="008A775A">
              <w:rPr>
                <w:b/>
              </w:rPr>
              <w:t>-6,300</w:t>
            </w:r>
            <w:r w:rsidR="00266A90">
              <w:rPr>
                <w:b/>
              </w:rPr>
              <w:t>.0</w:t>
            </w:r>
          </w:p>
        </w:tc>
      </w:tr>
      <w:tr w:rsidR="006C17E3" w:rsidRPr="0055406D" w:rsidTr="00D559F8">
        <w:tc>
          <w:tcPr>
            <w:cnfStyle w:val="001000000000" w:firstRow="0" w:lastRow="0" w:firstColumn="1" w:lastColumn="0" w:oddVBand="0" w:evenVBand="0" w:oddHBand="0" w:evenHBand="0" w:firstRowFirstColumn="0" w:firstRowLastColumn="0" w:lastRowFirstColumn="0" w:lastRowLastColumn="0"/>
            <w:tcW w:w="1590" w:type="pct"/>
          </w:tcPr>
          <w:p w:rsidR="006C17E3" w:rsidRPr="008A775A" w:rsidRDefault="006C17E3" w:rsidP="00D559F8">
            <w:pPr>
              <w:spacing w:before="70" w:after="70" w:line="240" w:lineRule="auto"/>
              <w:ind w:left="57" w:right="57"/>
              <w:rPr>
                <w:b/>
              </w:rPr>
            </w:pPr>
            <w:r w:rsidRPr="008A775A">
              <w:rPr>
                <w:b/>
              </w:rPr>
              <w:t>Net financial implications</w:t>
            </w:r>
          </w:p>
        </w:tc>
        <w:tc>
          <w:tcPr>
            <w:tcW w:w="682" w:type="pct"/>
          </w:tcPr>
          <w:p w:rsidR="006C17E3" w:rsidRPr="008A775A" w:rsidRDefault="006C17E3" w:rsidP="00D559F8">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8A775A">
              <w:rPr>
                <w:b/>
              </w:rPr>
              <w:t>2,900</w:t>
            </w:r>
            <w:r w:rsidR="00266A90">
              <w:rPr>
                <w:b/>
              </w:rPr>
              <w:t>.0</w:t>
            </w:r>
          </w:p>
        </w:tc>
        <w:tc>
          <w:tcPr>
            <w:tcW w:w="682" w:type="pct"/>
          </w:tcPr>
          <w:p w:rsidR="006C17E3" w:rsidRPr="008A775A" w:rsidRDefault="006C17E3" w:rsidP="00D559F8">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8A775A">
              <w:rPr>
                <w:b/>
              </w:rPr>
              <w:t>3,700</w:t>
            </w:r>
            <w:r w:rsidR="00266A90">
              <w:rPr>
                <w:b/>
              </w:rPr>
              <w:t>.0</w:t>
            </w:r>
          </w:p>
        </w:tc>
        <w:tc>
          <w:tcPr>
            <w:tcW w:w="682" w:type="pct"/>
          </w:tcPr>
          <w:p w:rsidR="006C17E3" w:rsidRPr="008A775A" w:rsidRDefault="006C17E3" w:rsidP="00D559F8">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8A775A">
              <w:rPr>
                <w:b/>
              </w:rPr>
              <w:t>4,000</w:t>
            </w:r>
            <w:r w:rsidR="00266A90">
              <w:rPr>
                <w:b/>
              </w:rPr>
              <w:t>.0</w:t>
            </w:r>
          </w:p>
        </w:tc>
        <w:tc>
          <w:tcPr>
            <w:tcW w:w="682" w:type="pct"/>
          </w:tcPr>
          <w:p w:rsidR="006C17E3" w:rsidRPr="008A775A" w:rsidRDefault="006C17E3" w:rsidP="00D559F8">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8A775A">
              <w:rPr>
                <w:b/>
              </w:rPr>
              <w:t>4,300</w:t>
            </w:r>
            <w:r w:rsidR="00266A90">
              <w:rPr>
                <w:b/>
              </w:rPr>
              <w:t>.0</w:t>
            </w:r>
          </w:p>
        </w:tc>
        <w:tc>
          <w:tcPr>
            <w:tcW w:w="682" w:type="pct"/>
          </w:tcPr>
          <w:p w:rsidR="006C17E3" w:rsidRPr="008A775A" w:rsidRDefault="006C17E3" w:rsidP="00D559F8">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8A775A">
              <w:rPr>
                <w:b/>
              </w:rPr>
              <w:t>14,900</w:t>
            </w:r>
            <w:r w:rsidR="00266A90">
              <w:rPr>
                <w:b/>
              </w:rPr>
              <w:t>.0</w:t>
            </w:r>
          </w:p>
        </w:tc>
      </w:tr>
    </w:tbl>
    <w:p w:rsidR="006A375E" w:rsidRDefault="006A375E" w:rsidP="00381623">
      <w:pPr>
        <w:pStyle w:val="Footnotes"/>
        <w:keepNext/>
        <w:keepLines/>
        <w:numPr>
          <w:ilvl w:val="0"/>
          <w:numId w:val="20"/>
        </w:numPr>
      </w:pPr>
      <w:r w:rsidRPr="001230F4">
        <w:t xml:space="preserve">A positive number </w:t>
      </w:r>
      <w:r w:rsidR="005918A3">
        <w:t xml:space="preserve">indicates </w:t>
      </w:r>
      <w:r w:rsidRPr="001230F4">
        <w:t xml:space="preserve">an increase in </w:t>
      </w:r>
      <w:r w:rsidR="002A6286">
        <w:t>revenue or a decrease in expenses or net capital investment in accrual and cash terms.  A</w:t>
      </w:r>
      <w:r>
        <w:t xml:space="preserve"> negative number </w:t>
      </w:r>
      <w:r w:rsidR="005918A3">
        <w:t>indicates a decrease in revenue or an increase in expenses or net capital investment in accrual and cash terms</w:t>
      </w:r>
      <w:r>
        <w:t>.</w:t>
      </w:r>
    </w:p>
    <w:p w:rsidR="006A375E" w:rsidRPr="000A3046" w:rsidRDefault="006A375E" w:rsidP="00421CF6">
      <w:pPr>
        <w:pStyle w:val="Footnotes"/>
      </w:pPr>
      <w:r>
        <w:t>Figures may not sum to totals due to rounding.</w:t>
      </w:r>
    </w:p>
    <w:sectPr w:rsidR="006A375E" w:rsidRPr="000A3046" w:rsidSect="00775EAC">
      <w:headerReference w:type="first" r:id="rId16"/>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C2" w:rsidRDefault="00F541C2" w:rsidP="008F588A">
      <w:pPr>
        <w:spacing w:line="240" w:lineRule="auto"/>
      </w:pPr>
      <w:r>
        <w:separator/>
      </w:r>
    </w:p>
    <w:p w:rsidR="00F541C2" w:rsidRDefault="00F541C2"/>
  </w:endnote>
  <w:endnote w:type="continuationSeparator" w:id="0">
    <w:p w:rsidR="00F541C2" w:rsidRDefault="00F541C2" w:rsidP="008F588A">
      <w:pPr>
        <w:spacing w:line="240" w:lineRule="auto"/>
      </w:pPr>
      <w:r>
        <w:continuationSeparator/>
      </w:r>
    </w:p>
    <w:p w:rsidR="00F541C2" w:rsidRDefault="00F54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C2" w:rsidRPr="00C24267" w:rsidRDefault="00F541C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A04619">
      <w:rPr>
        <w:noProof/>
      </w:rPr>
      <w:t>3</w:t>
    </w:r>
    <w:r w:rsidRPr="00C24267">
      <w:fldChar w:fldCharType="end"/>
    </w:r>
    <w:r w:rsidRPr="00C24267">
      <w:t xml:space="preserve"> of </w:t>
    </w:r>
    <w:r w:rsidR="00A04619">
      <w:fldChar w:fldCharType="begin"/>
    </w:r>
    <w:r w:rsidR="00A04619">
      <w:instrText xml:space="preserve"> NUMPAGES  \* Arabic  \* MERGEFORMAT </w:instrText>
    </w:r>
    <w:r w:rsidR="00A04619">
      <w:fldChar w:fldCharType="separate"/>
    </w:r>
    <w:r w:rsidR="00A04619">
      <w:rPr>
        <w:noProof/>
      </w:rPr>
      <w:t>5</w:t>
    </w:r>
    <w:r w:rsidR="00A046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C2" w:rsidRPr="00C24267" w:rsidRDefault="00F541C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906766">
      <w:rPr>
        <w:noProof/>
      </w:rPr>
      <w:t>1</w:t>
    </w:r>
    <w:r w:rsidRPr="00C24267">
      <w:fldChar w:fldCharType="end"/>
    </w:r>
    <w:r w:rsidRPr="00C24267">
      <w:t xml:space="preserve"> of </w:t>
    </w:r>
    <w:r w:rsidR="00A04619">
      <w:fldChar w:fldCharType="begin"/>
    </w:r>
    <w:r w:rsidR="00A04619">
      <w:instrText xml:space="preserve"> NUMPAGES  \* Arabic  \* MERGEFORMAT </w:instrText>
    </w:r>
    <w:r w:rsidR="00A04619">
      <w:fldChar w:fldCharType="separate"/>
    </w:r>
    <w:r w:rsidR="00906766">
      <w:rPr>
        <w:noProof/>
      </w:rPr>
      <w:t>5</w:t>
    </w:r>
    <w:r w:rsidR="00A0461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C2" w:rsidRPr="00C24267" w:rsidRDefault="00F541C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A04619">
      <w:rPr>
        <w:noProof/>
      </w:rPr>
      <w:t>5</w:t>
    </w:r>
    <w:r w:rsidRPr="00C24267">
      <w:fldChar w:fldCharType="end"/>
    </w:r>
    <w:r w:rsidRPr="00C24267">
      <w:t xml:space="preserve"> of </w:t>
    </w:r>
    <w:r w:rsidR="00A04619">
      <w:fldChar w:fldCharType="begin"/>
    </w:r>
    <w:r w:rsidR="00A04619">
      <w:instrText xml:space="preserve"> NUMPAGES  \* Arabic  \* MERGEFORMAT </w:instrText>
    </w:r>
    <w:r w:rsidR="00A04619">
      <w:fldChar w:fldCharType="separate"/>
    </w:r>
    <w:r w:rsidR="00A04619">
      <w:rPr>
        <w:noProof/>
      </w:rPr>
      <w:t>5</w:t>
    </w:r>
    <w:r w:rsidR="00A0461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C2" w:rsidRDefault="00F541C2" w:rsidP="008F588A">
      <w:pPr>
        <w:spacing w:line="240" w:lineRule="auto"/>
      </w:pPr>
      <w:r>
        <w:separator/>
      </w:r>
    </w:p>
    <w:p w:rsidR="00F541C2" w:rsidRDefault="00F541C2"/>
  </w:footnote>
  <w:footnote w:type="continuationSeparator" w:id="0">
    <w:p w:rsidR="00F541C2" w:rsidRDefault="00F541C2" w:rsidP="008F588A">
      <w:pPr>
        <w:spacing w:line="240" w:lineRule="auto"/>
      </w:pPr>
      <w:r>
        <w:continuationSeparator/>
      </w:r>
    </w:p>
    <w:p w:rsidR="00F541C2" w:rsidRDefault="00F541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C2" w:rsidRDefault="00F541C2" w:rsidP="00CB40E1">
    <w:pPr>
      <w:pStyle w:val="Header"/>
    </w:pPr>
    <w:r>
      <w:rPr>
        <w:noProof/>
        <w:lang w:eastAsia="en-AU"/>
      </w:rPr>
      <w:drawing>
        <wp:inline distT="0" distB="0" distL="0" distR="0" wp14:anchorId="4DE4BB12" wp14:editId="5AE98DF5">
          <wp:extent cx="2696845" cy="57213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F541C2" w:rsidRPr="00DA1C8A" w:rsidRDefault="00F541C2"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C2" w:rsidRPr="00586FEE" w:rsidRDefault="00586FEE" w:rsidP="00586FEE">
    <w:pPr>
      <w:pStyle w:val="Header"/>
    </w:pPr>
    <w:r>
      <w:rPr>
        <w:noProof/>
        <w:lang w:eastAsia="en-AU"/>
      </w:rPr>
      <w:drawing>
        <wp:inline distT="0" distB="0" distL="0" distR="0" wp14:anchorId="7CA3016E" wp14:editId="147AD006">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EE" w:rsidRPr="00586FEE" w:rsidRDefault="00586FEE" w:rsidP="00586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30E45E35"/>
    <w:multiLevelType w:val="hybridMultilevel"/>
    <w:tmpl w:val="622C8EE0"/>
    <w:lvl w:ilvl="0" w:tplc="C206D79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8">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745C3AB2"/>
    <w:multiLevelType w:val="hybridMultilevel"/>
    <w:tmpl w:val="4344EC04"/>
    <w:lvl w:ilvl="0" w:tplc="E38CF4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9"/>
  </w:num>
  <w:num w:numId="6">
    <w:abstractNumId w:val="7"/>
  </w:num>
  <w:num w:numId="7">
    <w:abstractNumId w:val="7"/>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num>
  <w:num w:numId="12">
    <w:abstractNumId w:val="0"/>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8"/>
  </w:num>
  <w:num w:numId="18">
    <w:abstractNumId w:val="2"/>
  </w:num>
  <w:num w:numId="19">
    <w:abstractNumId w:val="10"/>
  </w:num>
  <w:num w:numId="2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42"/>
    <w:rsid w:val="00002D5D"/>
    <w:rsid w:val="00015FB2"/>
    <w:rsid w:val="0002710C"/>
    <w:rsid w:val="0003004E"/>
    <w:rsid w:val="00040DCE"/>
    <w:rsid w:val="00060F22"/>
    <w:rsid w:val="000700AC"/>
    <w:rsid w:val="00096F3A"/>
    <w:rsid w:val="000A1E18"/>
    <w:rsid w:val="000C1A75"/>
    <w:rsid w:val="000C77EA"/>
    <w:rsid w:val="000F42BF"/>
    <w:rsid w:val="001278D0"/>
    <w:rsid w:val="0014239B"/>
    <w:rsid w:val="00170C72"/>
    <w:rsid w:val="001A02D1"/>
    <w:rsid w:val="001C4C55"/>
    <w:rsid w:val="00220BE5"/>
    <w:rsid w:val="0023211A"/>
    <w:rsid w:val="002422A3"/>
    <w:rsid w:val="00266A90"/>
    <w:rsid w:val="002A6286"/>
    <w:rsid w:val="002B2279"/>
    <w:rsid w:val="002C7961"/>
    <w:rsid w:val="00315E34"/>
    <w:rsid w:val="00326DE2"/>
    <w:rsid w:val="00365055"/>
    <w:rsid w:val="00381623"/>
    <w:rsid w:val="00391342"/>
    <w:rsid w:val="003B4FB5"/>
    <w:rsid w:val="003D1205"/>
    <w:rsid w:val="003D7744"/>
    <w:rsid w:val="003E4F5F"/>
    <w:rsid w:val="003F73CA"/>
    <w:rsid w:val="00405D50"/>
    <w:rsid w:val="00410A2C"/>
    <w:rsid w:val="00417E6E"/>
    <w:rsid w:val="00421CF6"/>
    <w:rsid w:val="00440E32"/>
    <w:rsid w:val="00450B49"/>
    <w:rsid w:val="00455C64"/>
    <w:rsid w:val="00461597"/>
    <w:rsid w:val="00485374"/>
    <w:rsid w:val="004B62D2"/>
    <w:rsid w:val="004B7D84"/>
    <w:rsid w:val="004C283B"/>
    <w:rsid w:val="004D13ED"/>
    <w:rsid w:val="004D5525"/>
    <w:rsid w:val="005035DA"/>
    <w:rsid w:val="00507897"/>
    <w:rsid w:val="00515A85"/>
    <w:rsid w:val="00545F24"/>
    <w:rsid w:val="0055581F"/>
    <w:rsid w:val="0056229A"/>
    <w:rsid w:val="00570154"/>
    <w:rsid w:val="00570B5A"/>
    <w:rsid w:val="00586FEE"/>
    <w:rsid w:val="00587422"/>
    <w:rsid w:val="005918A3"/>
    <w:rsid w:val="005B1A4A"/>
    <w:rsid w:val="005B7B75"/>
    <w:rsid w:val="005C6967"/>
    <w:rsid w:val="005E0624"/>
    <w:rsid w:val="005E3562"/>
    <w:rsid w:val="005F7DE0"/>
    <w:rsid w:val="006107CD"/>
    <w:rsid w:val="00640346"/>
    <w:rsid w:val="00660281"/>
    <w:rsid w:val="00660385"/>
    <w:rsid w:val="00662E65"/>
    <w:rsid w:val="0066665A"/>
    <w:rsid w:val="00692DD8"/>
    <w:rsid w:val="006A375E"/>
    <w:rsid w:val="006C17E3"/>
    <w:rsid w:val="006F0CE9"/>
    <w:rsid w:val="007202A8"/>
    <w:rsid w:val="007229A9"/>
    <w:rsid w:val="00731840"/>
    <w:rsid w:val="00733798"/>
    <w:rsid w:val="00775EAC"/>
    <w:rsid w:val="0078245C"/>
    <w:rsid w:val="007944F0"/>
    <w:rsid w:val="007B029A"/>
    <w:rsid w:val="007D33AA"/>
    <w:rsid w:val="007D3577"/>
    <w:rsid w:val="007F7BCF"/>
    <w:rsid w:val="008030EC"/>
    <w:rsid w:val="00811D6D"/>
    <w:rsid w:val="008120C1"/>
    <w:rsid w:val="00817E8E"/>
    <w:rsid w:val="00841C3A"/>
    <w:rsid w:val="00844776"/>
    <w:rsid w:val="008850D9"/>
    <w:rsid w:val="008A4578"/>
    <w:rsid w:val="008A775A"/>
    <w:rsid w:val="008C03C3"/>
    <w:rsid w:val="008D3909"/>
    <w:rsid w:val="008D6ECA"/>
    <w:rsid w:val="008F588A"/>
    <w:rsid w:val="00902D2D"/>
    <w:rsid w:val="00906766"/>
    <w:rsid w:val="00915804"/>
    <w:rsid w:val="00957285"/>
    <w:rsid w:val="009573AF"/>
    <w:rsid w:val="00977D7B"/>
    <w:rsid w:val="009836E8"/>
    <w:rsid w:val="009963ED"/>
    <w:rsid w:val="009A1A3C"/>
    <w:rsid w:val="009A41DF"/>
    <w:rsid w:val="009C5439"/>
    <w:rsid w:val="009D4063"/>
    <w:rsid w:val="00A04619"/>
    <w:rsid w:val="00A10683"/>
    <w:rsid w:val="00A15E75"/>
    <w:rsid w:val="00A41BD3"/>
    <w:rsid w:val="00A42F6C"/>
    <w:rsid w:val="00A449C2"/>
    <w:rsid w:val="00A62099"/>
    <w:rsid w:val="00A65EA3"/>
    <w:rsid w:val="00A6752B"/>
    <w:rsid w:val="00AA3D6F"/>
    <w:rsid w:val="00AB55AE"/>
    <w:rsid w:val="00AB6F7D"/>
    <w:rsid w:val="00AC4172"/>
    <w:rsid w:val="00AC7878"/>
    <w:rsid w:val="00AD493E"/>
    <w:rsid w:val="00AE30B5"/>
    <w:rsid w:val="00AE5755"/>
    <w:rsid w:val="00B06055"/>
    <w:rsid w:val="00B44D8A"/>
    <w:rsid w:val="00B73AC8"/>
    <w:rsid w:val="00B747A7"/>
    <w:rsid w:val="00BA2BBF"/>
    <w:rsid w:val="00BC559C"/>
    <w:rsid w:val="00BF6122"/>
    <w:rsid w:val="00C007F3"/>
    <w:rsid w:val="00C035E5"/>
    <w:rsid w:val="00C12337"/>
    <w:rsid w:val="00C16D91"/>
    <w:rsid w:val="00C17112"/>
    <w:rsid w:val="00C24267"/>
    <w:rsid w:val="00C62F93"/>
    <w:rsid w:val="00CA0286"/>
    <w:rsid w:val="00CA12A0"/>
    <w:rsid w:val="00CA5D42"/>
    <w:rsid w:val="00CB40E1"/>
    <w:rsid w:val="00CD7AF9"/>
    <w:rsid w:val="00CF3E08"/>
    <w:rsid w:val="00CF6DB6"/>
    <w:rsid w:val="00D00441"/>
    <w:rsid w:val="00D00C73"/>
    <w:rsid w:val="00D134CA"/>
    <w:rsid w:val="00D13C13"/>
    <w:rsid w:val="00D52D5F"/>
    <w:rsid w:val="00D559F8"/>
    <w:rsid w:val="00D949A3"/>
    <w:rsid w:val="00DA1C8A"/>
    <w:rsid w:val="00DA3B55"/>
    <w:rsid w:val="00DB44F0"/>
    <w:rsid w:val="00DB551B"/>
    <w:rsid w:val="00DD109E"/>
    <w:rsid w:val="00DD3E18"/>
    <w:rsid w:val="00E12103"/>
    <w:rsid w:val="00E15AAE"/>
    <w:rsid w:val="00E21184"/>
    <w:rsid w:val="00E40B8B"/>
    <w:rsid w:val="00E5742E"/>
    <w:rsid w:val="00E63387"/>
    <w:rsid w:val="00EA265F"/>
    <w:rsid w:val="00EA5685"/>
    <w:rsid w:val="00ED43FF"/>
    <w:rsid w:val="00EE1EC7"/>
    <w:rsid w:val="00EE6600"/>
    <w:rsid w:val="00EF1D6A"/>
    <w:rsid w:val="00EF2E51"/>
    <w:rsid w:val="00EF3F9A"/>
    <w:rsid w:val="00F17407"/>
    <w:rsid w:val="00F21865"/>
    <w:rsid w:val="00F249C0"/>
    <w:rsid w:val="00F31E24"/>
    <w:rsid w:val="00F4535C"/>
    <w:rsid w:val="00F50331"/>
    <w:rsid w:val="00F52474"/>
    <w:rsid w:val="00F541C2"/>
    <w:rsid w:val="00F5529D"/>
    <w:rsid w:val="00F5669E"/>
    <w:rsid w:val="00F75D33"/>
    <w:rsid w:val="00F81FA8"/>
    <w:rsid w:val="00F8261A"/>
    <w:rsid w:val="00F954CF"/>
    <w:rsid w:val="00F97DFF"/>
    <w:rsid w:val="00FA732D"/>
    <w:rsid w:val="00FC5312"/>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DA3B55"/>
    <w:pPr>
      <w:spacing w:before="70" w:after="70" w:line="260" w:lineRule="atLeast"/>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7"/>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Bullet4">
    <w:name w:val="Bullet 4"/>
    <w:basedOn w:val="Normal"/>
    <w:qFormat/>
    <w:rsid w:val="005E0624"/>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03004E"/>
    <w:rPr>
      <w:sz w:val="16"/>
      <w:szCs w:val="16"/>
    </w:rPr>
  </w:style>
  <w:style w:type="paragraph" w:styleId="CommentText">
    <w:name w:val="annotation text"/>
    <w:basedOn w:val="Normal"/>
    <w:link w:val="CommentTextChar"/>
    <w:uiPriority w:val="99"/>
    <w:semiHidden/>
    <w:unhideWhenUsed/>
    <w:rsid w:val="0003004E"/>
    <w:pPr>
      <w:spacing w:line="240" w:lineRule="auto"/>
    </w:pPr>
    <w:rPr>
      <w:sz w:val="20"/>
      <w:szCs w:val="20"/>
    </w:rPr>
  </w:style>
  <w:style w:type="character" w:customStyle="1" w:styleId="CommentTextChar">
    <w:name w:val="Comment Text Char"/>
    <w:basedOn w:val="DefaultParagraphFont"/>
    <w:link w:val="CommentText"/>
    <w:uiPriority w:val="99"/>
    <w:semiHidden/>
    <w:rsid w:val="0003004E"/>
    <w:rPr>
      <w:sz w:val="20"/>
      <w:szCs w:val="20"/>
    </w:rPr>
  </w:style>
  <w:style w:type="paragraph" w:styleId="CommentSubject">
    <w:name w:val="annotation subject"/>
    <w:basedOn w:val="CommentText"/>
    <w:next w:val="CommentText"/>
    <w:link w:val="CommentSubjectChar"/>
    <w:uiPriority w:val="99"/>
    <w:semiHidden/>
    <w:unhideWhenUsed/>
    <w:rsid w:val="0003004E"/>
    <w:rPr>
      <w:b/>
      <w:bCs/>
    </w:rPr>
  </w:style>
  <w:style w:type="character" w:customStyle="1" w:styleId="CommentSubjectChar">
    <w:name w:val="Comment Subject Char"/>
    <w:basedOn w:val="CommentTextChar"/>
    <w:link w:val="CommentSubject"/>
    <w:uiPriority w:val="99"/>
    <w:semiHidden/>
    <w:rsid w:val="0003004E"/>
    <w:rPr>
      <w:b/>
      <w:bCs/>
      <w:sz w:val="20"/>
      <w:szCs w:val="20"/>
    </w:rPr>
  </w:style>
  <w:style w:type="character" w:styleId="FollowedHyperlink">
    <w:name w:val="FollowedHyperlink"/>
    <w:basedOn w:val="DefaultParagraphFont"/>
    <w:uiPriority w:val="99"/>
    <w:semiHidden/>
    <w:unhideWhenUsed/>
    <w:rsid w:val="00CD7A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DA3B55"/>
    <w:pPr>
      <w:spacing w:before="70" w:after="70" w:line="260" w:lineRule="atLeast"/>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7"/>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Bullet4">
    <w:name w:val="Bullet 4"/>
    <w:basedOn w:val="Normal"/>
    <w:qFormat/>
    <w:rsid w:val="005E0624"/>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03004E"/>
    <w:rPr>
      <w:sz w:val="16"/>
      <w:szCs w:val="16"/>
    </w:rPr>
  </w:style>
  <w:style w:type="paragraph" w:styleId="CommentText">
    <w:name w:val="annotation text"/>
    <w:basedOn w:val="Normal"/>
    <w:link w:val="CommentTextChar"/>
    <w:uiPriority w:val="99"/>
    <w:semiHidden/>
    <w:unhideWhenUsed/>
    <w:rsid w:val="0003004E"/>
    <w:pPr>
      <w:spacing w:line="240" w:lineRule="auto"/>
    </w:pPr>
    <w:rPr>
      <w:sz w:val="20"/>
      <w:szCs w:val="20"/>
    </w:rPr>
  </w:style>
  <w:style w:type="character" w:customStyle="1" w:styleId="CommentTextChar">
    <w:name w:val="Comment Text Char"/>
    <w:basedOn w:val="DefaultParagraphFont"/>
    <w:link w:val="CommentText"/>
    <w:uiPriority w:val="99"/>
    <w:semiHidden/>
    <w:rsid w:val="0003004E"/>
    <w:rPr>
      <w:sz w:val="20"/>
      <w:szCs w:val="20"/>
    </w:rPr>
  </w:style>
  <w:style w:type="paragraph" w:styleId="CommentSubject">
    <w:name w:val="annotation subject"/>
    <w:basedOn w:val="CommentText"/>
    <w:next w:val="CommentText"/>
    <w:link w:val="CommentSubjectChar"/>
    <w:uiPriority w:val="99"/>
    <w:semiHidden/>
    <w:unhideWhenUsed/>
    <w:rsid w:val="0003004E"/>
    <w:rPr>
      <w:b/>
      <w:bCs/>
    </w:rPr>
  </w:style>
  <w:style w:type="character" w:customStyle="1" w:styleId="CommentSubjectChar">
    <w:name w:val="Comment Subject Char"/>
    <w:basedOn w:val="CommentTextChar"/>
    <w:link w:val="CommentSubject"/>
    <w:uiPriority w:val="99"/>
    <w:semiHidden/>
    <w:rsid w:val="0003004E"/>
    <w:rPr>
      <w:b/>
      <w:bCs/>
      <w:sz w:val="20"/>
      <w:szCs w:val="20"/>
    </w:rPr>
  </w:style>
  <w:style w:type="character" w:styleId="FollowedHyperlink">
    <w:name w:val="FollowedHyperlink"/>
    <w:basedOn w:val="DefaultParagraphFont"/>
    <w:uiPriority w:val="99"/>
    <w:semiHidden/>
    <w:unhideWhenUsed/>
    <w:rsid w:val="00CD7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sites/greens.org.au/files/20160531_Banking%20and%20Finan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23B82A4-DC85-45A0-B020-6DEA58BE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3</TotalTime>
  <Pages>5</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PBO - GRN004 - Too-Big-To-Fail Bank Levy - 24 June 2016</vt:lpstr>
    </vt:vector>
  </TitlesOfParts>
  <Company>Parliament of Australia</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GRN004 - Too-Big-To-Fail Bank Levy - 24 June 2016</dc:title>
  <dc:creator>Parliamentary Budget Office</dc:creator>
  <cp:lastModifiedBy>Milligan, Louise (PBO)</cp:lastModifiedBy>
  <cp:revision>7</cp:revision>
  <cp:lastPrinted>2016-06-24T02:17:00Z</cp:lastPrinted>
  <dcterms:created xsi:type="dcterms:W3CDTF">2016-06-24T06:17:00Z</dcterms:created>
  <dcterms:modified xsi:type="dcterms:W3CDTF">2016-06-27T01:31:00Z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