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CE" w:rsidRDefault="007463C0" w:rsidP="002132CF">
      <w:pPr>
        <w:pStyle w:val="Lettertext"/>
        <w:spacing w:before="960"/>
      </w:pPr>
      <w:r>
        <w:t>Senator</w:t>
      </w:r>
      <w:r w:rsidR="00040DCE" w:rsidRPr="00002D5D">
        <w:t xml:space="preserve"> </w:t>
      </w:r>
      <w:r w:rsidR="00BC797D">
        <w:t>Richard</w:t>
      </w:r>
      <w:r w:rsidR="00040DCE" w:rsidRPr="00002D5D">
        <w:t xml:space="preserve"> </w:t>
      </w:r>
      <w:r w:rsidR="00BC797D">
        <w:t>Di Natale</w:t>
      </w:r>
    </w:p>
    <w:p w:rsidR="00040DCE" w:rsidRPr="00002D5D" w:rsidRDefault="007463C0" w:rsidP="002132CF">
      <w:pPr>
        <w:pStyle w:val="Lettertext"/>
        <w:spacing w:before="0"/>
      </w:pPr>
      <w:r>
        <w:t>Leader of the Australian Greens</w:t>
      </w:r>
    </w:p>
    <w:p w:rsidR="00040DCE" w:rsidRPr="00002D5D" w:rsidRDefault="005C6967" w:rsidP="002132CF">
      <w:pPr>
        <w:pStyle w:val="Lettertext"/>
        <w:spacing w:before="0"/>
      </w:pPr>
      <w:r>
        <w:t>Parliament House</w:t>
      </w:r>
    </w:p>
    <w:p w:rsidR="00040DCE" w:rsidRPr="00002D5D" w:rsidRDefault="005C6967" w:rsidP="002132CF">
      <w:pPr>
        <w:pStyle w:val="Lettertext"/>
        <w:spacing w:before="0"/>
      </w:pPr>
      <w:proofErr w:type="gramStart"/>
      <w:r>
        <w:t>CANBERRA  ACT</w:t>
      </w:r>
      <w:proofErr w:type="gramEnd"/>
      <w:r>
        <w:t xml:space="preserve">  2600</w:t>
      </w:r>
    </w:p>
    <w:p w:rsidR="00040DCE" w:rsidRPr="00002D5D" w:rsidRDefault="00040DCE" w:rsidP="002132CF">
      <w:pPr>
        <w:pStyle w:val="Lettertext"/>
        <w:spacing w:before="480"/>
      </w:pPr>
      <w:r w:rsidRPr="00002D5D">
        <w:t xml:space="preserve">Dear </w:t>
      </w:r>
      <w:r w:rsidR="007463C0">
        <w:t>Senator</w:t>
      </w:r>
      <w:r w:rsidRPr="00002D5D">
        <w:t xml:space="preserve"> </w:t>
      </w:r>
      <w:r w:rsidR="007463C0">
        <w:t>Di Natale</w:t>
      </w:r>
    </w:p>
    <w:p w:rsidR="00040DCE" w:rsidRPr="00002D5D" w:rsidRDefault="00040DCE" w:rsidP="002132CF">
      <w:pPr>
        <w:pStyle w:val="Lettertext"/>
      </w:pPr>
      <w:r w:rsidRPr="00002D5D">
        <w:t xml:space="preserve">Please find attached a response to your costing request, </w:t>
      </w:r>
      <w:proofErr w:type="gramStart"/>
      <w:r w:rsidR="00BC797D">
        <w:rPr>
          <w:i/>
        </w:rPr>
        <w:t>Ending</w:t>
      </w:r>
      <w:proofErr w:type="gramEnd"/>
      <w:r w:rsidR="00BC797D">
        <w:rPr>
          <w:i/>
        </w:rPr>
        <w:t xml:space="preserve"> subsidies for fossil fuel use and extraction</w:t>
      </w:r>
      <w:r w:rsidRPr="00002D5D">
        <w:t xml:space="preserve"> (letter of </w:t>
      </w:r>
      <w:r w:rsidR="00BC797D">
        <w:t>23 June</w:t>
      </w:r>
      <w:r w:rsidRPr="00002D5D">
        <w:t xml:space="preserve"> 2016).</w:t>
      </w:r>
    </w:p>
    <w:p w:rsidR="00040DCE" w:rsidRPr="00002D5D" w:rsidRDefault="00040DCE" w:rsidP="002132CF">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2132CF">
      <w:pPr>
        <w:pStyle w:val="Lettertext"/>
      </w:pPr>
      <w:r w:rsidRPr="00002D5D">
        <w:t xml:space="preserve">If you have any queries about this costing, please </w:t>
      </w:r>
      <w:r w:rsidR="00F75D33">
        <w:t>contact Colin </w:t>
      </w:r>
      <w:r w:rsidR="003D7744">
        <w:t>Brown on (02) </w:t>
      </w:r>
      <w:r w:rsidRPr="00002D5D">
        <w:t>6277</w:t>
      </w:r>
      <w:r w:rsidR="003D7744">
        <w:t> </w:t>
      </w:r>
      <w:r w:rsidRPr="00002D5D">
        <w:t>9530.</w:t>
      </w:r>
    </w:p>
    <w:p w:rsidR="00040DCE" w:rsidRPr="00002D5D" w:rsidRDefault="00040DCE" w:rsidP="002132CF">
      <w:pPr>
        <w:pStyle w:val="Lettertext"/>
      </w:pPr>
      <w:r w:rsidRPr="00002D5D">
        <w:t>Yours sincerely</w:t>
      </w:r>
    </w:p>
    <w:p w:rsidR="00040DCE" w:rsidRPr="00002D5D" w:rsidRDefault="00DA1C8A" w:rsidP="002132CF">
      <w:pPr>
        <w:pStyle w:val="Lettertext"/>
        <w:spacing w:before="960"/>
      </w:pPr>
      <w:r w:rsidRPr="00002D5D">
        <w:t>Phil Bowen</w:t>
      </w:r>
    </w:p>
    <w:p w:rsidR="00096F3A" w:rsidRPr="00002D5D" w:rsidRDefault="0048664F" w:rsidP="0048664F">
      <w:pPr>
        <w:pStyle w:val="Lettertext"/>
        <w:spacing w:before="120"/>
      </w:pPr>
      <w:r>
        <w:t xml:space="preserve">25 </w:t>
      </w:r>
      <w:bookmarkStart w:id="0" w:name="_GoBack"/>
      <w:bookmarkEnd w:id="0"/>
      <w:r w:rsidR="00BC797D">
        <w:t>June</w:t>
      </w:r>
      <w:r w:rsidR="00040DCE" w:rsidRPr="00002D5D">
        <w:t xml:space="preserve"> </w:t>
      </w:r>
      <w:r w:rsidR="00DA1C8A" w:rsidRPr="00002D5D">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footerReference w:type="default" r:id="rId10"/>
          <w:headerReference w:type="first" r:id="rId11"/>
          <w:footerReference w:type="first" r:id="rId12"/>
          <w:pgSz w:w="11906" w:h="16838"/>
          <w:pgMar w:top="1361" w:right="1797" w:bottom="1474" w:left="1797" w:header="709" w:footer="709" w:gutter="0"/>
          <w:cols w:space="708"/>
          <w:titlePg/>
          <w:docGrid w:linePitch="360"/>
        </w:sectPr>
      </w:pPr>
    </w:p>
    <w:p w:rsidR="008F588A" w:rsidRDefault="008F588A" w:rsidP="00002D5D">
      <w:pPr>
        <w:pStyle w:val="Heading1"/>
      </w:pPr>
      <w:r w:rsidRPr="00002D5D">
        <w:lastRenderedPageBreak/>
        <w:t xml:space="preserve">Policy costing—during the caretaker period for </w:t>
      </w:r>
      <w:r w:rsidR="007D33AA" w:rsidRPr="00002D5D">
        <w:t>the 2016</w:t>
      </w:r>
      <w:r w:rsidR="00002D5D" w:rsidRPr="00002D5D">
        <w:t> </w:t>
      </w:r>
      <w:r w:rsidRPr="00002D5D">
        <w:t>general election</w:t>
      </w:r>
    </w:p>
    <w:tbl>
      <w:tblPr>
        <w:tblStyle w:val="Style1"/>
        <w:tblW w:w="8340" w:type="dxa"/>
        <w:tblLook w:val="04A0" w:firstRow="1" w:lastRow="0" w:firstColumn="1" w:lastColumn="0" w:noHBand="0" w:noVBand="1"/>
      </w:tblPr>
      <w:tblGrid>
        <w:gridCol w:w="3005"/>
        <w:gridCol w:w="5335"/>
      </w:tblGrid>
      <w:tr w:rsidR="004D5525" w:rsidRPr="00EA137C" w:rsidTr="00D52D5F">
        <w:trPr>
          <w:cnfStyle w:val="100000000000" w:firstRow="1" w:lastRow="0" w:firstColumn="0" w:lastColumn="0" w:oddVBand="0" w:evenVBand="0" w:oddHBand="0" w:evenHBand="0" w:firstRowFirstColumn="0" w:firstRowLastColumn="0" w:lastRowFirstColumn="0" w:lastRowLastColumn="0"/>
        </w:trPr>
        <w:tc>
          <w:tcPr>
            <w:tcW w:w="3005" w:type="dxa"/>
          </w:tcPr>
          <w:p w:rsidR="004D5525" w:rsidRPr="00EA137C" w:rsidRDefault="004D5525" w:rsidP="004D5525">
            <w:pPr>
              <w:pStyle w:val="BodyText"/>
              <w:rPr>
                <w:sz w:val="22"/>
              </w:rPr>
            </w:pPr>
            <w:r w:rsidRPr="00EA137C">
              <w:rPr>
                <w:sz w:val="22"/>
              </w:rPr>
              <w:t>Name of proposal:</w:t>
            </w:r>
          </w:p>
        </w:tc>
        <w:tc>
          <w:tcPr>
            <w:tcW w:w="5335" w:type="dxa"/>
          </w:tcPr>
          <w:p w:rsidR="004D5525" w:rsidRPr="00EA137C" w:rsidRDefault="00AE118C" w:rsidP="004D5525">
            <w:pPr>
              <w:pStyle w:val="BodyText"/>
              <w:rPr>
                <w:sz w:val="22"/>
              </w:rPr>
            </w:pPr>
            <w:r w:rsidRPr="00EA137C">
              <w:rPr>
                <w:sz w:val="22"/>
              </w:rPr>
              <w:t>Ending subsidies for fossil fuel use and extraction</w:t>
            </w:r>
          </w:p>
        </w:tc>
      </w:tr>
      <w:tr w:rsidR="004D5525" w:rsidTr="00D52D5F">
        <w:tc>
          <w:tcPr>
            <w:tcW w:w="3005" w:type="dxa"/>
          </w:tcPr>
          <w:p w:rsidR="004D5525" w:rsidRDefault="004D5525" w:rsidP="004D5525">
            <w:pPr>
              <w:pStyle w:val="BodyText"/>
            </w:pPr>
            <w:r>
              <w:t>Summary of proposal:</w:t>
            </w:r>
          </w:p>
        </w:tc>
        <w:tc>
          <w:tcPr>
            <w:tcW w:w="5335" w:type="dxa"/>
          </w:tcPr>
          <w:p w:rsidR="0023287E" w:rsidRDefault="004D5525" w:rsidP="0023287E">
            <w:r w:rsidRPr="0023287E">
              <w:t xml:space="preserve">The proposal would </w:t>
            </w:r>
            <w:r w:rsidR="00AE0D1C" w:rsidRPr="0023287E">
              <w:t>abolish:</w:t>
            </w:r>
          </w:p>
          <w:p w:rsidR="0023287E" w:rsidRDefault="0023287E" w:rsidP="00DC766E">
            <w:pPr>
              <w:pStyle w:val="Bullet1"/>
            </w:pPr>
            <w:r>
              <w:t xml:space="preserve">Fuel Tax Credits </w:t>
            </w:r>
            <w:r w:rsidR="000162C7">
              <w:t xml:space="preserve">(FTCs) </w:t>
            </w:r>
            <w:r>
              <w:t>for all industries except agricultural businesses</w:t>
            </w:r>
          </w:p>
          <w:p w:rsidR="0023287E" w:rsidRDefault="0003384C" w:rsidP="00DC766E">
            <w:pPr>
              <w:pStyle w:val="Bullet1"/>
            </w:pPr>
            <w:r>
              <w:t xml:space="preserve">the </w:t>
            </w:r>
            <w:r w:rsidR="0023287E">
              <w:t xml:space="preserve">frontier exploration </w:t>
            </w:r>
            <w:r w:rsidR="00B80789">
              <w:t xml:space="preserve">uplift from the </w:t>
            </w:r>
            <w:r w:rsidR="0023287E">
              <w:t xml:space="preserve">Petroleum </w:t>
            </w:r>
            <w:r w:rsidR="00B80789">
              <w:t>Resource Rent Tax (PRRT)</w:t>
            </w:r>
          </w:p>
          <w:p w:rsidR="00BB4BF7" w:rsidRPr="00C53895" w:rsidRDefault="0003384C" w:rsidP="00DC766E">
            <w:pPr>
              <w:pStyle w:val="Bullet1"/>
            </w:pPr>
            <w:r>
              <w:t xml:space="preserve">accelerated </w:t>
            </w:r>
            <w:r w:rsidR="00BB4BF7">
              <w:t xml:space="preserve">asset depreciation for aircraft, the oil and gas industry and motor vehicles (except for </w:t>
            </w:r>
            <w:r w:rsidR="00BB4BF7" w:rsidRPr="00C53895">
              <w:t>those used for agricultural purposes)</w:t>
            </w:r>
          </w:p>
          <w:p w:rsidR="00747510" w:rsidRPr="00C53895" w:rsidRDefault="0003384C" w:rsidP="00DC766E">
            <w:pPr>
              <w:pStyle w:val="Bullet1"/>
            </w:pPr>
            <w:r>
              <w:t>t</w:t>
            </w:r>
            <w:r w:rsidRPr="00C53895">
              <w:t xml:space="preserve">he </w:t>
            </w:r>
            <w:r w:rsidR="00747510" w:rsidRPr="00C53895">
              <w:t>immediate deduction for exploration and prospecting expenses for the mining industry, including the Mining Exploration Development Incentive</w:t>
            </w:r>
          </w:p>
          <w:p w:rsidR="00AE0D1C" w:rsidRPr="00C53895" w:rsidRDefault="0003384C" w:rsidP="00DC766E">
            <w:pPr>
              <w:pStyle w:val="Bullet1"/>
            </w:pPr>
            <w:proofErr w:type="gramStart"/>
            <w:r>
              <w:t>t</w:t>
            </w:r>
            <w:r w:rsidRPr="00C53895">
              <w:t>he</w:t>
            </w:r>
            <w:proofErr w:type="gramEnd"/>
            <w:r w:rsidRPr="00C53895">
              <w:t xml:space="preserve"> </w:t>
            </w:r>
            <w:r w:rsidR="00747510" w:rsidRPr="00C53895">
              <w:t xml:space="preserve">Australia-China Science and Research Fund </w:t>
            </w:r>
            <w:r w:rsidR="000162C7">
              <w:t>(ACSRF)</w:t>
            </w:r>
            <w:r w:rsidR="00492F4F">
              <w:t>.</w:t>
            </w:r>
          </w:p>
          <w:p w:rsidR="004D5525" w:rsidRDefault="004D5525" w:rsidP="00AE0D1C">
            <w:pPr>
              <w:pStyle w:val="BodyText"/>
            </w:pPr>
            <w:r w:rsidRPr="003171E9">
              <w:t xml:space="preserve">The proposal would have effect from </w:t>
            </w:r>
            <w:r w:rsidR="00AE0D1C" w:rsidRPr="003171E9">
              <w:t>1 September 2016</w:t>
            </w:r>
            <w:r w:rsidRPr="003171E9">
              <w:t>.</w:t>
            </w:r>
          </w:p>
        </w:tc>
      </w:tr>
      <w:tr w:rsidR="004D5525" w:rsidTr="00D52D5F">
        <w:tc>
          <w:tcPr>
            <w:tcW w:w="3005" w:type="dxa"/>
          </w:tcPr>
          <w:p w:rsidR="004D5525" w:rsidRDefault="004D5525" w:rsidP="004D5525">
            <w:pPr>
              <w:pStyle w:val="BodyText"/>
            </w:pPr>
            <w:r>
              <w:t>Person/party requesting costing:</w:t>
            </w:r>
          </w:p>
        </w:tc>
        <w:tc>
          <w:tcPr>
            <w:tcW w:w="5335" w:type="dxa"/>
          </w:tcPr>
          <w:p w:rsidR="004D5525" w:rsidRDefault="009133AA" w:rsidP="004D5525">
            <w:pPr>
              <w:pStyle w:val="BodyText"/>
            </w:pPr>
            <w:r>
              <w:t xml:space="preserve">Senator </w:t>
            </w:r>
            <w:r w:rsidR="00DC766E">
              <w:t xml:space="preserve">Richard </w:t>
            </w:r>
            <w:r>
              <w:t>Di Natale, Australian Greens</w:t>
            </w:r>
          </w:p>
        </w:tc>
      </w:tr>
      <w:tr w:rsidR="007D3577" w:rsidTr="00C36B71">
        <w:tc>
          <w:tcPr>
            <w:tcW w:w="3005" w:type="dxa"/>
          </w:tcPr>
          <w:p w:rsidR="007D3577" w:rsidRDefault="007D3577" w:rsidP="00C36B71">
            <w:pPr>
              <w:pStyle w:val="BodyText"/>
            </w:pPr>
            <w:r>
              <w:t>Date of public release of policy:</w:t>
            </w:r>
          </w:p>
        </w:tc>
        <w:tc>
          <w:tcPr>
            <w:tcW w:w="5335" w:type="dxa"/>
          </w:tcPr>
          <w:p w:rsidR="007D3577" w:rsidRDefault="00B8743C" w:rsidP="00C36B71">
            <w:pPr>
              <w:pStyle w:val="BodyText"/>
            </w:pPr>
            <w:r>
              <w:t>22 April 2016</w:t>
            </w:r>
          </w:p>
          <w:p w:rsidR="006569A9" w:rsidRPr="00C17112" w:rsidRDefault="00D27BBB" w:rsidP="00C36B71">
            <w:pPr>
              <w:pStyle w:val="BodyText"/>
            </w:pPr>
            <w:hyperlink r:id="rId13" w:history="1">
              <w:r w:rsidR="005C5FF5" w:rsidRPr="00AE47B3">
                <w:rPr>
                  <w:rStyle w:val="Hyperlink"/>
                </w:rPr>
                <w:t>http://greens.org.au/news/vic/australian-greens-pledge-implement-paris-agreement</w:t>
              </w:r>
            </w:hyperlink>
            <w:r w:rsidR="005C5FF5">
              <w:t xml:space="preserve"> </w:t>
            </w:r>
          </w:p>
        </w:tc>
      </w:tr>
      <w:tr w:rsidR="004D5525" w:rsidTr="00D52D5F">
        <w:tc>
          <w:tcPr>
            <w:tcW w:w="3005" w:type="dxa"/>
          </w:tcPr>
          <w:p w:rsidR="004D5525" w:rsidRDefault="004D5525" w:rsidP="004D5525">
            <w:pPr>
              <w:pStyle w:val="BodyText"/>
            </w:pPr>
            <w:r>
              <w:t>Date costing request received:</w:t>
            </w:r>
          </w:p>
        </w:tc>
        <w:tc>
          <w:tcPr>
            <w:tcW w:w="5335" w:type="dxa"/>
          </w:tcPr>
          <w:p w:rsidR="004D5525" w:rsidRDefault="00985903" w:rsidP="004D5525">
            <w:pPr>
              <w:pStyle w:val="BodyText"/>
            </w:pPr>
            <w:r>
              <w:t>23 June 2016</w:t>
            </w:r>
          </w:p>
        </w:tc>
      </w:tr>
      <w:tr w:rsidR="004D5525" w:rsidTr="00D52D5F">
        <w:tc>
          <w:tcPr>
            <w:tcW w:w="3005" w:type="dxa"/>
          </w:tcPr>
          <w:p w:rsidR="004D5525" w:rsidRDefault="004D5525" w:rsidP="004D5525">
            <w:pPr>
              <w:pStyle w:val="BodyText"/>
            </w:pPr>
            <w:r>
              <w:t>Date costing completed</w:t>
            </w:r>
          </w:p>
        </w:tc>
        <w:tc>
          <w:tcPr>
            <w:tcW w:w="5335" w:type="dxa"/>
          </w:tcPr>
          <w:p w:rsidR="004D5525" w:rsidRPr="00C17112" w:rsidRDefault="00142055" w:rsidP="005C5FF5">
            <w:pPr>
              <w:pStyle w:val="BodyText"/>
            </w:pPr>
            <w:r>
              <w:t>2</w:t>
            </w:r>
            <w:r w:rsidR="005C5FF5">
              <w:t>5</w:t>
            </w:r>
            <w:r>
              <w:t xml:space="preserve"> June 2016</w:t>
            </w:r>
          </w:p>
        </w:tc>
      </w:tr>
      <w:tr w:rsidR="004D5525" w:rsidTr="00D52D5F">
        <w:tc>
          <w:tcPr>
            <w:tcW w:w="3005" w:type="dxa"/>
          </w:tcPr>
          <w:p w:rsidR="004D5525" w:rsidRPr="00220BE5" w:rsidRDefault="004D5525" w:rsidP="004D5525">
            <w:pPr>
              <w:pStyle w:val="BodyText"/>
            </w:pPr>
            <w:r w:rsidRPr="00220BE5">
              <w:t>Expiry date for the costing:</w:t>
            </w:r>
          </w:p>
        </w:tc>
        <w:tc>
          <w:tcPr>
            <w:tcW w:w="5335" w:type="dxa"/>
          </w:tcPr>
          <w:p w:rsidR="004D5525" w:rsidRPr="00220BE5" w:rsidRDefault="005B4A0D" w:rsidP="00220BE5">
            <w:pPr>
              <w:pStyle w:val="BodyText"/>
            </w:pPr>
            <w:r>
              <w:t>Release of the next economic and fiscal outlook report</w:t>
            </w:r>
          </w:p>
        </w:tc>
      </w:tr>
    </w:tbl>
    <w:p w:rsidR="0055581F" w:rsidRPr="00002D5D" w:rsidRDefault="008030EC" w:rsidP="00FC6579">
      <w:pPr>
        <w:pStyle w:val="Heading2"/>
      </w:pPr>
      <w:r w:rsidRPr="00002D5D">
        <w:t>Costing overview</w:t>
      </w:r>
    </w:p>
    <w:p w:rsidR="004045BE" w:rsidRPr="00263A42" w:rsidRDefault="008030EC" w:rsidP="004045BE">
      <w:pPr>
        <w:autoSpaceDE w:val="0"/>
        <w:autoSpaceDN w:val="0"/>
        <w:adjustRightInd w:val="0"/>
        <w:spacing w:before="0" w:after="0" w:line="240" w:lineRule="auto"/>
        <w:rPr>
          <w:rFonts w:cs="Times New Roman"/>
        </w:rPr>
      </w:pPr>
      <w:r w:rsidRPr="00263A42">
        <w:t xml:space="preserve">This proposal </w:t>
      </w:r>
      <w:r w:rsidR="00556904">
        <w:t>would be</w:t>
      </w:r>
      <w:r w:rsidR="00556904" w:rsidRPr="00263A42">
        <w:t xml:space="preserve"> </w:t>
      </w:r>
      <w:r w:rsidRPr="00263A42">
        <w:t xml:space="preserve">expected to </w:t>
      </w:r>
      <w:r w:rsidR="00263A42" w:rsidRPr="00263A42">
        <w:t>increase</w:t>
      </w:r>
      <w:r w:rsidRPr="00263A42">
        <w:t xml:space="preserve"> the </w:t>
      </w:r>
      <w:r w:rsidR="005035DA" w:rsidRPr="00263A42">
        <w:t>fiscal balance</w:t>
      </w:r>
      <w:r w:rsidRPr="00263A42">
        <w:t xml:space="preserve"> by </w:t>
      </w:r>
      <w:r w:rsidR="00263A42" w:rsidRPr="00263A42">
        <w:rPr>
          <w:rFonts w:cs="Times New Roman"/>
        </w:rPr>
        <w:t xml:space="preserve">$23,963 </w:t>
      </w:r>
      <w:r w:rsidR="00DD3E18" w:rsidRPr="00263A42">
        <w:t>million</w:t>
      </w:r>
      <w:r w:rsidRPr="00263A42">
        <w:t xml:space="preserve"> and increase the </w:t>
      </w:r>
      <w:r w:rsidR="005035DA" w:rsidRPr="00263A42">
        <w:t>underlying cash</w:t>
      </w:r>
      <w:r w:rsidRPr="00263A42">
        <w:t xml:space="preserve"> balance by </w:t>
      </w:r>
      <w:r w:rsidR="00263A42" w:rsidRPr="00263A42">
        <w:rPr>
          <w:rFonts w:cs="Times New Roman"/>
        </w:rPr>
        <w:t>$23,113</w:t>
      </w:r>
      <w:r w:rsidRPr="00263A42">
        <w:t> </w:t>
      </w:r>
      <w:r w:rsidR="00DD3E18" w:rsidRPr="00263A42">
        <w:t>million</w:t>
      </w:r>
      <w:r w:rsidR="00263A42" w:rsidRPr="00263A42">
        <w:t xml:space="preserve"> over the 2016-17</w:t>
      </w:r>
      <w:r w:rsidRPr="00263A42">
        <w:t xml:space="preserve"> Budget forward estimates period.  </w:t>
      </w:r>
      <w:r w:rsidR="004045BE" w:rsidRPr="00263A42">
        <w:rPr>
          <w:rFonts w:cs="Times New Roman"/>
        </w:rPr>
        <w:t>The fiscal balance impact reflects a net increase in revenue of $</w:t>
      </w:r>
      <w:r w:rsidR="004045BE">
        <w:rPr>
          <w:rFonts w:cs="Times New Roman"/>
        </w:rPr>
        <w:t>1,600</w:t>
      </w:r>
      <w:r w:rsidR="005C5FF5">
        <w:rPr>
          <w:rFonts w:cs="Times New Roman"/>
        </w:rPr>
        <w:t> </w:t>
      </w:r>
      <w:r w:rsidR="004045BE">
        <w:rPr>
          <w:rFonts w:cs="Times New Roman"/>
        </w:rPr>
        <w:t xml:space="preserve">million and a decrease in </w:t>
      </w:r>
      <w:r w:rsidR="004045BE" w:rsidRPr="00263A42">
        <w:rPr>
          <w:rFonts w:cs="Times New Roman"/>
        </w:rPr>
        <w:t>expenses of $22,363 million.</w:t>
      </w:r>
    </w:p>
    <w:p w:rsidR="005C5FF5" w:rsidRPr="00F50472" w:rsidRDefault="005C5FF5" w:rsidP="005C5FF5">
      <w:r w:rsidRPr="00F50472">
        <w:lastRenderedPageBreak/>
        <w:t>The underlying cash balance impact of this proposal differs from the fiscal balance impact because of a timing difference between when the FTC expense is recognised and when it is paid.</w:t>
      </w:r>
    </w:p>
    <w:p w:rsidR="005C5FF5" w:rsidRPr="00002D5D" w:rsidRDefault="005C5FF5" w:rsidP="005C5FF5">
      <w:r w:rsidRPr="00CA72E8">
        <w:t>A detailed breakdown of t</w:t>
      </w:r>
      <w:r w:rsidR="00264CF0">
        <w:t>he components of the costing is</w:t>
      </w:r>
      <w:r w:rsidRPr="00CA72E8">
        <w:t xml:space="preserve"> included at </w:t>
      </w:r>
      <w:r w:rsidRPr="00CA72E8">
        <w:rPr>
          <w:u w:val="single"/>
        </w:rPr>
        <w:t>Attachment A</w:t>
      </w:r>
      <w:r w:rsidRPr="00CA72E8">
        <w:t>.</w:t>
      </w:r>
    </w:p>
    <w:p w:rsidR="008D3909" w:rsidRPr="00A302D8" w:rsidRDefault="00A302D8" w:rsidP="00002D5D">
      <w:r w:rsidRPr="00A302D8">
        <w:t>The proposal would have an ongoing impact that extends beyond the 2016-17 Budget for</w:t>
      </w:r>
      <w:r>
        <w:t xml:space="preserve">ward estimates period.  The revenue impacts of the proposed abolition of accelerated depreciation and immediate deductions for exploration and prospecting </w:t>
      </w:r>
      <w:r w:rsidR="005B4A0D">
        <w:t xml:space="preserve">would be expected to </w:t>
      </w:r>
      <w:r>
        <w:t>decline over time as the timing effect unwinds.</w:t>
      </w:r>
    </w:p>
    <w:p w:rsidR="008D3909" w:rsidRPr="00002D5D" w:rsidRDefault="00182685" w:rsidP="00002D5D">
      <w:r w:rsidRPr="00182685">
        <w:t xml:space="preserve">Departmental expenses as a result of abolishing the ACSRF </w:t>
      </w:r>
      <w:r w:rsidR="00556904">
        <w:t xml:space="preserve">would be </w:t>
      </w:r>
      <w:r w:rsidRPr="00182685">
        <w:t>expected to decrease by $1.</w:t>
      </w:r>
      <w:r w:rsidR="0003384C" w:rsidRPr="00182685">
        <w:t>2</w:t>
      </w:r>
      <w:r w:rsidR="0003384C">
        <w:t> </w:t>
      </w:r>
      <w:r w:rsidRPr="00182685">
        <w:t xml:space="preserve">million over the 2016-17 Budget forward estimates period. </w:t>
      </w:r>
      <w:r w:rsidR="0003384C">
        <w:t xml:space="preserve"> </w:t>
      </w:r>
      <w:r w:rsidRPr="00182685">
        <w:t>Departmental expenses for other components of th</w:t>
      </w:r>
      <w:r w:rsidR="00E509CD">
        <w:t>is</w:t>
      </w:r>
      <w:r w:rsidRPr="00182685">
        <w:t xml:space="preserve"> costing </w:t>
      </w:r>
      <w:r w:rsidR="00E509CD">
        <w:t xml:space="preserve">are </w:t>
      </w:r>
      <w:r w:rsidRPr="00182685">
        <w:t xml:space="preserve">not expected to be significant and have not been </w:t>
      </w:r>
      <w:r w:rsidR="005409CF">
        <w:t>included</w:t>
      </w:r>
      <w:r w:rsidR="00E509CD">
        <w:t xml:space="preserve"> in this costing</w:t>
      </w:r>
      <w:r w:rsidRPr="00182685">
        <w:t xml:space="preserve">. </w:t>
      </w:r>
    </w:p>
    <w:p w:rsidR="008D3909" w:rsidRPr="00002D5D" w:rsidRDefault="008D3909" w:rsidP="00002D5D">
      <w:r w:rsidRPr="002E7A99">
        <w:t xml:space="preserve">This costing is considered to be of </w:t>
      </w:r>
      <w:r w:rsidR="002E7A99" w:rsidRPr="002E7A99">
        <w:t>low</w:t>
      </w:r>
      <w:r w:rsidRPr="002E7A99">
        <w:t xml:space="preserve"> reliability</w:t>
      </w:r>
      <w:r w:rsidR="002E7A99" w:rsidRPr="002E7A99">
        <w:t xml:space="preserve"> as it is based on a number of assumptions and projected aggregate data</w:t>
      </w:r>
      <w:r w:rsidRPr="002E7A99">
        <w:t xml:space="preserve">. </w:t>
      </w:r>
    </w:p>
    <w:p w:rsidR="005E3562" w:rsidRPr="00FC6579" w:rsidRDefault="005E3562" w:rsidP="00FC6579">
      <w:pPr>
        <w:pStyle w:val="Captionheading"/>
      </w:pPr>
      <w:r w:rsidRPr="00FC6579">
        <w:t xml:space="preserve">Table </w:t>
      </w:r>
      <w:r w:rsidR="001A02D1" w:rsidRPr="00FC6579">
        <w:t>1</w:t>
      </w:r>
      <w:r w:rsidRPr="00FC6579">
        <w:t>: Financial implications (outturn prices</w:t>
      </w:r>
      <w:proofErr w:type="gramStart"/>
      <w:r w:rsidRPr="00FC6579">
        <w:t>)</w:t>
      </w:r>
      <w:r w:rsidRPr="00844776">
        <w:rPr>
          <w:vertAlign w:val="superscript"/>
        </w:rPr>
        <w:t>(</w:t>
      </w:r>
      <w:proofErr w:type="gramEnd"/>
      <w:r w:rsidRPr="00844776">
        <w:rPr>
          <w:vertAlign w:val="superscript"/>
        </w:rPr>
        <w:t>a)</w:t>
      </w:r>
      <w:r w:rsidR="0003384C">
        <w:rPr>
          <w:vertAlign w:val="superscript"/>
        </w:rPr>
        <w:t>(b)</w:t>
      </w:r>
    </w:p>
    <w:tbl>
      <w:tblPr>
        <w:tblStyle w:val="TableGrid"/>
        <w:tblW w:w="4993" w:type="pct"/>
        <w:tblLook w:val="04A0" w:firstRow="1" w:lastRow="0" w:firstColumn="1" w:lastColumn="0" w:noHBand="0" w:noVBand="1"/>
      </w:tblPr>
      <w:tblGrid>
        <w:gridCol w:w="2644"/>
        <w:gridCol w:w="1133"/>
        <w:gridCol w:w="1134"/>
        <w:gridCol w:w="1134"/>
        <w:gridCol w:w="1134"/>
        <w:gridCol w:w="1132"/>
      </w:tblGrid>
      <w:tr w:rsidR="00692DD8" w:rsidRPr="00B73AC8" w:rsidTr="00EA26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tcPr>
          <w:p w:rsidR="00CA5D42" w:rsidRPr="00B73AC8" w:rsidRDefault="00CA5D42" w:rsidP="00AE5755">
            <w:pPr>
              <w:pStyle w:val="TableText"/>
              <w:keepNext/>
              <w:keepLines/>
              <w:rPr>
                <w:rFonts w:ascii="Calibri" w:hAnsi="Calibri"/>
                <w:szCs w:val="20"/>
              </w:rPr>
            </w:pPr>
            <w:r w:rsidRPr="00B73AC8">
              <w:rPr>
                <w:rFonts w:ascii="Calibri" w:hAnsi="Calibri"/>
                <w:szCs w:val="20"/>
              </w:rPr>
              <w:t>Impact on</w:t>
            </w:r>
            <w:r w:rsidR="00461597">
              <w:rPr>
                <w:rFonts w:ascii="Calibri" w:hAnsi="Calibri"/>
                <w:szCs w:val="20"/>
              </w:rPr>
              <w:t xml:space="preserve"> ($m)</w:t>
            </w:r>
          </w:p>
        </w:tc>
        <w:tc>
          <w:tcPr>
            <w:tcW w:w="682" w:type="pct"/>
          </w:tcPr>
          <w:p w:rsidR="00CA5D42" w:rsidRPr="00B73AC8" w:rsidRDefault="00CA5D42" w:rsidP="00AE5755">
            <w:pPr>
              <w:keepNext/>
              <w:keepLines/>
              <w:spacing w:before="70" w:after="70" w:line="260" w:lineRule="atLeast"/>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2016–17</w:t>
            </w:r>
          </w:p>
        </w:tc>
        <w:tc>
          <w:tcPr>
            <w:tcW w:w="682" w:type="pct"/>
          </w:tcPr>
          <w:p w:rsidR="00CA5D42" w:rsidRPr="00B73AC8" w:rsidRDefault="00CA5D42" w:rsidP="00AE5755">
            <w:pPr>
              <w:keepNext/>
              <w:keepLines/>
              <w:spacing w:before="70" w:after="70" w:line="260" w:lineRule="atLeast"/>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2017–18</w:t>
            </w:r>
          </w:p>
        </w:tc>
        <w:tc>
          <w:tcPr>
            <w:tcW w:w="682" w:type="pct"/>
          </w:tcPr>
          <w:p w:rsidR="00CA5D42" w:rsidRPr="00B73AC8" w:rsidRDefault="00CA5D42" w:rsidP="00AE5755">
            <w:pPr>
              <w:keepNext/>
              <w:keepLines/>
              <w:spacing w:before="70" w:after="70" w:line="260" w:lineRule="atLeast"/>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2018–19</w:t>
            </w:r>
          </w:p>
        </w:tc>
        <w:tc>
          <w:tcPr>
            <w:tcW w:w="682" w:type="pct"/>
          </w:tcPr>
          <w:p w:rsidR="00CA5D42" w:rsidRPr="00B73AC8" w:rsidRDefault="00CA5D42" w:rsidP="00AE5755">
            <w:pPr>
              <w:keepNext/>
              <w:keepLines/>
              <w:spacing w:before="70" w:after="70" w:line="260" w:lineRule="atLeas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B73AC8">
              <w:rPr>
                <w:rFonts w:ascii="Calibri" w:hAnsi="Calibri"/>
                <w:szCs w:val="20"/>
              </w:rPr>
              <w:t>2019–20</w:t>
            </w:r>
          </w:p>
        </w:tc>
        <w:tc>
          <w:tcPr>
            <w:tcW w:w="681" w:type="pct"/>
          </w:tcPr>
          <w:p w:rsidR="00CA5D42" w:rsidRPr="00F97DFF" w:rsidRDefault="00CA5D42" w:rsidP="00AE5755">
            <w:pPr>
              <w:keepNext/>
              <w:keepLines/>
              <w:spacing w:before="70" w:after="70" w:line="260" w:lineRule="atLeas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F97DFF">
              <w:rPr>
                <w:rFonts w:ascii="Calibri" w:hAnsi="Calibri"/>
                <w:b/>
                <w:szCs w:val="20"/>
              </w:rPr>
              <w:t>Total</w:t>
            </w:r>
          </w:p>
        </w:tc>
      </w:tr>
      <w:tr w:rsidR="00EA265F" w:rsidRPr="00B73AC8" w:rsidTr="00EA2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tcPr>
          <w:p w:rsidR="00EA265F" w:rsidRPr="00B73AC8" w:rsidRDefault="00EA265F" w:rsidP="00AE5755">
            <w:pPr>
              <w:pStyle w:val="TableTextCentred"/>
              <w:keepNext/>
              <w:keepLines/>
              <w:jc w:val="left"/>
              <w:rPr>
                <w:szCs w:val="20"/>
              </w:rPr>
            </w:pPr>
            <w:r w:rsidRPr="00B73AC8">
              <w:rPr>
                <w:szCs w:val="20"/>
              </w:rPr>
              <w:t>Fiscal balance</w:t>
            </w:r>
          </w:p>
        </w:tc>
        <w:tc>
          <w:tcPr>
            <w:tcW w:w="682" w:type="pct"/>
          </w:tcPr>
          <w:p w:rsidR="00EA265F" w:rsidRPr="00B73AC8" w:rsidRDefault="006B05BD" w:rsidP="005223BE">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Pr>
                <w:rFonts w:ascii="Calibri" w:hAnsi="Calibri"/>
                <w:szCs w:val="20"/>
              </w:rPr>
              <w:t>4,85</w:t>
            </w:r>
            <w:r w:rsidR="005223BE">
              <w:rPr>
                <w:rFonts w:ascii="Calibri" w:hAnsi="Calibri"/>
                <w:szCs w:val="20"/>
              </w:rPr>
              <w:t>4.5</w:t>
            </w:r>
          </w:p>
        </w:tc>
        <w:tc>
          <w:tcPr>
            <w:tcW w:w="682" w:type="pct"/>
          </w:tcPr>
          <w:p w:rsidR="00EA265F" w:rsidRPr="00B73AC8" w:rsidRDefault="006B05BD" w:rsidP="005223BE">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Pr>
                <w:rFonts w:ascii="Calibri" w:hAnsi="Calibri"/>
                <w:szCs w:val="20"/>
              </w:rPr>
              <w:t>6,05</w:t>
            </w:r>
            <w:r w:rsidR="005223BE">
              <w:rPr>
                <w:rFonts w:ascii="Calibri" w:hAnsi="Calibri"/>
                <w:szCs w:val="20"/>
              </w:rPr>
              <w:t>2.8</w:t>
            </w:r>
          </w:p>
        </w:tc>
        <w:tc>
          <w:tcPr>
            <w:tcW w:w="682" w:type="pct"/>
          </w:tcPr>
          <w:p w:rsidR="00EA265F" w:rsidRPr="00B73AC8" w:rsidRDefault="006B05BD" w:rsidP="00AE575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Pr>
                <w:rFonts w:ascii="Calibri" w:hAnsi="Calibri"/>
                <w:szCs w:val="20"/>
              </w:rPr>
              <w:t>6,40</w:t>
            </w:r>
            <w:r w:rsidR="005223BE">
              <w:rPr>
                <w:rFonts w:ascii="Calibri" w:hAnsi="Calibri"/>
                <w:szCs w:val="20"/>
              </w:rPr>
              <w:t>2.6</w:t>
            </w:r>
          </w:p>
        </w:tc>
        <w:tc>
          <w:tcPr>
            <w:tcW w:w="682" w:type="pct"/>
          </w:tcPr>
          <w:p w:rsidR="00EA265F" w:rsidRPr="00B73AC8" w:rsidRDefault="006B05BD" w:rsidP="00AE575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Pr>
                <w:rFonts w:ascii="Calibri" w:hAnsi="Calibri"/>
                <w:szCs w:val="20"/>
              </w:rPr>
              <w:t>6,65</w:t>
            </w:r>
            <w:r w:rsidR="005223BE">
              <w:rPr>
                <w:rFonts w:ascii="Calibri" w:hAnsi="Calibri"/>
                <w:szCs w:val="20"/>
              </w:rPr>
              <w:t>2.6</w:t>
            </w:r>
          </w:p>
        </w:tc>
        <w:tc>
          <w:tcPr>
            <w:tcW w:w="681" w:type="pct"/>
          </w:tcPr>
          <w:p w:rsidR="00EA265F" w:rsidRPr="00F97DFF" w:rsidRDefault="006B05BD" w:rsidP="005223BE">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rFonts w:ascii="Calibri" w:hAnsi="Calibri"/>
                <w:b/>
                <w:szCs w:val="20"/>
              </w:rPr>
            </w:pPr>
            <w:r>
              <w:rPr>
                <w:rFonts w:ascii="Calibri" w:hAnsi="Calibri"/>
                <w:b/>
                <w:szCs w:val="20"/>
              </w:rPr>
              <w:t>23,96</w:t>
            </w:r>
            <w:r w:rsidR="005223BE">
              <w:rPr>
                <w:rFonts w:ascii="Calibri" w:hAnsi="Calibri"/>
                <w:b/>
                <w:szCs w:val="20"/>
              </w:rPr>
              <w:t>2.5</w:t>
            </w:r>
          </w:p>
        </w:tc>
      </w:tr>
      <w:tr w:rsidR="00692DD8" w:rsidRPr="00B73AC8" w:rsidTr="00EA265F">
        <w:tc>
          <w:tcPr>
            <w:cnfStyle w:val="001000000000" w:firstRow="0" w:lastRow="0" w:firstColumn="1" w:lastColumn="0" w:oddVBand="0" w:evenVBand="0" w:oddHBand="0" w:evenHBand="0" w:firstRowFirstColumn="0" w:firstRowLastColumn="0" w:lastRowFirstColumn="0" w:lastRowLastColumn="0"/>
            <w:tcW w:w="1591" w:type="pct"/>
          </w:tcPr>
          <w:p w:rsidR="00CA5D42" w:rsidRPr="00B73AC8" w:rsidRDefault="00CA5D42" w:rsidP="00AE5755">
            <w:pPr>
              <w:pStyle w:val="TableTextCentred"/>
              <w:keepNext/>
              <w:keepLines/>
              <w:jc w:val="left"/>
              <w:rPr>
                <w:szCs w:val="20"/>
              </w:rPr>
            </w:pPr>
            <w:r w:rsidRPr="00B73AC8">
              <w:rPr>
                <w:szCs w:val="20"/>
              </w:rPr>
              <w:t>Underlying cash balance</w:t>
            </w:r>
          </w:p>
        </w:tc>
        <w:tc>
          <w:tcPr>
            <w:tcW w:w="682" w:type="pct"/>
          </w:tcPr>
          <w:p w:rsidR="00CA5D42" w:rsidRPr="00B73AC8" w:rsidRDefault="006B05BD" w:rsidP="00AE575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Pr>
                <w:rFonts w:ascii="Calibri" w:hAnsi="Calibri"/>
                <w:szCs w:val="20"/>
              </w:rPr>
              <w:t>4,25</w:t>
            </w:r>
            <w:r w:rsidR="005223BE">
              <w:rPr>
                <w:rFonts w:ascii="Calibri" w:hAnsi="Calibri"/>
                <w:szCs w:val="20"/>
              </w:rPr>
              <w:t>4.5</w:t>
            </w:r>
          </w:p>
        </w:tc>
        <w:tc>
          <w:tcPr>
            <w:tcW w:w="682" w:type="pct"/>
          </w:tcPr>
          <w:p w:rsidR="00CA5D42" w:rsidRPr="00B73AC8" w:rsidRDefault="006B05BD" w:rsidP="00AE575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Pr>
                <w:rFonts w:ascii="Calibri" w:hAnsi="Calibri"/>
                <w:szCs w:val="20"/>
              </w:rPr>
              <w:t>5,90</w:t>
            </w:r>
            <w:r w:rsidR="005223BE">
              <w:rPr>
                <w:rFonts w:ascii="Calibri" w:hAnsi="Calibri"/>
                <w:szCs w:val="20"/>
              </w:rPr>
              <w:t>2.8</w:t>
            </w:r>
          </w:p>
        </w:tc>
        <w:tc>
          <w:tcPr>
            <w:tcW w:w="682" w:type="pct"/>
          </w:tcPr>
          <w:p w:rsidR="00CA5D42" w:rsidRPr="00B73AC8" w:rsidRDefault="006B05BD" w:rsidP="005223BE">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Pr>
                <w:rFonts w:ascii="Calibri" w:hAnsi="Calibri"/>
                <w:szCs w:val="20"/>
              </w:rPr>
              <w:t>6,35</w:t>
            </w:r>
            <w:r w:rsidR="005223BE">
              <w:rPr>
                <w:rFonts w:ascii="Calibri" w:hAnsi="Calibri"/>
                <w:szCs w:val="20"/>
              </w:rPr>
              <w:t>2.6</w:t>
            </w:r>
          </w:p>
        </w:tc>
        <w:tc>
          <w:tcPr>
            <w:tcW w:w="682" w:type="pct"/>
          </w:tcPr>
          <w:p w:rsidR="00CA5D42" w:rsidRPr="00B73AC8" w:rsidRDefault="006B05BD" w:rsidP="005223BE">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Pr>
                <w:rFonts w:ascii="Calibri" w:hAnsi="Calibri"/>
                <w:szCs w:val="20"/>
              </w:rPr>
              <w:t>6,60</w:t>
            </w:r>
            <w:r w:rsidR="005223BE">
              <w:rPr>
                <w:rFonts w:ascii="Calibri" w:hAnsi="Calibri"/>
                <w:szCs w:val="20"/>
              </w:rPr>
              <w:t>2.6</w:t>
            </w:r>
          </w:p>
        </w:tc>
        <w:tc>
          <w:tcPr>
            <w:tcW w:w="681" w:type="pct"/>
          </w:tcPr>
          <w:p w:rsidR="00CA5D42" w:rsidRPr="00F97DFF" w:rsidRDefault="006B05BD" w:rsidP="00AE575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rFonts w:ascii="Calibri" w:hAnsi="Calibri"/>
                <w:b/>
                <w:szCs w:val="20"/>
              </w:rPr>
            </w:pPr>
            <w:r>
              <w:rPr>
                <w:rFonts w:ascii="Calibri" w:hAnsi="Calibri"/>
                <w:b/>
                <w:szCs w:val="20"/>
              </w:rPr>
              <w:t>23,11</w:t>
            </w:r>
            <w:r w:rsidR="005223BE">
              <w:rPr>
                <w:rFonts w:ascii="Calibri" w:hAnsi="Calibri"/>
                <w:b/>
                <w:szCs w:val="20"/>
              </w:rPr>
              <w:t>2.5</w:t>
            </w:r>
          </w:p>
        </w:tc>
      </w:tr>
    </w:tbl>
    <w:p w:rsidR="0003384C" w:rsidRPr="0069722C" w:rsidRDefault="0003384C" w:rsidP="0069722C">
      <w:pPr>
        <w:pStyle w:val="Footnotes"/>
        <w:numPr>
          <w:ilvl w:val="0"/>
          <w:numId w:val="28"/>
        </w:numPr>
      </w:pPr>
      <w:r w:rsidRPr="0069722C">
        <w:t>A positive number indicates an increase in the relevant budget balance, a negative number a decrease.</w:t>
      </w:r>
    </w:p>
    <w:p w:rsidR="0003384C" w:rsidRPr="0069722C" w:rsidRDefault="0003384C" w:rsidP="0069722C">
      <w:pPr>
        <w:pStyle w:val="Footnotes"/>
      </w:pPr>
      <w:r w:rsidRPr="0069722C">
        <w:t>Figures may not sum to totals due to rounding.</w:t>
      </w:r>
    </w:p>
    <w:p w:rsidR="008D3909" w:rsidRPr="00FC6579" w:rsidRDefault="005E3562" w:rsidP="00E40B8B">
      <w:pPr>
        <w:pStyle w:val="Heading2"/>
      </w:pPr>
      <w:r w:rsidRPr="00FC6579">
        <w:t>Key assumptions</w:t>
      </w:r>
    </w:p>
    <w:p w:rsidR="009F56BA" w:rsidRPr="00DC766E" w:rsidRDefault="009F56BA" w:rsidP="0069722C">
      <w:pPr>
        <w:pStyle w:val="Heading3"/>
      </w:pPr>
      <w:r w:rsidRPr="00DC766E">
        <w:t>Assumptions relating to the abolition of FTCs</w:t>
      </w:r>
    </w:p>
    <w:p w:rsidR="0017662A" w:rsidRPr="00DC766E" w:rsidRDefault="009F56BA" w:rsidP="00DC766E">
      <w:pPr>
        <w:pStyle w:val="Bullet1"/>
        <w:rPr>
          <w:rFonts w:cs="SymbolMT"/>
        </w:rPr>
      </w:pPr>
      <w:r w:rsidRPr="00DC766E">
        <w:t>The costing assumes that business fuel usage does not change as a result of the proposal.</w:t>
      </w:r>
    </w:p>
    <w:p w:rsidR="00906146" w:rsidRPr="00DC766E" w:rsidRDefault="009F56BA" w:rsidP="00DC766E">
      <w:pPr>
        <w:pStyle w:val="Bullet2"/>
        <w:rPr>
          <w:rFonts w:cs="SymbolMT"/>
        </w:rPr>
      </w:pPr>
      <w:r w:rsidRPr="00DC766E">
        <w:t>Removing eligibility for claiming business fuel expenses has the potential to have a negative impact on the economy as it could increase costs across the production chain.</w:t>
      </w:r>
      <w:r w:rsidR="00556904" w:rsidRPr="00DC766E">
        <w:t xml:space="preserve"> </w:t>
      </w:r>
      <w:r w:rsidRPr="00DC766E">
        <w:t xml:space="preserve"> However, consistent with </w:t>
      </w:r>
      <w:r w:rsidRPr="00DC766E">
        <w:rPr>
          <w:i/>
          <w:iCs/>
        </w:rPr>
        <w:t>Charter of Budget Honesty Guidelines</w:t>
      </w:r>
      <w:r w:rsidRPr="00DC766E">
        <w:t>, broader macroeconomic implications have not been included in this costing.</w:t>
      </w:r>
    </w:p>
    <w:p w:rsidR="00906146" w:rsidRPr="00DC766E" w:rsidRDefault="009F56BA" w:rsidP="0069722C">
      <w:pPr>
        <w:pStyle w:val="Bullet1"/>
        <w:rPr>
          <w:rFonts w:cs="SymbolMT"/>
        </w:rPr>
      </w:pPr>
      <w:r w:rsidRPr="00DC766E">
        <w:t>On an underlying cash balance basis, FTC</w:t>
      </w:r>
      <w:r w:rsidR="00F215DC" w:rsidRPr="00DC766E">
        <w:t>s are</w:t>
      </w:r>
      <w:r w:rsidRPr="00DC766E">
        <w:t xml:space="preserve"> recognised when they are paid by the</w:t>
      </w:r>
      <w:r w:rsidR="00906146" w:rsidRPr="00DC766E">
        <w:t xml:space="preserve"> </w:t>
      </w:r>
      <w:r w:rsidRPr="00DC766E">
        <w:t xml:space="preserve">Australian Taxation Office (ATO). </w:t>
      </w:r>
      <w:r w:rsidR="00906146" w:rsidRPr="00DC766E">
        <w:t xml:space="preserve"> </w:t>
      </w:r>
      <w:r w:rsidRPr="00DC766E">
        <w:t>It is assumed that most FTC is paid in the year the expense is</w:t>
      </w:r>
      <w:r w:rsidR="00906146" w:rsidRPr="00DC766E">
        <w:t xml:space="preserve"> </w:t>
      </w:r>
      <w:r w:rsidRPr="00DC766E">
        <w:t xml:space="preserve">incurred with the remainder paid in the following year. </w:t>
      </w:r>
      <w:r w:rsidR="00DC766E">
        <w:t xml:space="preserve"> </w:t>
      </w:r>
      <w:r w:rsidRPr="00DC766E">
        <w:t>This reflects the fact that FTC payments</w:t>
      </w:r>
      <w:r w:rsidR="00906146" w:rsidRPr="00DC766E">
        <w:t xml:space="preserve"> </w:t>
      </w:r>
      <w:r w:rsidRPr="00DC766E">
        <w:t>are made by the ATO in arrears, and accounts for the fact that businesses can either submit their</w:t>
      </w:r>
      <w:r w:rsidR="00906146" w:rsidRPr="00DC766E">
        <w:t xml:space="preserve"> </w:t>
      </w:r>
      <w:r w:rsidR="00DC766E">
        <w:t>Goods and Services Tax (</w:t>
      </w:r>
      <w:r w:rsidRPr="00DC766E">
        <w:t>GST</w:t>
      </w:r>
      <w:r w:rsidR="00DC766E">
        <w:t>)</w:t>
      </w:r>
      <w:r w:rsidRPr="00DC766E">
        <w:t xml:space="preserve"> annually, quarterly, or monthly.</w:t>
      </w:r>
    </w:p>
    <w:p w:rsidR="009F56BA" w:rsidRPr="00DC766E" w:rsidRDefault="009F56BA" w:rsidP="0069722C">
      <w:pPr>
        <w:pStyle w:val="Bullet1"/>
        <w:rPr>
          <w:rFonts w:cs="SymbolMT"/>
        </w:rPr>
      </w:pPr>
      <w:r w:rsidRPr="00DC766E">
        <w:t>Agriculture represents approximately 12 per cent of FTC claims.</w:t>
      </w:r>
    </w:p>
    <w:p w:rsidR="00AA6D4B" w:rsidRPr="00DC766E" w:rsidRDefault="00AA6D4B" w:rsidP="00AA6D4B">
      <w:pPr>
        <w:pStyle w:val="Heading3"/>
      </w:pPr>
      <w:r w:rsidRPr="00DC766E">
        <w:lastRenderedPageBreak/>
        <w:t xml:space="preserve">Assumptions relating to </w:t>
      </w:r>
      <w:r w:rsidR="006F0246" w:rsidRPr="00DC766E">
        <w:t>the abolition</w:t>
      </w:r>
      <w:r w:rsidRPr="00DC766E">
        <w:t xml:space="preserve"> of the frontier exploration uplift from the PRRT </w:t>
      </w:r>
    </w:p>
    <w:p w:rsidR="00AA6D4B" w:rsidRPr="00DC766E" w:rsidRDefault="00AA6D4B" w:rsidP="00AA6D4B">
      <w:pPr>
        <w:pStyle w:val="Bullet1"/>
      </w:pPr>
      <w:r w:rsidRPr="00DC766E">
        <w:t xml:space="preserve">Data relating to 2014-15 petroleum project expenses and associated carry forward losses </w:t>
      </w:r>
      <w:r w:rsidR="00B6115F" w:rsidRPr="00DC766E">
        <w:t xml:space="preserve">is </w:t>
      </w:r>
      <w:r w:rsidRPr="00DC766E">
        <w:t xml:space="preserve">assumed to be representative of PRRT operations across each financial year through the </w:t>
      </w:r>
      <w:r w:rsidR="00BE7981" w:rsidRPr="00DC766E">
        <w:t xml:space="preserve">2016-17 Budget </w:t>
      </w:r>
      <w:r w:rsidRPr="00DC766E">
        <w:t>forward estimates period.</w:t>
      </w:r>
    </w:p>
    <w:p w:rsidR="00AA6D4B" w:rsidRPr="00DC766E" w:rsidRDefault="00AA6D4B" w:rsidP="00AA6D4B">
      <w:pPr>
        <w:pStyle w:val="Bullet1"/>
      </w:pPr>
      <w:r w:rsidRPr="00DC766E">
        <w:t>PRRT project expenses will grow in line with the Consumer Price Index (CPI) each year and the base year data is adjusted to allow for changes in PRRT revenue collected since the base year.</w:t>
      </w:r>
    </w:p>
    <w:p w:rsidR="00AA6D4B" w:rsidRPr="00DC766E" w:rsidRDefault="00AA6D4B" w:rsidP="00086F5E">
      <w:pPr>
        <w:pStyle w:val="Bullet1"/>
        <w:rPr>
          <w:bCs/>
        </w:rPr>
      </w:pPr>
      <w:r w:rsidRPr="00DC766E">
        <w:t>The company tax rate for companies affected by the proposal is assumed to be 30 per cent over the 2016-17 Budget forward estimates period.</w:t>
      </w:r>
    </w:p>
    <w:p w:rsidR="009F56BA" w:rsidRPr="00DC766E" w:rsidRDefault="009F56BA" w:rsidP="0069722C">
      <w:pPr>
        <w:pStyle w:val="Heading3"/>
        <w:rPr>
          <w:bCs/>
        </w:rPr>
      </w:pPr>
      <w:r w:rsidRPr="00DC766E">
        <w:rPr>
          <w:bCs/>
        </w:rPr>
        <w:t>Assumptions relating to the abolition of accelerated asset depreciation</w:t>
      </w:r>
    </w:p>
    <w:p w:rsidR="007752B0" w:rsidRPr="00DC766E" w:rsidRDefault="009F56BA" w:rsidP="002870C7">
      <w:pPr>
        <w:pStyle w:val="Bullet1"/>
      </w:pPr>
      <w:r w:rsidRPr="00DC766E">
        <w:t>The costing assumes that there is no change to the overall level or timing of investment as a</w:t>
      </w:r>
      <w:r w:rsidR="0017662A" w:rsidRPr="00DC766E">
        <w:t xml:space="preserve"> </w:t>
      </w:r>
      <w:r w:rsidRPr="00DC766E">
        <w:t>result of this proposal.</w:t>
      </w:r>
    </w:p>
    <w:p w:rsidR="007752B0" w:rsidRPr="00DC766E" w:rsidRDefault="009F56BA" w:rsidP="002870C7">
      <w:pPr>
        <w:pStyle w:val="Bullet1"/>
      </w:pPr>
      <w:r w:rsidRPr="00DC766E">
        <w:t>Where there are varying safe harbour effective lives for the same category of asset, an average</w:t>
      </w:r>
      <w:r w:rsidR="0017662A" w:rsidRPr="00DC766E">
        <w:t xml:space="preserve"> </w:t>
      </w:r>
      <w:r w:rsidRPr="00DC766E">
        <w:t>was taken to arrive at the safe harbour asset life.</w:t>
      </w:r>
    </w:p>
    <w:p w:rsidR="007752B0" w:rsidRPr="00DC766E" w:rsidRDefault="009F56BA" w:rsidP="002870C7">
      <w:pPr>
        <w:pStyle w:val="Bullet1"/>
      </w:pPr>
      <w:r w:rsidRPr="00DC766E">
        <w:t>Assets are assumed to be purchased evenly throughout the year.</w:t>
      </w:r>
    </w:p>
    <w:p w:rsidR="009F56BA" w:rsidRPr="00DC766E" w:rsidRDefault="009F56BA" w:rsidP="0069722C">
      <w:pPr>
        <w:pStyle w:val="Bullet1"/>
      </w:pPr>
      <w:r w:rsidRPr="00DC766E">
        <w:t>Taxpayers are assumed to utilise deductions according to the following profile:</w:t>
      </w:r>
    </w:p>
    <w:p w:rsidR="009F56BA" w:rsidRPr="00DC766E" w:rsidRDefault="009F56BA" w:rsidP="0069722C">
      <w:pPr>
        <w:pStyle w:val="Bullet2"/>
      </w:pPr>
      <w:r w:rsidRPr="00DC766E">
        <w:t>75 per cent are taxable in the year they purchase the depreciable assets</w:t>
      </w:r>
    </w:p>
    <w:p w:rsidR="0017662A" w:rsidRPr="00DC766E" w:rsidRDefault="009F56BA" w:rsidP="0069722C">
      <w:pPr>
        <w:pStyle w:val="Bullet2"/>
      </w:pPr>
      <w:r w:rsidRPr="00DC766E">
        <w:t>15 per cent become taxable in the year after they purchased the asset</w:t>
      </w:r>
    </w:p>
    <w:p w:rsidR="007752B0" w:rsidRPr="00DC766E" w:rsidRDefault="009F56BA" w:rsidP="002870C7">
      <w:pPr>
        <w:pStyle w:val="Bullet2"/>
      </w:pPr>
      <w:r w:rsidRPr="00DC766E">
        <w:t>5 per cent become taxable two years after they purchased the asset.</w:t>
      </w:r>
    </w:p>
    <w:p w:rsidR="007752B0" w:rsidRPr="00DC766E" w:rsidRDefault="009F56BA" w:rsidP="002870C7">
      <w:pPr>
        <w:pStyle w:val="Bullet1"/>
      </w:pPr>
      <w:r w:rsidRPr="00DC766E">
        <w:t xml:space="preserve">10 per cent of vehicles </w:t>
      </w:r>
      <w:r w:rsidR="00A2306D" w:rsidRPr="00DC766E">
        <w:t>are assumed</w:t>
      </w:r>
      <w:r w:rsidRPr="00DC766E">
        <w:t xml:space="preserve"> to be used for agricultural purposes.</w:t>
      </w:r>
    </w:p>
    <w:p w:rsidR="009F56BA" w:rsidRPr="00DC766E" w:rsidRDefault="009F56BA" w:rsidP="002870C7">
      <w:pPr>
        <w:pStyle w:val="Heading3"/>
      </w:pPr>
      <w:r w:rsidRPr="00DC766E">
        <w:t>Assumptions relating to the</w:t>
      </w:r>
      <w:r w:rsidR="006F0246" w:rsidRPr="00DC766E">
        <w:t xml:space="preserve"> </w:t>
      </w:r>
      <w:r w:rsidRPr="00DC766E">
        <w:t xml:space="preserve">abolition of </w:t>
      </w:r>
      <w:r w:rsidR="00054B38" w:rsidRPr="00DC766E">
        <w:t xml:space="preserve">the </w:t>
      </w:r>
      <w:r w:rsidRPr="00DC766E">
        <w:t>immediate deduction for exploration and prospecting</w:t>
      </w:r>
    </w:p>
    <w:p w:rsidR="002A16A6" w:rsidRPr="00DC766E" w:rsidRDefault="009F56BA" w:rsidP="00DC766E">
      <w:pPr>
        <w:pStyle w:val="Bullet1"/>
      </w:pPr>
      <w:r w:rsidRPr="00DC766E">
        <w:t>Taxpayers are assumed to utilise deductions associated with exploration and prospecting</w:t>
      </w:r>
      <w:r w:rsidR="002A16A6" w:rsidRPr="00DC766E">
        <w:t xml:space="preserve"> </w:t>
      </w:r>
      <w:r w:rsidRPr="00DC766E">
        <w:t>according to their taxable/non-taxable status.</w:t>
      </w:r>
    </w:p>
    <w:p w:rsidR="002A16A6" w:rsidRPr="00DC766E" w:rsidRDefault="009F56BA" w:rsidP="00DC766E">
      <w:pPr>
        <w:pStyle w:val="Bullet1"/>
      </w:pPr>
      <w:r w:rsidRPr="00DC766E">
        <w:t>Exploration and prospecting assets are assumed to have a 15 year effective life under the</w:t>
      </w:r>
      <w:r w:rsidR="002A16A6" w:rsidRPr="00DC766E">
        <w:t xml:space="preserve"> </w:t>
      </w:r>
      <w:r w:rsidRPr="00DC766E">
        <w:t>proposal.</w:t>
      </w:r>
    </w:p>
    <w:p w:rsidR="009F56BA" w:rsidRPr="00DC766E" w:rsidRDefault="009F56BA" w:rsidP="0069722C">
      <w:pPr>
        <w:pStyle w:val="Heading3"/>
      </w:pPr>
      <w:r w:rsidRPr="00DC766E">
        <w:t>Assumptions relating to the abolition of the ACSRF</w:t>
      </w:r>
    </w:p>
    <w:p w:rsidR="009F56BA" w:rsidRPr="00DC766E" w:rsidRDefault="009F56BA" w:rsidP="0069722C">
      <w:pPr>
        <w:pStyle w:val="Bullet1"/>
      </w:pPr>
      <w:r w:rsidRPr="00DC766E">
        <w:t xml:space="preserve">It </w:t>
      </w:r>
      <w:r w:rsidR="00054B38" w:rsidRPr="00DC766E">
        <w:t>is</w:t>
      </w:r>
      <w:r w:rsidRPr="00DC766E">
        <w:t xml:space="preserve"> assumed that contracts already signed by the Department of Industry, Innovation and</w:t>
      </w:r>
      <w:r w:rsidR="002A16A6" w:rsidRPr="00DC766E">
        <w:t xml:space="preserve"> </w:t>
      </w:r>
      <w:r w:rsidRPr="00DC766E">
        <w:t>Science (DIIS) would be honoured.</w:t>
      </w:r>
    </w:p>
    <w:p w:rsidR="002A16A6" w:rsidRPr="00DC766E" w:rsidRDefault="009F56BA" w:rsidP="002870C7">
      <w:pPr>
        <w:pStyle w:val="Bullet2"/>
      </w:pPr>
      <w:r w:rsidRPr="00DC766E">
        <w:t xml:space="preserve">The proportion of allocated funding that is contractually committed as at </w:t>
      </w:r>
      <w:r w:rsidR="00A2306D" w:rsidRPr="00DC766E">
        <w:t>1 September </w:t>
      </w:r>
      <w:r w:rsidRPr="00DC766E">
        <w:t>2016</w:t>
      </w:r>
      <w:r w:rsidR="002A16A6" w:rsidRPr="00DC766E">
        <w:t xml:space="preserve"> </w:t>
      </w:r>
      <w:r w:rsidRPr="00DC766E">
        <w:t>for the 2016-17 financial year is assumed to be consistent with the proportion committed at a</w:t>
      </w:r>
      <w:r w:rsidR="002A16A6" w:rsidRPr="00DC766E">
        <w:t xml:space="preserve"> </w:t>
      </w:r>
      <w:r w:rsidRPr="00DC766E">
        <w:t>similar point in time for the 2015-16 financial year.</w:t>
      </w:r>
    </w:p>
    <w:p w:rsidR="005E3562" w:rsidRPr="00FC6579" w:rsidRDefault="005E3562" w:rsidP="00BB2959">
      <w:pPr>
        <w:pStyle w:val="Heading2"/>
        <w:numPr>
          <w:ilvl w:val="0"/>
          <w:numId w:val="0"/>
        </w:numPr>
      </w:pPr>
      <w:r w:rsidRPr="00FC6579">
        <w:lastRenderedPageBreak/>
        <w:t>Methodology</w:t>
      </w:r>
    </w:p>
    <w:p w:rsidR="009F56BA" w:rsidRDefault="009F56BA" w:rsidP="009F56BA">
      <w:pPr>
        <w:autoSpaceDE w:val="0"/>
        <w:autoSpaceDN w:val="0"/>
        <w:adjustRightInd w:val="0"/>
        <w:spacing w:before="0" w:after="0" w:line="240" w:lineRule="auto"/>
        <w:rPr>
          <w:rFonts w:cs="Times New Roman"/>
        </w:rPr>
      </w:pPr>
      <w:r w:rsidRPr="00BB2959">
        <w:rPr>
          <w:rFonts w:cs="Times New Roman"/>
        </w:rPr>
        <w:t>All estimates have been rounded to the nearest $50 million, except</w:t>
      </w:r>
      <w:r w:rsidR="00BB2959">
        <w:rPr>
          <w:rFonts w:cs="Times New Roman"/>
        </w:rPr>
        <w:t xml:space="preserve"> for impacts resulting from the </w:t>
      </w:r>
      <w:r w:rsidRPr="00BB2959">
        <w:rPr>
          <w:rFonts w:cs="Times New Roman"/>
        </w:rPr>
        <w:t>abolition of the ACSRF which have been rounded to the nearest $0.1 million.</w:t>
      </w:r>
    </w:p>
    <w:p w:rsidR="009F56BA" w:rsidRPr="0069722C" w:rsidRDefault="009F56BA" w:rsidP="0069722C">
      <w:pPr>
        <w:pStyle w:val="Heading3"/>
        <w:rPr>
          <w:b w:val="0"/>
        </w:rPr>
      </w:pPr>
      <w:r w:rsidRPr="0069722C">
        <w:t>Methodology for the abolition of FTCs</w:t>
      </w:r>
    </w:p>
    <w:p w:rsidR="009D2DD1" w:rsidRDefault="009F56BA" w:rsidP="009F56BA">
      <w:pPr>
        <w:autoSpaceDE w:val="0"/>
        <w:autoSpaceDN w:val="0"/>
        <w:adjustRightInd w:val="0"/>
        <w:spacing w:before="0" w:after="0" w:line="240" w:lineRule="auto"/>
        <w:rPr>
          <w:rFonts w:cs="Times New Roman"/>
        </w:rPr>
      </w:pPr>
      <w:r w:rsidRPr="00BB2959">
        <w:rPr>
          <w:rFonts w:cs="Times New Roman"/>
        </w:rPr>
        <w:t>The forward estimates for FTC expenses were adjusted to remo</w:t>
      </w:r>
      <w:r w:rsidR="00BB2959">
        <w:rPr>
          <w:rFonts w:cs="Times New Roman"/>
        </w:rPr>
        <w:t xml:space="preserve">ve expected claims, except from </w:t>
      </w:r>
      <w:r w:rsidRPr="00BB2959">
        <w:rPr>
          <w:rFonts w:cs="Times New Roman"/>
        </w:rPr>
        <w:t xml:space="preserve">agricultural entities. </w:t>
      </w:r>
      <w:r w:rsidR="0003384C">
        <w:rPr>
          <w:rFonts w:cs="Times New Roman"/>
        </w:rPr>
        <w:t xml:space="preserve"> </w:t>
      </w:r>
      <w:r w:rsidRPr="00BB2959">
        <w:rPr>
          <w:rFonts w:cs="Times New Roman"/>
        </w:rPr>
        <w:t>This amount was then adjusted to allow for the</w:t>
      </w:r>
      <w:r w:rsidR="00BB2959">
        <w:rPr>
          <w:rFonts w:cs="Times New Roman"/>
        </w:rPr>
        <w:t xml:space="preserve"> 1 September 2016 start date of </w:t>
      </w:r>
      <w:r w:rsidRPr="00BB2959">
        <w:rPr>
          <w:rFonts w:cs="Times New Roman"/>
        </w:rPr>
        <w:t>the proposal.</w:t>
      </w:r>
    </w:p>
    <w:p w:rsidR="009D2DD1" w:rsidRPr="00BB2959" w:rsidRDefault="009D2DD1">
      <w:pPr>
        <w:pStyle w:val="Heading3"/>
      </w:pPr>
      <w:r w:rsidRPr="00BB2959">
        <w:t xml:space="preserve">Methodology for </w:t>
      </w:r>
      <w:r w:rsidR="006F0246">
        <w:t>abolishing</w:t>
      </w:r>
      <w:r w:rsidR="006F0246" w:rsidRPr="00906146">
        <w:t xml:space="preserve"> the frontier exploration uplift from the PRRT </w:t>
      </w:r>
    </w:p>
    <w:p w:rsidR="009D2DD1" w:rsidRPr="00BB2959" w:rsidRDefault="009D2DD1" w:rsidP="009F56BA">
      <w:pPr>
        <w:autoSpaceDE w:val="0"/>
        <w:autoSpaceDN w:val="0"/>
        <w:adjustRightInd w:val="0"/>
        <w:spacing w:before="0" w:after="0" w:line="240" w:lineRule="auto"/>
        <w:rPr>
          <w:rFonts w:cs="Times New Roman"/>
        </w:rPr>
      </w:pPr>
      <w:r w:rsidRPr="00BB2959">
        <w:rPr>
          <w:rFonts w:cs="Times New Roman"/>
        </w:rPr>
        <w:t xml:space="preserve">Project-level mining expenses </w:t>
      </w:r>
      <w:r w:rsidR="00FE689F">
        <w:rPr>
          <w:rFonts w:cs="Times New Roman"/>
        </w:rPr>
        <w:t>were</w:t>
      </w:r>
      <w:r w:rsidRPr="00BB2959">
        <w:rPr>
          <w:rFonts w:cs="Times New Roman"/>
        </w:rPr>
        <w:t xml:space="preserve"> estimated based on 2014-15 d</w:t>
      </w:r>
      <w:r>
        <w:rPr>
          <w:rFonts w:cs="Times New Roman"/>
        </w:rPr>
        <w:t xml:space="preserve">ata.  Project-level revenues </w:t>
      </w:r>
      <w:r w:rsidR="00FE689F">
        <w:rPr>
          <w:rFonts w:cs="Times New Roman"/>
        </w:rPr>
        <w:t>were</w:t>
      </w:r>
      <w:r>
        <w:rPr>
          <w:rFonts w:cs="Times New Roman"/>
        </w:rPr>
        <w:t xml:space="preserve"> </w:t>
      </w:r>
      <w:r w:rsidRPr="00BB2959">
        <w:rPr>
          <w:rFonts w:cs="Times New Roman"/>
        </w:rPr>
        <w:t>adjusted such that total estimated PRRT revenue across the 2</w:t>
      </w:r>
      <w:r>
        <w:rPr>
          <w:rFonts w:cs="Times New Roman"/>
        </w:rPr>
        <w:t>016</w:t>
      </w:r>
      <w:r w:rsidR="005C5FF5">
        <w:rPr>
          <w:rFonts w:cs="Times New Roman"/>
        </w:rPr>
        <w:noBreakHyphen/>
      </w:r>
      <w:r>
        <w:rPr>
          <w:rFonts w:cs="Times New Roman"/>
        </w:rPr>
        <w:t>17</w:t>
      </w:r>
      <w:r w:rsidR="005C5FF5">
        <w:rPr>
          <w:rFonts w:cs="Times New Roman"/>
        </w:rPr>
        <w:t> </w:t>
      </w:r>
      <w:r>
        <w:rPr>
          <w:rFonts w:cs="Times New Roman"/>
        </w:rPr>
        <w:t xml:space="preserve">Budget forward estimates </w:t>
      </w:r>
      <w:r w:rsidRPr="00BB2959">
        <w:rPr>
          <w:rFonts w:cs="Times New Roman"/>
        </w:rPr>
        <w:t>period matche</w:t>
      </w:r>
      <w:r w:rsidR="00FE689F">
        <w:rPr>
          <w:rFonts w:cs="Times New Roman"/>
        </w:rPr>
        <w:t>d</w:t>
      </w:r>
      <w:r w:rsidRPr="00BB2959">
        <w:rPr>
          <w:rFonts w:cs="Times New Roman"/>
        </w:rPr>
        <w:t xml:space="preserve"> estimates from the 2016-17 </w:t>
      </w:r>
      <w:proofErr w:type="gramStart"/>
      <w:r w:rsidRPr="00BB2959">
        <w:rPr>
          <w:rFonts w:cs="Times New Roman"/>
        </w:rPr>
        <w:t>Budget</w:t>
      </w:r>
      <w:proofErr w:type="gramEnd"/>
      <w:r w:rsidRPr="00BB2959">
        <w:rPr>
          <w:rFonts w:cs="Times New Roman"/>
        </w:rPr>
        <w:t>.</w:t>
      </w:r>
      <w:r w:rsidR="00FE1FAC">
        <w:rPr>
          <w:rFonts w:cs="Times New Roman"/>
        </w:rPr>
        <w:t xml:space="preserve"> </w:t>
      </w:r>
      <w:r w:rsidRPr="00BB2959">
        <w:rPr>
          <w:rFonts w:cs="Times New Roman"/>
        </w:rPr>
        <w:t xml:space="preserve"> The estimat</w:t>
      </w:r>
      <w:r>
        <w:rPr>
          <w:rFonts w:cs="Times New Roman"/>
        </w:rPr>
        <w:t xml:space="preserve">ed uplift component of frontier </w:t>
      </w:r>
      <w:r w:rsidRPr="00BB2959">
        <w:rPr>
          <w:rFonts w:cs="Times New Roman"/>
        </w:rPr>
        <w:t>expenditure was estimated by taking a percentage of expendit</w:t>
      </w:r>
      <w:r>
        <w:rPr>
          <w:rFonts w:cs="Times New Roman"/>
        </w:rPr>
        <w:t xml:space="preserve">ure that was reported under the </w:t>
      </w:r>
      <w:r w:rsidRPr="00BB2959">
        <w:rPr>
          <w:rFonts w:cs="Times New Roman"/>
        </w:rPr>
        <w:t>relevant labels and calculating the impact on tax payable.</w:t>
      </w:r>
    </w:p>
    <w:p w:rsidR="009F56BA" w:rsidRPr="00BB2959" w:rsidRDefault="009F56BA" w:rsidP="0069722C">
      <w:pPr>
        <w:pStyle w:val="Heading3"/>
      </w:pPr>
      <w:r w:rsidRPr="00BB2959">
        <w:t>Methodology for the abolition of accelerated asset de</w:t>
      </w:r>
      <w:r w:rsidR="00BB2959">
        <w:t xml:space="preserve">preciation and the </w:t>
      </w:r>
      <w:r w:rsidRPr="00BB2959">
        <w:t>immediate deduction for exploration and prospecting</w:t>
      </w:r>
    </w:p>
    <w:p w:rsidR="00BB2959" w:rsidRPr="00BB2959" w:rsidRDefault="009F56BA" w:rsidP="009F56BA">
      <w:pPr>
        <w:autoSpaceDE w:val="0"/>
        <w:autoSpaceDN w:val="0"/>
        <w:adjustRightInd w:val="0"/>
        <w:spacing w:before="0" w:after="0" w:line="240" w:lineRule="auto"/>
        <w:rPr>
          <w:rFonts w:cs="Times New Roman"/>
        </w:rPr>
      </w:pPr>
      <w:r w:rsidRPr="00BB2959">
        <w:rPr>
          <w:rFonts w:cs="Times New Roman"/>
        </w:rPr>
        <w:t>The impact of these proposals was estimated by calculating the impa</w:t>
      </w:r>
      <w:r w:rsidR="00BB2959">
        <w:rPr>
          <w:rFonts w:cs="Times New Roman"/>
        </w:rPr>
        <w:t xml:space="preserve">ct of total deductions expected </w:t>
      </w:r>
      <w:r w:rsidRPr="00BB2959">
        <w:rPr>
          <w:rFonts w:cs="Times New Roman"/>
        </w:rPr>
        <w:t>under the proposal less the impact of total deductions currently expected.</w:t>
      </w:r>
    </w:p>
    <w:p w:rsidR="009F56BA" w:rsidRPr="00BB2959" w:rsidRDefault="009F56BA" w:rsidP="0069722C">
      <w:pPr>
        <w:pStyle w:val="Heading3"/>
      </w:pPr>
      <w:r w:rsidRPr="00BB2959">
        <w:t>Methodology for the abolition of the ACSRF</w:t>
      </w:r>
    </w:p>
    <w:p w:rsidR="00BB2959" w:rsidRPr="00BB2959" w:rsidRDefault="009F56BA" w:rsidP="009F56BA">
      <w:pPr>
        <w:autoSpaceDE w:val="0"/>
        <w:autoSpaceDN w:val="0"/>
        <w:adjustRightInd w:val="0"/>
        <w:spacing w:before="0" w:after="0" w:line="240" w:lineRule="auto"/>
        <w:rPr>
          <w:rFonts w:cs="Times New Roman"/>
        </w:rPr>
      </w:pPr>
      <w:r w:rsidRPr="00BB2959">
        <w:rPr>
          <w:rFonts w:cs="Times New Roman"/>
        </w:rPr>
        <w:t>The impact of this proposal was estimated by reversing the forwar</w:t>
      </w:r>
      <w:r w:rsidR="00BB2959">
        <w:rPr>
          <w:rFonts w:cs="Times New Roman"/>
        </w:rPr>
        <w:t xml:space="preserve">d estimates for the ACSRF, less </w:t>
      </w:r>
      <w:r w:rsidRPr="00BB2959">
        <w:rPr>
          <w:rFonts w:cs="Times New Roman"/>
        </w:rPr>
        <w:t>the estimated amount of funds that have been contractually obl</w:t>
      </w:r>
      <w:r w:rsidR="00BB2959">
        <w:rPr>
          <w:rFonts w:cs="Times New Roman"/>
        </w:rPr>
        <w:t xml:space="preserve">igated at </w:t>
      </w:r>
      <w:r w:rsidR="00556904">
        <w:rPr>
          <w:rFonts w:cs="Times New Roman"/>
        </w:rPr>
        <w:t>1 September </w:t>
      </w:r>
      <w:r w:rsidR="00BB2959">
        <w:rPr>
          <w:rFonts w:cs="Times New Roman"/>
        </w:rPr>
        <w:t xml:space="preserve">2016. </w:t>
      </w:r>
      <w:r w:rsidR="00FE1FAC">
        <w:rPr>
          <w:rFonts w:cs="Times New Roman"/>
        </w:rPr>
        <w:t xml:space="preserve"> </w:t>
      </w:r>
      <w:r w:rsidR="00BB2959">
        <w:rPr>
          <w:rFonts w:cs="Times New Roman"/>
        </w:rPr>
        <w:t xml:space="preserve">The </w:t>
      </w:r>
      <w:r w:rsidRPr="00BB2959">
        <w:rPr>
          <w:rFonts w:cs="Times New Roman"/>
        </w:rPr>
        <w:t xml:space="preserve">amount of committed funds </w:t>
      </w:r>
      <w:r w:rsidR="00025F4A">
        <w:rPr>
          <w:rFonts w:cs="Times New Roman"/>
        </w:rPr>
        <w:t>was</w:t>
      </w:r>
      <w:r w:rsidRPr="00BB2959">
        <w:rPr>
          <w:rFonts w:cs="Times New Roman"/>
        </w:rPr>
        <w:t xml:space="preserve"> </w:t>
      </w:r>
      <w:r w:rsidR="00BB2959">
        <w:rPr>
          <w:rFonts w:cs="Times New Roman"/>
        </w:rPr>
        <w:t xml:space="preserve">based on data provided by DIIS. </w:t>
      </w:r>
      <w:r w:rsidRPr="00BB2959">
        <w:rPr>
          <w:rFonts w:cs="Times New Roman"/>
        </w:rPr>
        <w:t xml:space="preserve">Departmental savings for this part of the request </w:t>
      </w:r>
      <w:r w:rsidR="009F5501">
        <w:rPr>
          <w:rFonts w:cs="Times New Roman"/>
        </w:rPr>
        <w:t>were</w:t>
      </w:r>
      <w:r w:rsidRPr="00BB2959">
        <w:rPr>
          <w:rFonts w:cs="Times New Roman"/>
        </w:rPr>
        <w:t xml:space="preserve"> based on data provided by DIIS.</w:t>
      </w:r>
    </w:p>
    <w:p w:rsidR="005E3562" w:rsidRPr="00FC6579" w:rsidRDefault="005E3562" w:rsidP="00E40B8B">
      <w:pPr>
        <w:pStyle w:val="Heading2"/>
      </w:pPr>
      <w:r w:rsidRPr="00FC6579">
        <w:t>Data sources</w:t>
      </w:r>
    </w:p>
    <w:p w:rsidR="00B24171" w:rsidRPr="00FE1FAC" w:rsidRDefault="001E5ECD" w:rsidP="00FE1FAC">
      <w:pPr>
        <w:pStyle w:val="Bullet1"/>
      </w:pPr>
      <w:r w:rsidRPr="001E5ECD">
        <w:t xml:space="preserve">ATO </w:t>
      </w:r>
      <w:r w:rsidRPr="00FE1FAC">
        <w:t xml:space="preserve">Taxation </w:t>
      </w:r>
      <w:r w:rsidR="00F215DC" w:rsidRPr="00FE1FAC">
        <w:t>Statistics.</w:t>
      </w:r>
    </w:p>
    <w:p w:rsidR="001E5ECD" w:rsidRPr="00FE1FAC" w:rsidRDefault="001E5ECD" w:rsidP="00FE1FAC">
      <w:pPr>
        <w:pStyle w:val="Bullet1"/>
      </w:pPr>
      <w:r w:rsidRPr="00FE1FAC">
        <w:t>Fuel excise data and FTC estimates from the 2016-17 Budget.</w:t>
      </w:r>
    </w:p>
    <w:p w:rsidR="001E5ECD" w:rsidRPr="00FE1FAC" w:rsidRDefault="001E5ECD" w:rsidP="00FE1FAC">
      <w:pPr>
        <w:pStyle w:val="Bullet1"/>
      </w:pPr>
      <w:r w:rsidRPr="00FE1FAC">
        <w:t>Data on business depreciating asset expenditure was obtained from the Treasury.</w:t>
      </w:r>
    </w:p>
    <w:p w:rsidR="001E5ECD" w:rsidRPr="00FE1FAC" w:rsidRDefault="001E5ECD" w:rsidP="00FE1FAC">
      <w:pPr>
        <w:pStyle w:val="Bullet1"/>
      </w:pPr>
      <w:r w:rsidRPr="00FE1FAC">
        <w:t>PRRT data was obtained from the ATO.</w:t>
      </w:r>
    </w:p>
    <w:p w:rsidR="001E5ECD" w:rsidRPr="00FE1FAC" w:rsidRDefault="001E5ECD" w:rsidP="00FE1FAC">
      <w:pPr>
        <w:pStyle w:val="Bullet1"/>
      </w:pPr>
      <w:r w:rsidRPr="00FE1FAC">
        <w:t>Data relating to the ACSRF was obtained from DIIS.</w:t>
      </w:r>
    </w:p>
    <w:p w:rsidR="001E5ECD" w:rsidRDefault="001E5ECD" w:rsidP="00FE1FAC">
      <w:pPr>
        <w:pStyle w:val="Bullet1"/>
      </w:pPr>
      <w:r w:rsidRPr="00FE1FAC">
        <w:t xml:space="preserve">ACSRF forward estimates are as published in DIIS </w:t>
      </w:r>
      <w:r w:rsidR="001E090C" w:rsidRPr="00FE1FAC">
        <w:t xml:space="preserve">2016-17 </w:t>
      </w:r>
      <w:r w:rsidRPr="00FE1FAC">
        <w:t>Portfolio Budget Statements</w:t>
      </w:r>
      <w:r w:rsidR="00F215DC" w:rsidRPr="00FE1FAC">
        <w:t>.</w:t>
      </w:r>
    </w:p>
    <w:p w:rsidR="00E83BFF" w:rsidRPr="00FE1FAC" w:rsidRDefault="00E83BFF" w:rsidP="00E83BFF"/>
    <w:p w:rsidR="002870C7" w:rsidRDefault="002870C7" w:rsidP="00FC6579">
      <w:pPr>
        <w:pStyle w:val="Heading1"/>
        <w:sectPr w:rsidR="002870C7" w:rsidSect="00B3671F">
          <w:headerReference w:type="first" r:id="rId14"/>
          <w:footerReference w:type="first" r:id="rId15"/>
          <w:pgSz w:w="11907" w:h="16839" w:code="9"/>
          <w:pgMar w:top="1361" w:right="1797" w:bottom="1474" w:left="1797" w:header="709" w:footer="709" w:gutter="0"/>
          <w:cols w:space="708"/>
          <w:titlePg/>
          <w:docGrid w:linePitch="360"/>
        </w:sectPr>
      </w:pPr>
    </w:p>
    <w:p w:rsidR="001A02D1" w:rsidRPr="00FC6579" w:rsidRDefault="001A02D1" w:rsidP="00FC6579">
      <w:pPr>
        <w:pStyle w:val="Heading1"/>
      </w:pPr>
      <w:r w:rsidRPr="00FC6579">
        <w:lastRenderedPageBreak/>
        <w:t>Attachment A:</w:t>
      </w:r>
      <w:r w:rsidR="00841C3A">
        <w:t xml:space="preserve"> </w:t>
      </w:r>
      <w:r w:rsidR="0025605A">
        <w:t>Ending subsidies for fossil fuel use and ex</w:t>
      </w:r>
      <w:r w:rsidR="006029DC">
        <w:t>t</w:t>
      </w:r>
      <w:r w:rsidR="0025605A">
        <w:t>raction</w:t>
      </w:r>
      <w:r w:rsidR="00440E32">
        <w:t>—financial</w:t>
      </w:r>
      <w:r w:rsidR="00841C3A">
        <w:t> </w:t>
      </w:r>
      <w:r w:rsidR="00440E32">
        <w:t>implications</w:t>
      </w:r>
    </w:p>
    <w:p w:rsidR="00EA265F" w:rsidRPr="00E30FB5" w:rsidRDefault="00EA265F" w:rsidP="00EA265F">
      <w:pPr>
        <w:pStyle w:val="Captionheading"/>
        <w:rPr>
          <w:vertAlign w:val="superscript"/>
        </w:rPr>
      </w:pPr>
      <w:r w:rsidRPr="00FC5643">
        <w:t xml:space="preserve">Table </w:t>
      </w:r>
      <w:r>
        <w:t>A1</w:t>
      </w:r>
      <w:r w:rsidRPr="00FC5643">
        <w:t xml:space="preserve">: </w:t>
      </w:r>
      <w:r w:rsidR="0025605A">
        <w:t>Ending subsidies for fossil fuel use and extraction</w:t>
      </w:r>
      <w:r w:rsidR="00EA5685">
        <w:t>—</w:t>
      </w:r>
      <w:r>
        <w:t xml:space="preserve">Fiscal </w:t>
      </w:r>
      <w:proofErr w:type="gramStart"/>
      <w:r>
        <w:t>balance</w:t>
      </w:r>
      <w:r>
        <w:rPr>
          <w:vertAlign w:val="superscript"/>
        </w:rPr>
        <w:t>(</w:t>
      </w:r>
      <w:proofErr w:type="gramEnd"/>
      <w:r>
        <w:rPr>
          <w:vertAlign w:val="superscript"/>
        </w:rPr>
        <w:t>a)</w:t>
      </w:r>
      <w:r w:rsidR="0003384C">
        <w:rPr>
          <w:vertAlign w:val="superscript"/>
        </w:rPr>
        <w:t>(b)</w:t>
      </w:r>
    </w:p>
    <w:tbl>
      <w:tblPr>
        <w:tblStyle w:val="TableGrid"/>
        <w:tblW w:w="4995" w:type="pct"/>
        <w:tblLook w:val="04A0" w:firstRow="1" w:lastRow="0" w:firstColumn="1" w:lastColumn="0" w:noHBand="0" w:noVBand="1"/>
      </w:tblPr>
      <w:tblGrid>
        <w:gridCol w:w="2645"/>
        <w:gridCol w:w="1134"/>
        <w:gridCol w:w="1134"/>
        <w:gridCol w:w="1134"/>
        <w:gridCol w:w="1134"/>
        <w:gridCol w:w="1134"/>
      </w:tblGrid>
      <w:tr w:rsidR="00EA265F" w:rsidRPr="00EF1D6A" w:rsidTr="00FE1FA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0" w:type="pct"/>
            <w:vAlign w:val="center"/>
          </w:tcPr>
          <w:p w:rsidR="00EA265F" w:rsidRPr="00E83BFF" w:rsidRDefault="00EA265F" w:rsidP="00FE1FAC">
            <w:pPr>
              <w:pStyle w:val="TableText"/>
              <w:keepNext/>
              <w:keepLines/>
              <w:ind w:left="57" w:right="57"/>
              <w:rPr>
                <w:szCs w:val="20"/>
              </w:rPr>
            </w:pPr>
            <w:r w:rsidRPr="00E83BFF">
              <w:rPr>
                <w:szCs w:val="20"/>
              </w:rPr>
              <w:t>($m)</w:t>
            </w:r>
          </w:p>
        </w:tc>
        <w:tc>
          <w:tcPr>
            <w:tcW w:w="682" w:type="pct"/>
            <w:vAlign w:val="center"/>
          </w:tcPr>
          <w:p w:rsidR="00EA265F" w:rsidRPr="00E83BFF" w:rsidRDefault="00EA265F" w:rsidP="00FE1FAC">
            <w:pPr>
              <w:pStyle w:val="TableHeadingCentred"/>
              <w:ind w:left="57" w:right="57"/>
              <w:cnfStyle w:val="100000000000" w:firstRow="1" w:lastRow="0" w:firstColumn="0" w:lastColumn="0" w:oddVBand="0" w:evenVBand="0" w:oddHBand="0" w:evenHBand="0" w:firstRowFirstColumn="0" w:firstRowLastColumn="0" w:lastRowFirstColumn="0" w:lastRowLastColumn="0"/>
              <w:rPr>
                <w:szCs w:val="20"/>
              </w:rPr>
            </w:pPr>
            <w:r w:rsidRPr="00E83BFF">
              <w:t>2016–17</w:t>
            </w:r>
          </w:p>
        </w:tc>
        <w:tc>
          <w:tcPr>
            <w:tcW w:w="682" w:type="pct"/>
            <w:vAlign w:val="center"/>
          </w:tcPr>
          <w:p w:rsidR="00EA265F" w:rsidRPr="00E83BFF" w:rsidRDefault="00EA265F" w:rsidP="00FE1FAC">
            <w:pPr>
              <w:pStyle w:val="TableHeadingCentred"/>
              <w:ind w:left="57" w:right="57"/>
              <w:cnfStyle w:val="100000000000" w:firstRow="1" w:lastRow="0" w:firstColumn="0" w:lastColumn="0" w:oddVBand="0" w:evenVBand="0" w:oddHBand="0" w:evenHBand="0" w:firstRowFirstColumn="0" w:firstRowLastColumn="0" w:lastRowFirstColumn="0" w:lastRowLastColumn="0"/>
              <w:rPr>
                <w:szCs w:val="20"/>
              </w:rPr>
            </w:pPr>
            <w:r w:rsidRPr="00E83BFF">
              <w:t>2017–18</w:t>
            </w:r>
          </w:p>
        </w:tc>
        <w:tc>
          <w:tcPr>
            <w:tcW w:w="682" w:type="pct"/>
            <w:vAlign w:val="center"/>
          </w:tcPr>
          <w:p w:rsidR="00EA265F" w:rsidRPr="00E83BFF" w:rsidRDefault="00EA265F" w:rsidP="00FE1FAC">
            <w:pPr>
              <w:pStyle w:val="TableHeadingCentred"/>
              <w:ind w:left="57" w:right="57"/>
              <w:cnfStyle w:val="100000000000" w:firstRow="1" w:lastRow="0" w:firstColumn="0" w:lastColumn="0" w:oddVBand="0" w:evenVBand="0" w:oddHBand="0" w:evenHBand="0" w:firstRowFirstColumn="0" w:firstRowLastColumn="0" w:lastRowFirstColumn="0" w:lastRowLastColumn="0"/>
              <w:rPr>
                <w:szCs w:val="20"/>
              </w:rPr>
            </w:pPr>
            <w:r w:rsidRPr="00E83BFF">
              <w:t>2018–19</w:t>
            </w:r>
          </w:p>
        </w:tc>
        <w:tc>
          <w:tcPr>
            <w:tcW w:w="682" w:type="pct"/>
            <w:vAlign w:val="center"/>
          </w:tcPr>
          <w:p w:rsidR="00EA265F" w:rsidRPr="00E83BFF" w:rsidRDefault="00EA265F" w:rsidP="00FE1FAC">
            <w:pPr>
              <w:pStyle w:val="TableHeadingCentred"/>
              <w:ind w:left="57" w:right="57"/>
              <w:cnfStyle w:val="100000000000" w:firstRow="1" w:lastRow="0" w:firstColumn="0" w:lastColumn="0" w:oddVBand="0" w:evenVBand="0" w:oddHBand="0" w:evenHBand="0" w:firstRowFirstColumn="0" w:firstRowLastColumn="0" w:lastRowFirstColumn="0" w:lastRowLastColumn="0"/>
              <w:rPr>
                <w:szCs w:val="20"/>
              </w:rPr>
            </w:pPr>
            <w:r w:rsidRPr="00E83BFF">
              <w:t>2019–20</w:t>
            </w:r>
          </w:p>
        </w:tc>
        <w:tc>
          <w:tcPr>
            <w:tcW w:w="682" w:type="pct"/>
          </w:tcPr>
          <w:p w:rsidR="00EA265F" w:rsidRPr="00C6748D" w:rsidRDefault="00EA265F" w:rsidP="00FE1FAC">
            <w:pPr>
              <w:pStyle w:val="TableHeadingCentred"/>
              <w:ind w:left="57" w:right="57"/>
              <w:cnfStyle w:val="100000000000" w:firstRow="1" w:lastRow="0" w:firstColumn="0" w:lastColumn="0" w:oddVBand="0" w:evenVBand="0" w:oddHBand="0" w:evenHBand="0" w:firstRowFirstColumn="0" w:firstRowLastColumn="0" w:lastRowFirstColumn="0" w:lastRowLastColumn="0"/>
              <w:rPr>
                <w:b/>
                <w:szCs w:val="20"/>
                <w:vertAlign w:val="superscript"/>
              </w:rPr>
            </w:pPr>
            <w:r w:rsidRPr="00C6748D">
              <w:rPr>
                <w:b/>
              </w:rPr>
              <w:t>Total to 2019–20</w:t>
            </w:r>
          </w:p>
        </w:tc>
      </w:tr>
      <w:tr w:rsidR="00B6737F" w:rsidRPr="0066665A" w:rsidTr="00022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pct"/>
          </w:tcPr>
          <w:p w:rsidR="00B6737F" w:rsidRPr="002F6A2C" w:rsidRDefault="00B6737F" w:rsidP="00C614A7">
            <w:pPr>
              <w:spacing w:before="70" w:after="70" w:line="240" w:lineRule="auto"/>
              <w:ind w:left="57" w:right="57"/>
              <w:rPr>
                <w:b/>
              </w:rPr>
            </w:pPr>
            <w:r w:rsidRPr="002F6A2C">
              <w:rPr>
                <w:b/>
              </w:rPr>
              <w:t>Abolishing FTCs</w:t>
            </w:r>
          </w:p>
        </w:tc>
        <w:tc>
          <w:tcPr>
            <w:tcW w:w="682" w:type="pct"/>
          </w:tcPr>
          <w:p w:rsidR="00B6737F" w:rsidRPr="002F6A2C"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rPr>
            </w:pPr>
            <w:r w:rsidRPr="002F6A2C">
              <w:rPr>
                <w:b/>
              </w:rPr>
              <w:t>4,550</w:t>
            </w:r>
            <w:r w:rsidR="00CD293F">
              <w:rPr>
                <w:b/>
              </w:rPr>
              <w:t>.0</w:t>
            </w:r>
          </w:p>
        </w:tc>
        <w:tc>
          <w:tcPr>
            <w:tcW w:w="682" w:type="pct"/>
          </w:tcPr>
          <w:p w:rsidR="00B6737F" w:rsidRPr="002F6A2C"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rPr>
            </w:pPr>
            <w:r w:rsidRPr="002F6A2C">
              <w:rPr>
                <w:b/>
              </w:rPr>
              <w:t>4,550</w:t>
            </w:r>
            <w:r w:rsidR="00CD293F">
              <w:rPr>
                <w:b/>
              </w:rPr>
              <w:t>.0</w:t>
            </w:r>
          </w:p>
        </w:tc>
        <w:tc>
          <w:tcPr>
            <w:tcW w:w="682" w:type="pct"/>
          </w:tcPr>
          <w:p w:rsidR="00B6737F" w:rsidRPr="002F6A2C"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rPr>
            </w:pPr>
            <w:r w:rsidRPr="002F6A2C">
              <w:rPr>
                <w:b/>
              </w:rPr>
              <w:t>4,300</w:t>
            </w:r>
            <w:r w:rsidR="00CD293F">
              <w:rPr>
                <w:b/>
              </w:rPr>
              <w:t>.0</w:t>
            </w:r>
          </w:p>
        </w:tc>
        <w:tc>
          <w:tcPr>
            <w:tcW w:w="682" w:type="pct"/>
          </w:tcPr>
          <w:p w:rsidR="00B6737F" w:rsidRPr="002F6A2C"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rPr>
            </w:pPr>
            <w:r w:rsidRPr="002F6A2C">
              <w:rPr>
                <w:b/>
              </w:rPr>
              <w:t>4,500</w:t>
            </w:r>
            <w:r w:rsidR="00CD293F">
              <w:rPr>
                <w:b/>
              </w:rPr>
              <w:t>.0</w:t>
            </w:r>
          </w:p>
        </w:tc>
        <w:tc>
          <w:tcPr>
            <w:tcW w:w="682" w:type="pct"/>
          </w:tcPr>
          <w:p w:rsidR="00B6737F" w:rsidRPr="00C6748D"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rPr>
            </w:pPr>
            <w:r w:rsidRPr="00C6748D">
              <w:rPr>
                <w:b/>
              </w:rPr>
              <w:t>17,900</w:t>
            </w:r>
            <w:r w:rsidR="00CD293F">
              <w:rPr>
                <w:b/>
              </w:rPr>
              <w:t>.0</w:t>
            </w:r>
          </w:p>
        </w:tc>
      </w:tr>
      <w:tr w:rsidR="00B6737F" w:rsidRPr="0066665A" w:rsidTr="000223E4">
        <w:tc>
          <w:tcPr>
            <w:cnfStyle w:val="001000000000" w:firstRow="0" w:lastRow="0" w:firstColumn="1" w:lastColumn="0" w:oddVBand="0" w:evenVBand="0" w:oddHBand="0" w:evenHBand="0" w:firstRowFirstColumn="0" w:firstRowLastColumn="0" w:lastRowFirstColumn="0" w:lastRowLastColumn="0"/>
            <w:tcW w:w="1590" w:type="pct"/>
          </w:tcPr>
          <w:p w:rsidR="00B6737F" w:rsidRPr="002F5AE7" w:rsidRDefault="00B6737F" w:rsidP="00C614A7">
            <w:pPr>
              <w:spacing w:before="70" w:after="70" w:line="240" w:lineRule="auto"/>
              <w:ind w:left="57" w:right="57"/>
              <w:rPr>
                <w:i/>
              </w:rPr>
            </w:pPr>
            <w:r w:rsidRPr="002F5AE7">
              <w:rPr>
                <w:i/>
              </w:rPr>
              <w:t>Administered expense – FTC</w:t>
            </w:r>
            <w:r w:rsidR="00FE1FAC">
              <w:rPr>
                <w:i/>
              </w:rPr>
              <w:t> </w:t>
            </w:r>
            <w:r w:rsidRPr="002F5AE7">
              <w:rPr>
                <w:i/>
              </w:rPr>
              <w:t>expenses</w:t>
            </w:r>
          </w:p>
        </w:tc>
        <w:tc>
          <w:tcPr>
            <w:tcW w:w="682" w:type="pct"/>
          </w:tcPr>
          <w:p w:rsidR="00B6737F" w:rsidRPr="002F5AE7"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2F5AE7">
              <w:rPr>
                <w:i/>
              </w:rPr>
              <w:t>4,550</w:t>
            </w:r>
            <w:r w:rsidR="00CD293F" w:rsidRPr="002F5AE7">
              <w:rPr>
                <w:i/>
              </w:rPr>
              <w:t>.0</w:t>
            </w:r>
          </w:p>
        </w:tc>
        <w:tc>
          <w:tcPr>
            <w:tcW w:w="682" w:type="pct"/>
          </w:tcPr>
          <w:p w:rsidR="00B6737F" w:rsidRPr="002F5AE7"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2F5AE7">
              <w:rPr>
                <w:i/>
              </w:rPr>
              <w:t>5,700</w:t>
            </w:r>
            <w:r w:rsidR="00CD293F" w:rsidRPr="002F5AE7">
              <w:rPr>
                <w:i/>
              </w:rPr>
              <w:t>.0</w:t>
            </w:r>
          </w:p>
        </w:tc>
        <w:tc>
          <w:tcPr>
            <w:tcW w:w="682" w:type="pct"/>
          </w:tcPr>
          <w:p w:rsidR="00B6737F" w:rsidRPr="002F5AE7"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2F5AE7">
              <w:rPr>
                <w:i/>
              </w:rPr>
              <w:t>5,900</w:t>
            </w:r>
            <w:r w:rsidR="00CD293F" w:rsidRPr="002F5AE7">
              <w:rPr>
                <w:i/>
              </w:rPr>
              <w:t>.0</w:t>
            </w:r>
          </w:p>
        </w:tc>
        <w:tc>
          <w:tcPr>
            <w:tcW w:w="682" w:type="pct"/>
          </w:tcPr>
          <w:p w:rsidR="00B6737F" w:rsidRPr="002F5AE7"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2F5AE7">
              <w:rPr>
                <w:i/>
              </w:rPr>
              <w:t>6,200</w:t>
            </w:r>
            <w:r w:rsidR="00CD293F" w:rsidRPr="002F5AE7">
              <w:rPr>
                <w:i/>
              </w:rPr>
              <w:t>.0</w:t>
            </w:r>
          </w:p>
        </w:tc>
        <w:tc>
          <w:tcPr>
            <w:tcW w:w="682" w:type="pct"/>
          </w:tcPr>
          <w:p w:rsidR="00B6737F" w:rsidRPr="002F5AE7"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rPr>
            </w:pPr>
            <w:r w:rsidRPr="002F5AE7">
              <w:rPr>
                <w:b/>
                <w:i/>
              </w:rPr>
              <w:t>22,350</w:t>
            </w:r>
            <w:r w:rsidR="00CD293F" w:rsidRPr="002F5AE7">
              <w:rPr>
                <w:b/>
                <w:i/>
              </w:rPr>
              <w:t>.0</w:t>
            </w:r>
          </w:p>
        </w:tc>
      </w:tr>
      <w:tr w:rsidR="00B6737F" w:rsidRPr="0066665A" w:rsidTr="00022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pct"/>
          </w:tcPr>
          <w:p w:rsidR="00B6737F" w:rsidRPr="002F5AE7" w:rsidRDefault="00B6737F" w:rsidP="00C614A7">
            <w:pPr>
              <w:spacing w:before="70" w:after="70" w:line="240" w:lineRule="auto"/>
              <w:ind w:left="57" w:right="57"/>
              <w:rPr>
                <w:i/>
              </w:rPr>
            </w:pPr>
            <w:r w:rsidRPr="002F5AE7">
              <w:rPr>
                <w:i/>
              </w:rPr>
              <w:t>Revenue – Company Tax</w:t>
            </w:r>
          </w:p>
        </w:tc>
        <w:tc>
          <w:tcPr>
            <w:tcW w:w="682" w:type="pct"/>
          </w:tcPr>
          <w:p w:rsidR="00B6737F" w:rsidRPr="002F5AE7"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2F5AE7">
              <w:rPr>
                <w:i/>
              </w:rPr>
              <w:t>-</w:t>
            </w:r>
          </w:p>
        </w:tc>
        <w:tc>
          <w:tcPr>
            <w:tcW w:w="682" w:type="pct"/>
          </w:tcPr>
          <w:p w:rsidR="00B6737F" w:rsidRPr="002F5AE7"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2F5AE7">
              <w:rPr>
                <w:i/>
              </w:rPr>
              <w:t>-1,150</w:t>
            </w:r>
            <w:r w:rsidR="00CD293F" w:rsidRPr="002F5AE7">
              <w:rPr>
                <w:i/>
              </w:rPr>
              <w:t>.0</w:t>
            </w:r>
          </w:p>
        </w:tc>
        <w:tc>
          <w:tcPr>
            <w:tcW w:w="682" w:type="pct"/>
          </w:tcPr>
          <w:p w:rsidR="00B6737F" w:rsidRPr="002F5AE7"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2F5AE7">
              <w:rPr>
                <w:i/>
              </w:rPr>
              <w:t>-1,600</w:t>
            </w:r>
            <w:r w:rsidR="00CD293F" w:rsidRPr="002F5AE7">
              <w:rPr>
                <w:i/>
              </w:rPr>
              <w:t>.0</w:t>
            </w:r>
          </w:p>
        </w:tc>
        <w:tc>
          <w:tcPr>
            <w:tcW w:w="682" w:type="pct"/>
          </w:tcPr>
          <w:p w:rsidR="00B6737F" w:rsidRPr="002F5AE7"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2F5AE7">
              <w:rPr>
                <w:i/>
              </w:rPr>
              <w:t>-1,700</w:t>
            </w:r>
            <w:r w:rsidR="00CD293F" w:rsidRPr="002F5AE7">
              <w:rPr>
                <w:i/>
              </w:rPr>
              <w:t>.0</w:t>
            </w:r>
          </w:p>
        </w:tc>
        <w:tc>
          <w:tcPr>
            <w:tcW w:w="682" w:type="pct"/>
          </w:tcPr>
          <w:p w:rsidR="00B6737F" w:rsidRPr="002F5AE7"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i/>
              </w:rPr>
            </w:pPr>
            <w:r w:rsidRPr="002F5AE7">
              <w:rPr>
                <w:b/>
                <w:i/>
              </w:rPr>
              <w:t>-4,450</w:t>
            </w:r>
            <w:r w:rsidR="00CD293F" w:rsidRPr="002F5AE7">
              <w:rPr>
                <w:b/>
                <w:i/>
              </w:rPr>
              <w:t>.0</w:t>
            </w:r>
          </w:p>
        </w:tc>
      </w:tr>
      <w:tr w:rsidR="00B6737F" w:rsidRPr="0066665A" w:rsidTr="000223E4">
        <w:tc>
          <w:tcPr>
            <w:cnfStyle w:val="001000000000" w:firstRow="0" w:lastRow="0" w:firstColumn="1" w:lastColumn="0" w:oddVBand="0" w:evenVBand="0" w:oddHBand="0" w:evenHBand="0" w:firstRowFirstColumn="0" w:firstRowLastColumn="0" w:lastRowFirstColumn="0" w:lastRowLastColumn="0"/>
            <w:tcW w:w="1590" w:type="pct"/>
          </w:tcPr>
          <w:p w:rsidR="00B6737F" w:rsidRPr="002F6A2C" w:rsidRDefault="00A04DD9" w:rsidP="00C614A7">
            <w:pPr>
              <w:spacing w:before="70" w:after="70" w:line="240" w:lineRule="auto"/>
              <w:ind w:left="57" w:right="57"/>
              <w:rPr>
                <w:b/>
              </w:rPr>
            </w:pPr>
            <w:r>
              <w:rPr>
                <w:b/>
              </w:rPr>
              <w:t>Abolishing</w:t>
            </w:r>
            <w:r w:rsidRPr="002F6A2C">
              <w:rPr>
                <w:b/>
              </w:rPr>
              <w:t xml:space="preserve"> </w:t>
            </w:r>
            <w:r w:rsidR="00B6737F" w:rsidRPr="002F6A2C">
              <w:rPr>
                <w:b/>
              </w:rPr>
              <w:t xml:space="preserve">accelerated depreciation </w:t>
            </w:r>
          </w:p>
        </w:tc>
        <w:tc>
          <w:tcPr>
            <w:tcW w:w="682" w:type="pct"/>
          </w:tcPr>
          <w:p w:rsidR="00B6737F" w:rsidRPr="002F6A2C"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2F6A2C">
              <w:rPr>
                <w:b/>
              </w:rPr>
              <w:t>100</w:t>
            </w:r>
            <w:r w:rsidR="00CD293F">
              <w:rPr>
                <w:b/>
              </w:rPr>
              <w:t>.0</w:t>
            </w:r>
          </w:p>
        </w:tc>
        <w:tc>
          <w:tcPr>
            <w:tcW w:w="682" w:type="pct"/>
          </w:tcPr>
          <w:p w:rsidR="00B6737F" w:rsidRPr="002F6A2C"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2F6A2C">
              <w:rPr>
                <w:b/>
              </w:rPr>
              <w:t>500</w:t>
            </w:r>
            <w:r w:rsidR="00CD293F">
              <w:rPr>
                <w:b/>
              </w:rPr>
              <w:t>.0</w:t>
            </w:r>
          </w:p>
        </w:tc>
        <w:tc>
          <w:tcPr>
            <w:tcW w:w="682" w:type="pct"/>
          </w:tcPr>
          <w:p w:rsidR="00B6737F" w:rsidRPr="002F6A2C"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2F6A2C">
              <w:rPr>
                <w:b/>
              </w:rPr>
              <w:t>1,000</w:t>
            </w:r>
            <w:r w:rsidR="00CD293F">
              <w:rPr>
                <w:b/>
              </w:rPr>
              <w:t>.0</w:t>
            </w:r>
          </w:p>
        </w:tc>
        <w:tc>
          <w:tcPr>
            <w:tcW w:w="682" w:type="pct"/>
          </w:tcPr>
          <w:p w:rsidR="00B6737F" w:rsidRPr="002F6A2C"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2F6A2C">
              <w:rPr>
                <w:b/>
              </w:rPr>
              <w:t>1,400</w:t>
            </w:r>
            <w:r w:rsidR="00CD293F">
              <w:rPr>
                <w:b/>
              </w:rPr>
              <w:t>.0</w:t>
            </w:r>
          </w:p>
        </w:tc>
        <w:tc>
          <w:tcPr>
            <w:tcW w:w="682" w:type="pct"/>
          </w:tcPr>
          <w:p w:rsidR="00B6737F" w:rsidRPr="00C6748D"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C6748D">
              <w:rPr>
                <w:b/>
              </w:rPr>
              <w:t>3,000</w:t>
            </w:r>
            <w:r w:rsidR="00CD293F">
              <w:rPr>
                <w:b/>
              </w:rPr>
              <w:t>.0</w:t>
            </w:r>
          </w:p>
        </w:tc>
      </w:tr>
      <w:tr w:rsidR="00B6737F" w:rsidRPr="0066665A" w:rsidTr="00022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pct"/>
          </w:tcPr>
          <w:p w:rsidR="00B6737F" w:rsidRPr="002F5AE7" w:rsidRDefault="00B6737F" w:rsidP="00C614A7">
            <w:pPr>
              <w:spacing w:before="70" w:after="70" w:line="240" w:lineRule="auto"/>
              <w:ind w:left="57" w:right="57"/>
              <w:rPr>
                <w:i/>
              </w:rPr>
            </w:pPr>
            <w:r w:rsidRPr="002F5AE7">
              <w:rPr>
                <w:i/>
              </w:rPr>
              <w:t>Revenue – Company Tax</w:t>
            </w:r>
          </w:p>
        </w:tc>
        <w:tc>
          <w:tcPr>
            <w:tcW w:w="682" w:type="pct"/>
          </w:tcPr>
          <w:p w:rsidR="00B6737F" w:rsidRPr="002F5AE7"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2F5AE7">
              <w:rPr>
                <w:i/>
              </w:rPr>
              <w:t>100</w:t>
            </w:r>
            <w:r w:rsidR="00CD293F" w:rsidRPr="002F5AE7">
              <w:rPr>
                <w:i/>
              </w:rPr>
              <w:t>.0</w:t>
            </w:r>
          </w:p>
        </w:tc>
        <w:tc>
          <w:tcPr>
            <w:tcW w:w="682" w:type="pct"/>
          </w:tcPr>
          <w:p w:rsidR="00B6737F" w:rsidRPr="002F5AE7"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2F5AE7">
              <w:rPr>
                <w:i/>
              </w:rPr>
              <w:t>500</w:t>
            </w:r>
            <w:r w:rsidR="00CD293F" w:rsidRPr="002F5AE7">
              <w:rPr>
                <w:i/>
              </w:rPr>
              <w:t>.0</w:t>
            </w:r>
          </w:p>
        </w:tc>
        <w:tc>
          <w:tcPr>
            <w:tcW w:w="682" w:type="pct"/>
          </w:tcPr>
          <w:p w:rsidR="00B6737F" w:rsidRPr="002F5AE7"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2F5AE7">
              <w:rPr>
                <w:i/>
              </w:rPr>
              <w:t>1,000</w:t>
            </w:r>
            <w:r w:rsidR="00CD293F" w:rsidRPr="002F5AE7">
              <w:rPr>
                <w:i/>
              </w:rPr>
              <w:t>.0</w:t>
            </w:r>
          </w:p>
        </w:tc>
        <w:tc>
          <w:tcPr>
            <w:tcW w:w="682" w:type="pct"/>
          </w:tcPr>
          <w:p w:rsidR="00B6737F" w:rsidRPr="002F5AE7"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2F5AE7">
              <w:rPr>
                <w:i/>
              </w:rPr>
              <w:t>1,400</w:t>
            </w:r>
            <w:r w:rsidR="00CD293F" w:rsidRPr="002F5AE7">
              <w:rPr>
                <w:i/>
              </w:rPr>
              <w:t>.0</w:t>
            </w:r>
          </w:p>
        </w:tc>
        <w:tc>
          <w:tcPr>
            <w:tcW w:w="682" w:type="pct"/>
          </w:tcPr>
          <w:p w:rsidR="00B6737F" w:rsidRPr="002F5AE7"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i/>
              </w:rPr>
            </w:pPr>
            <w:r w:rsidRPr="002F5AE7">
              <w:rPr>
                <w:b/>
                <w:i/>
              </w:rPr>
              <w:t>3,000</w:t>
            </w:r>
            <w:r w:rsidR="00CD293F" w:rsidRPr="002F5AE7">
              <w:rPr>
                <w:b/>
                <w:i/>
              </w:rPr>
              <w:t>.0</w:t>
            </w:r>
          </w:p>
        </w:tc>
      </w:tr>
      <w:tr w:rsidR="00B6737F" w:rsidRPr="0066665A" w:rsidTr="000223E4">
        <w:tc>
          <w:tcPr>
            <w:cnfStyle w:val="001000000000" w:firstRow="0" w:lastRow="0" w:firstColumn="1" w:lastColumn="0" w:oddVBand="0" w:evenVBand="0" w:oddHBand="0" w:evenHBand="0" w:firstRowFirstColumn="0" w:firstRowLastColumn="0" w:lastRowFirstColumn="0" w:lastRowLastColumn="0"/>
            <w:tcW w:w="1590" w:type="pct"/>
          </w:tcPr>
          <w:p w:rsidR="00B6737F" w:rsidRPr="002F6A2C" w:rsidRDefault="00A04DD9" w:rsidP="00C614A7">
            <w:pPr>
              <w:spacing w:before="70" w:after="70" w:line="240" w:lineRule="auto"/>
              <w:ind w:left="57" w:right="57"/>
              <w:rPr>
                <w:b/>
              </w:rPr>
            </w:pPr>
            <w:r>
              <w:rPr>
                <w:b/>
              </w:rPr>
              <w:t>Abolishing the</w:t>
            </w:r>
            <w:r w:rsidRPr="002F6A2C">
              <w:rPr>
                <w:b/>
              </w:rPr>
              <w:t xml:space="preserve"> </w:t>
            </w:r>
            <w:r w:rsidR="00B6737F" w:rsidRPr="002F6A2C">
              <w:rPr>
                <w:b/>
              </w:rPr>
              <w:t>immediate deduction for exploration and prospecting</w:t>
            </w:r>
          </w:p>
        </w:tc>
        <w:tc>
          <w:tcPr>
            <w:tcW w:w="682" w:type="pct"/>
          </w:tcPr>
          <w:p w:rsidR="00B6737F" w:rsidRPr="002F6A2C"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2F6A2C">
              <w:rPr>
                <w:b/>
              </w:rPr>
              <w:t>200</w:t>
            </w:r>
            <w:r w:rsidR="00CD293F">
              <w:rPr>
                <w:b/>
              </w:rPr>
              <w:t>.0</w:t>
            </w:r>
          </w:p>
        </w:tc>
        <w:tc>
          <w:tcPr>
            <w:tcW w:w="682" w:type="pct"/>
          </w:tcPr>
          <w:p w:rsidR="00B6737F" w:rsidRPr="002F6A2C"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2F6A2C">
              <w:rPr>
                <w:b/>
              </w:rPr>
              <w:t>1,000</w:t>
            </w:r>
            <w:r w:rsidR="00CD293F">
              <w:rPr>
                <w:b/>
              </w:rPr>
              <w:t>.0</w:t>
            </w:r>
          </w:p>
        </w:tc>
        <w:tc>
          <w:tcPr>
            <w:tcW w:w="682" w:type="pct"/>
          </w:tcPr>
          <w:p w:rsidR="00B6737F" w:rsidRPr="002F6A2C"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2F6A2C">
              <w:rPr>
                <w:b/>
              </w:rPr>
              <w:t>1,100</w:t>
            </w:r>
            <w:r w:rsidR="00CD293F">
              <w:rPr>
                <w:b/>
              </w:rPr>
              <w:t>.0</w:t>
            </w:r>
          </w:p>
        </w:tc>
        <w:tc>
          <w:tcPr>
            <w:tcW w:w="682" w:type="pct"/>
          </w:tcPr>
          <w:p w:rsidR="00B6737F" w:rsidRPr="002F6A2C"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2F6A2C">
              <w:rPr>
                <w:b/>
              </w:rPr>
              <w:t>750</w:t>
            </w:r>
            <w:r w:rsidR="00CD293F">
              <w:rPr>
                <w:b/>
              </w:rPr>
              <w:t>.0</w:t>
            </w:r>
          </w:p>
        </w:tc>
        <w:tc>
          <w:tcPr>
            <w:tcW w:w="682" w:type="pct"/>
          </w:tcPr>
          <w:p w:rsidR="00B6737F" w:rsidRPr="00C6748D"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C6748D">
              <w:rPr>
                <w:b/>
              </w:rPr>
              <w:t>3,050</w:t>
            </w:r>
            <w:r w:rsidR="00CD293F">
              <w:rPr>
                <w:b/>
              </w:rPr>
              <w:t>.0</w:t>
            </w:r>
          </w:p>
        </w:tc>
      </w:tr>
      <w:tr w:rsidR="00B6737F" w:rsidRPr="0066665A" w:rsidTr="00022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pct"/>
          </w:tcPr>
          <w:p w:rsidR="00B6737F" w:rsidRPr="002F5AE7" w:rsidRDefault="00B6737F" w:rsidP="00C614A7">
            <w:pPr>
              <w:spacing w:before="70" w:after="70" w:line="240" w:lineRule="auto"/>
              <w:ind w:left="57" w:right="57"/>
              <w:rPr>
                <w:i/>
              </w:rPr>
            </w:pPr>
            <w:r w:rsidRPr="002F5AE7">
              <w:rPr>
                <w:i/>
              </w:rPr>
              <w:t>Revenue – Company Tax</w:t>
            </w:r>
          </w:p>
        </w:tc>
        <w:tc>
          <w:tcPr>
            <w:tcW w:w="682" w:type="pct"/>
          </w:tcPr>
          <w:p w:rsidR="00B6737F" w:rsidRPr="002F5AE7"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2F5AE7">
              <w:rPr>
                <w:i/>
              </w:rPr>
              <w:t>200</w:t>
            </w:r>
            <w:r w:rsidR="00CD293F" w:rsidRPr="002F5AE7">
              <w:rPr>
                <w:i/>
              </w:rPr>
              <w:t>.0</w:t>
            </w:r>
          </w:p>
        </w:tc>
        <w:tc>
          <w:tcPr>
            <w:tcW w:w="682" w:type="pct"/>
          </w:tcPr>
          <w:p w:rsidR="00B6737F" w:rsidRPr="002F5AE7"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2F5AE7">
              <w:rPr>
                <w:i/>
              </w:rPr>
              <w:t>1,000</w:t>
            </w:r>
            <w:r w:rsidR="00CD293F" w:rsidRPr="002F5AE7">
              <w:rPr>
                <w:i/>
              </w:rPr>
              <w:t>.0</w:t>
            </w:r>
          </w:p>
        </w:tc>
        <w:tc>
          <w:tcPr>
            <w:tcW w:w="682" w:type="pct"/>
          </w:tcPr>
          <w:p w:rsidR="00B6737F" w:rsidRPr="002F5AE7"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2F5AE7">
              <w:rPr>
                <w:i/>
              </w:rPr>
              <w:t>1,100</w:t>
            </w:r>
            <w:r w:rsidR="00CD293F" w:rsidRPr="002F5AE7">
              <w:rPr>
                <w:i/>
              </w:rPr>
              <w:t>.0</w:t>
            </w:r>
          </w:p>
        </w:tc>
        <w:tc>
          <w:tcPr>
            <w:tcW w:w="682" w:type="pct"/>
          </w:tcPr>
          <w:p w:rsidR="00B6737F" w:rsidRPr="002F5AE7"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2F5AE7">
              <w:rPr>
                <w:i/>
              </w:rPr>
              <w:t>750</w:t>
            </w:r>
            <w:r w:rsidR="00CD293F" w:rsidRPr="002F5AE7">
              <w:rPr>
                <w:i/>
              </w:rPr>
              <w:t>.0</w:t>
            </w:r>
          </w:p>
        </w:tc>
        <w:tc>
          <w:tcPr>
            <w:tcW w:w="682" w:type="pct"/>
          </w:tcPr>
          <w:p w:rsidR="00B6737F" w:rsidRPr="002F5AE7"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i/>
              </w:rPr>
            </w:pPr>
            <w:r w:rsidRPr="002F5AE7">
              <w:rPr>
                <w:b/>
                <w:i/>
              </w:rPr>
              <w:t>3,050</w:t>
            </w:r>
            <w:r w:rsidR="00CD293F" w:rsidRPr="002F5AE7">
              <w:rPr>
                <w:b/>
                <w:i/>
              </w:rPr>
              <w:t>.0</w:t>
            </w:r>
          </w:p>
        </w:tc>
      </w:tr>
      <w:tr w:rsidR="00B6737F" w:rsidRPr="0066665A" w:rsidTr="000223E4">
        <w:tc>
          <w:tcPr>
            <w:cnfStyle w:val="001000000000" w:firstRow="0" w:lastRow="0" w:firstColumn="1" w:lastColumn="0" w:oddVBand="0" w:evenVBand="0" w:oddHBand="0" w:evenHBand="0" w:firstRowFirstColumn="0" w:firstRowLastColumn="0" w:lastRowFirstColumn="0" w:lastRowLastColumn="0"/>
            <w:tcW w:w="1590" w:type="pct"/>
          </w:tcPr>
          <w:p w:rsidR="00B6737F" w:rsidRPr="002F6A2C" w:rsidRDefault="00B6737F" w:rsidP="00C614A7">
            <w:pPr>
              <w:spacing w:before="70" w:after="70" w:line="240" w:lineRule="auto"/>
              <w:ind w:left="57" w:right="57"/>
              <w:rPr>
                <w:b/>
              </w:rPr>
            </w:pPr>
            <w:r w:rsidRPr="002F6A2C">
              <w:rPr>
                <w:b/>
              </w:rPr>
              <w:t>Abolishing the ACSRF</w:t>
            </w:r>
          </w:p>
        </w:tc>
        <w:tc>
          <w:tcPr>
            <w:tcW w:w="682" w:type="pct"/>
          </w:tcPr>
          <w:p w:rsidR="00B6737F" w:rsidRPr="002F6A2C"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2F6A2C">
              <w:rPr>
                <w:b/>
              </w:rPr>
              <w:t>4.5</w:t>
            </w:r>
          </w:p>
        </w:tc>
        <w:tc>
          <w:tcPr>
            <w:tcW w:w="682" w:type="pct"/>
          </w:tcPr>
          <w:p w:rsidR="00B6737F" w:rsidRPr="002F6A2C"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2F6A2C">
              <w:rPr>
                <w:b/>
              </w:rPr>
              <w:t>2.8</w:t>
            </w:r>
          </w:p>
        </w:tc>
        <w:tc>
          <w:tcPr>
            <w:tcW w:w="682" w:type="pct"/>
          </w:tcPr>
          <w:p w:rsidR="00B6737F" w:rsidRPr="002F6A2C"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2F6A2C">
              <w:rPr>
                <w:b/>
              </w:rPr>
              <w:t>2.6</w:t>
            </w:r>
          </w:p>
        </w:tc>
        <w:tc>
          <w:tcPr>
            <w:tcW w:w="682" w:type="pct"/>
          </w:tcPr>
          <w:p w:rsidR="00B6737F" w:rsidRPr="002F6A2C"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2F6A2C">
              <w:rPr>
                <w:b/>
              </w:rPr>
              <w:t>2.6</w:t>
            </w:r>
          </w:p>
        </w:tc>
        <w:tc>
          <w:tcPr>
            <w:tcW w:w="682" w:type="pct"/>
          </w:tcPr>
          <w:p w:rsidR="00B6737F" w:rsidRPr="00C6748D"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C6748D">
              <w:rPr>
                <w:b/>
              </w:rPr>
              <w:t>12.5</w:t>
            </w:r>
          </w:p>
        </w:tc>
      </w:tr>
      <w:tr w:rsidR="00B6737F" w:rsidRPr="0066665A" w:rsidTr="00022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pct"/>
          </w:tcPr>
          <w:p w:rsidR="00B6737F" w:rsidRPr="002F5AE7" w:rsidRDefault="00B6737F" w:rsidP="00C614A7">
            <w:pPr>
              <w:spacing w:before="70" w:after="70" w:line="240" w:lineRule="auto"/>
              <w:ind w:left="57" w:right="57"/>
              <w:rPr>
                <w:i/>
              </w:rPr>
            </w:pPr>
            <w:r w:rsidRPr="002F5AE7">
              <w:rPr>
                <w:i/>
              </w:rPr>
              <w:t>Administered expense – Reduced funding for the ACSRF</w:t>
            </w:r>
          </w:p>
        </w:tc>
        <w:tc>
          <w:tcPr>
            <w:tcW w:w="682" w:type="pct"/>
          </w:tcPr>
          <w:p w:rsidR="00B6737F" w:rsidRPr="002F5AE7"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2F5AE7">
              <w:rPr>
                <w:i/>
              </w:rPr>
              <w:t>4.5</w:t>
            </w:r>
          </w:p>
        </w:tc>
        <w:tc>
          <w:tcPr>
            <w:tcW w:w="682" w:type="pct"/>
          </w:tcPr>
          <w:p w:rsidR="00B6737F" w:rsidRPr="002F5AE7"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2F5AE7">
              <w:rPr>
                <w:i/>
              </w:rPr>
              <w:t>2.4</w:t>
            </w:r>
          </w:p>
        </w:tc>
        <w:tc>
          <w:tcPr>
            <w:tcW w:w="682" w:type="pct"/>
          </w:tcPr>
          <w:p w:rsidR="00B6737F" w:rsidRPr="002F5AE7"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2F5AE7">
              <w:rPr>
                <w:i/>
              </w:rPr>
              <w:t>2.2</w:t>
            </w:r>
          </w:p>
        </w:tc>
        <w:tc>
          <w:tcPr>
            <w:tcW w:w="682" w:type="pct"/>
          </w:tcPr>
          <w:p w:rsidR="00B6737F" w:rsidRPr="002F5AE7"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2F5AE7">
              <w:rPr>
                <w:i/>
              </w:rPr>
              <w:t>2.2</w:t>
            </w:r>
          </w:p>
        </w:tc>
        <w:tc>
          <w:tcPr>
            <w:tcW w:w="682" w:type="pct"/>
          </w:tcPr>
          <w:p w:rsidR="00B6737F" w:rsidRPr="002F5AE7"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i/>
              </w:rPr>
            </w:pPr>
            <w:r w:rsidRPr="002F5AE7">
              <w:rPr>
                <w:b/>
                <w:i/>
              </w:rPr>
              <w:t>11.3</w:t>
            </w:r>
          </w:p>
        </w:tc>
      </w:tr>
      <w:tr w:rsidR="00B6737F" w:rsidRPr="0066665A" w:rsidTr="000223E4">
        <w:tc>
          <w:tcPr>
            <w:cnfStyle w:val="001000000000" w:firstRow="0" w:lastRow="0" w:firstColumn="1" w:lastColumn="0" w:oddVBand="0" w:evenVBand="0" w:oddHBand="0" w:evenHBand="0" w:firstRowFirstColumn="0" w:firstRowLastColumn="0" w:lastRowFirstColumn="0" w:lastRowLastColumn="0"/>
            <w:tcW w:w="1590" w:type="pct"/>
          </w:tcPr>
          <w:p w:rsidR="00B6737F" w:rsidRPr="002F5AE7" w:rsidRDefault="00B6737F" w:rsidP="00C614A7">
            <w:pPr>
              <w:spacing w:before="70" w:after="70" w:line="240" w:lineRule="auto"/>
              <w:ind w:left="57" w:right="57"/>
              <w:rPr>
                <w:i/>
              </w:rPr>
            </w:pPr>
            <w:r w:rsidRPr="002F5AE7">
              <w:rPr>
                <w:i/>
              </w:rPr>
              <w:t>Departmental expense – DIIS</w:t>
            </w:r>
          </w:p>
        </w:tc>
        <w:tc>
          <w:tcPr>
            <w:tcW w:w="682" w:type="pct"/>
          </w:tcPr>
          <w:p w:rsidR="00B6737F" w:rsidRPr="002F5AE7"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2F5AE7">
              <w:rPr>
                <w:i/>
              </w:rPr>
              <w:t>-</w:t>
            </w:r>
          </w:p>
        </w:tc>
        <w:tc>
          <w:tcPr>
            <w:tcW w:w="682" w:type="pct"/>
          </w:tcPr>
          <w:p w:rsidR="00B6737F" w:rsidRPr="002F5AE7"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2F5AE7">
              <w:rPr>
                <w:i/>
              </w:rPr>
              <w:t>0.4</w:t>
            </w:r>
          </w:p>
        </w:tc>
        <w:tc>
          <w:tcPr>
            <w:tcW w:w="682" w:type="pct"/>
          </w:tcPr>
          <w:p w:rsidR="00B6737F" w:rsidRPr="002F5AE7"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2F5AE7">
              <w:rPr>
                <w:i/>
              </w:rPr>
              <w:t>0.4</w:t>
            </w:r>
          </w:p>
        </w:tc>
        <w:tc>
          <w:tcPr>
            <w:tcW w:w="682" w:type="pct"/>
          </w:tcPr>
          <w:p w:rsidR="00B6737F" w:rsidRPr="002F5AE7"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2F5AE7">
              <w:rPr>
                <w:i/>
              </w:rPr>
              <w:t>0.4</w:t>
            </w:r>
          </w:p>
        </w:tc>
        <w:tc>
          <w:tcPr>
            <w:tcW w:w="682" w:type="pct"/>
          </w:tcPr>
          <w:p w:rsidR="00B6737F" w:rsidRPr="002F5AE7"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rPr>
            </w:pPr>
            <w:r w:rsidRPr="002F5AE7">
              <w:rPr>
                <w:b/>
                <w:i/>
              </w:rPr>
              <w:t>1.2</w:t>
            </w:r>
          </w:p>
        </w:tc>
      </w:tr>
      <w:tr w:rsidR="00B6737F" w:rsidRPr="0066665A" w:rsidTr="00022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pct"/>
          </w:tcPr>
          <w:p w:rsidR="00B6737F" w:rsidRPr="002F6A2C" w:rsidRDefault="00A04DD9" w:rsidP="00C614A7">
            <w:pPr>
              <w:spacing w:before="70" w:after="70" w:line="240" w:lineRule="auto"/>
              <w:ind w:left="57" w:right="57"/>
              <w:rPr>
                <w:b/>
              </w:rPr>
            </w:pPr>
            <w:r>
              <w:rPr>
                <w:b/>
              </w:rPr>
              <w:t>Abolishing the</w:t>
            </w:r>
            <w:r w:rsidRPr="002F6A2C">
              <w:rPr>
                <w:b/>
              </w:rPr>
              <w:t xml:space="preserve"> </w:t>
            </w:r>
            <w:r w:rsidR="00B6737F" w:rsidRPr="002F6A2C">
              <w:rPr>
                <w:b/>
              </w:rPr>
              <w:t>frontier exploration uplift</w:t>
            </w:r>
            <w:r>
              <w:rPr>
                <w:b/>
              </w:rPr>
              <w:t xml:space="preserve"> from the PRRT</w:t>
            </w:r>
          </w:p>
        </w:tc>
        <w:tc>
          <w:tcPr>
            <w:tcW w:w="682" w:type="pct"/>
          </w:tcPr>
          <w:p w:rsidR="00B6737F" w:rsidRPr="002F6A2C"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rPr>
            </w:pPr>
            <w:r w:rsidRPr="002F6A2C">
              <w:rPr>
                <w:b/>
              </w:rPr>
              <w:t>..</w:t>
            </w:r>
          </w:p>
        </w:tc>
        <w:tc>
          <w:tcPr>
            <w:tcW w:w="682" w:type="pct"/>
          </w:tcPr>
          <w:p w:rsidR="00B6737F" w:rsidRPr="002F6A2C"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rPr>
            </w:pPr>
            <w:r w:rsidRPr="002F6A2C">
              <w:rPr>
                <w:b/>
              </w:rPr>
              <w:t>..</w:t>
            </w:r>
          </w:p>
        </w:tc>
        <w:tc>
          <w:tcPr>
            <w:tcW w:w="682" w:type="pct"/>
          </w:tcPr>
          <w:p w:rsidR="00B6737F" w:rsidRPr="002F6A2C"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rPr>
            </w:pPr>
            <w:r w:rsidRPr="002F6A2C">
              <w:rPr>
                <w:b/>
              </w:rPr>
              <w:t>..</w:t>
            </w:r>
          </w:p>
        </w:tc>
        <w:tc>
          <w:tcPr>
            <w:tcW w:w="682" w:type="pct"/>
          </w:tcPr>
          <w:p w:rsidR="00B6737F" w:rsidRPr="002F6A2C"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rPr>
            </w:pPr>
            <w:r w:rsidRPr="002F6A2C">
              <w:rPr>
                <w:b/>
              </w:rPr>
              <w:t>..</w:t>
            </w:r>
          </w:p>
        </w:tc>
        <w:tc>
          <w:tcPr>
            <w:tcW w:w="682" w:type="pct"/>
          </w:tcPr>
          <w:p w:rsidR="00B6737F" w:rsidRPr="00C6748D"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rPr>
            </w:pPr>
            <w:r w:rsidRPr="00C6748D">
              <w:rPr>
                <w:b/>
              </w:rPr>
              <w:t>..</w:t>
            </w:r>
          </w:p>
        </w:tc>
      </w:tr>
      <w:tr w:rsidR="00B6737F" w:rsidRPr="0066665A" w:rsidTr="000223E4">
        <w:tc>
          <w:tcPr>
            <w:cnfStyle w:val="001000000000" w:firstRow="0" w:lastRow="0" w:firstColumn="1" w:lastColumn="0" w:oddVBand="0" w:evenVBand="0" w:oddHBand="0" w:evenHBand="0" w:firstRowFirstColumn="0" w:firstRowLastColumn="0" w:lastRowFirstColumn="0" w:lastRowLastColumn="0"/>
            <w:tcW w:w="1590" w:type="pct"/>
          </w:tcPr>
          <w:p w:rsidR="00B6737F" w:rsidRPr="002F5AE7" w:rsidRDefault="00B6737F" w:rsidP="00C614A7">
            <w:pPr>
              <w:spacing w:before="70" w:after="70" w:line="240" w:lineRule="auto"/>
              <w:ind w:left="57" w:right="57"/>
              <w:rPr>
                <w:i/>
              </w:rPr>
            </w:pPr>
            <w:r w:rsidRPr="002F5AE7">
              <w:rPr>
                <w:i/>
              </w:rPr>
              <w:t>Revenue – PRRT</w:t>
            </w:r>
          </w:p>
        </w:tc>
        <w:tc>
          <w:tcPr>
            <w:tcW w:w="682" w:type="pct"/>
          </w:tcPr>
          <w:p w:rsidR="00B6737F" w:rsidRPr="002F5AE7"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2F5AE7">
              <w:rPr>
                <w:i/>
              </w:rPr>
              <w:t>..</w:t>
            </w:r>
          </w:p>
        </w:tc>
        <w:tc>
          <w:tcPr>
            <w:tcW w:w="682" w:type="pct"/>
          </w:tcPr>
          <w:p w:rsidR="00B6737F" w:rsidRPr="002F5AE7"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2F5AE7">
              <w:rPr>
                <w:i/>
              </w:rPr>
              <w:t>..</w:t>
            </w:r>
          </w:p>
        </w:tc>
        <w:tc>
          <w:tcPr>
            <w:tcW w:w="682" w:type="pct"/>
          </w:tcPr>
          <w:p w:rsidR="00B6737F" w:rsidRPr="002F5AE7"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2F5AE7">
              <w:rPr>
                <w:i/>
              </w:rPr>
              <w:t>..</w:t>
            </w:r>
          </w:p>
        </w:tc>
        <w:tc>
          <w:tcPr>
            <w:tcW w:w="682" w:type="pct"/>
          </w:tcPr>
          <w:p w:rsidR="00B6737F" w:rsidRPr="002F5AE7"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2F5AE7">
              <w:rPr>
                <w:i/>
              </w:rPr>
              <w:t>..</w:t>
            </w:r>
          </w:p>
        </w:tc>
        <w:tc>
          <w:tcPr>
            <w:tcW w:w="682" w:type="pct"/>
          </w:tcPr>
          <w:p w:rsidR="00B6737F" w:rsidRPr="002F5AE7" w:rsidRDefault="00B6737F"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rPr>
            </w:pPr>
            <w:r w:rsidRPr="002F5AE7">
              <w:rPr>
                <w:b/>
                <w:i/>
              </w:rPr>
              <w:t>..</w:t>
            </w:r>
          </w:p>
        </w:tc>
      </w:tr>
      <w:tr w:rsidR="00B6737F" w:rsidRPr="0066665A" w:rsidTr="00022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pct"/>
          </w:tcPr>
          <w:p w:rsidR="00B6737F" w:rsidRPr="002F5AE7" w:rsidRDefault="00B6737F" w:rsidP="00C614A7">
            <w:pPr>
              <w:spacing w:before="70" w:after="70" w:line="240" w:lineRule="auto"/>
              <w:ind w:left="57" w:right="57"/>
              <w:rPr>
                <w:i/>
              </w:rPr>
            </w:pPr>
            <w:r w:rsidRPr="002F5AE7">
              <w:rPr>
                <w:i/>
              </w:rPr>
              <w:t>Revenue – Company Tax</w:t>
            </w:r>
          </w:p>
        </w:tc>
        <w:tc>
          <w:tcPr>
            <w:tcW w:w="682" w:type="pct"/>
          </w:tcPr>
          <w:p w:rsidR="00B6737F" w:rsidRPr="002F5AE7"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2F5AE7">
              <w:rPr>
                <w:i/>
              </w:rPr>
              <w:t>..</w:t>
            </w:r>
          </w:p>
        </w:tc>
        <w:tc>
          <w:tcPr>
            <w:tcW w:w="682" w:type="pct"/>
          </w:tcPr>
          <w:p w:rsidR="00B6737F" w:rsidRPr="002F5AE7"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2F5AE7">
              <w:rPr>
                <w:i/>
              </w:rPr>
              <w:t>..</w:t>
            </w:r>
          </w:p>
        </w:tc>
        <w:tc>
          <w:tcPr>
            <w:tcW w:w="682" w:type="pct"/>
          </w:tcPr>
          <w:p w:rsidR="00B6737F" w:rsidRPr="002F5AE7"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2F5AE7">
              <w:rPr>
                <w:i/>
              </w:rPr>
              <w:t>..</w:t>
            </w:r>
          </w:p>
        </w:tc>
        <w:tc>
          <w:tcPr>
            <w:tcW w:w="682" w:type="pct"/>
          </w:tcPr>
          <w:p w:rsidR="00B6737F" w:rsidRPr="002F5AE7"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2F5AE7">
              <w:rPr>
                <w:i/>
              </w:rPr>
              <w:t>..</w:t>
            </w:r>
          </w:p>
        </w:tc>
        <w:tc>
          <w:tcPr>
            <w:tcW w:w="682" w:type="pct"/>
          </w:tcPr>
          <w:p w:rsidR="00B6737F" w:rsidRPr="002F5AE7" w:rsidRDefault="00B6737F"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i/>
              </w:rPr>
            </w:pPr>
            <w:r w:rsidRPr="002F5AE7">
              <w:rPr>
                <w:b/>
                <w:i/>
              </w:rPr>
              <w:t>..</w:t>
            </w:r>
          </w:p>
        </w:tc>
      </w:tr>
      <w:tr w:rsidR="00B6737F" w:rsidRPr="0055406D" w:rsidTr="000223E4">
        <w:tc>
          <w:tcPr>
            <w:cnfStyle w:val="001000000000" w:firstRow="0" w:lastRow="0" w:firstColumn="1" w:lastColumn="0" w:oddVBand="0" w:evenVBand="0" w:oddHBand="0" w:evenHBand="0" w:firstRowFirstColumn="0" w:firstRowLastColumn="0" w:lastRowFirstColumn="0" w:lastRowLastColumn="0"/>
            <w:tcW w:w="1590" w:type="pct"/>
            <w:shd w:val="clear" w:color="auto" w:fill="D7DDE9"/>
          </w:tcPr>
          <w:p w:rsidR="00B6737F" w:rsidRPr="0055406D" w:rsidRDefault="00B6737F" w:rsidP="00FE1FAC">
            <w:pPr>
              <w:pStyle w:val="TableTextCentred"/>
              <w:keepNext/>
              <w:keepLines/>
              <w:ind w:left="57" w:right="57"/>
              <w:jc w:val="left"/>
              <w:rPr>
                <w:b/>
                <w:szCs w:val="20"/>
              </w:rPr>
            </w:pPr>
            <w:r w:rsidRPr="0055406D">
              <w:rPr>
                <w:b/>
                <w:szCs w:val="20"/>
              </w:rPr>
              <w:t>Total</w:t>
            </w:r>
          </w:p>
        </w:tc>
        <w:tc>
          <w:tcPr>
            <w:tcW w:w="682" w:type="pct"/>
            <w:shd w:val="clear" w:color="auto" w:fill="D7DDE9"/>
          </w:tcPr>
          <w:p w:rsidR="00B6737F" w:rsidRPr="00B6737F" w:rsidRDefault="00B6737F" w:rsidP="00FE1FAC">
            <w:pPr>
              <w:ind w:left="57" w:right="57"/>
              <w:jc w:val="right"/>
              <w:cnfStyle w:val="000000000000" w:firstRow="0" w:lastRow="0" w:firstColumn="0" w:lastColumn="0" w:oddVBand="0" w:evenVBand="0" w:oddHBand="0" w:evenHBand="0" w:firstRowFirstColumn="0" w:firstRowLastColumn="0" w:lastRowFirstColumn="0" w:lastRowLastColumn="0"/>
              <w:rPr>
                <w:b/>
              </w:rPr>
            </w:pPr>
            <w:r w:rsidRPr="00B6737F">
              <w:rPr>
                <w:b/>
              </w:rPr>
              <w:t>4,85</w:t>
            </w:r>
            <w:r w:rsidR="00E83CA9">
              <w:rPr>
                <w:b/>
              </w:rPr>
              <w:t>4.5</w:t>
            </w:r>
          </w:p>
        </w:tc>
        <w:tc>
          <w:tcPr>
            <w:tcW w:w="682" w:type="pct"/>
            <w:shd w:val="clear" w:color="auto" w:fill="D7DDE9"/>
          </w:tcPr>
          <w:p w:rsidR="00B6737F" w:rsidRPr="00B6737F" w:rsidRDefault="00B6737F" w:rsidP="00FE1FAC">
            <w:pPr>
              <w:ind w:left="57" w:right="57"/>
              <w:jc w:val="right"/>
              <w:cnfStyle w:val="000000000000" w:firstRow="0" w:lastRow="0" w:firstColumn="0" w:lastColumn="0" w:oddVBand="0" w:evenVBand="0" w:oddHBand="0" w:evenHBand="0" w:firstRowFirstColumn="0" w:firstRowLastColumn="0" w:lastRowFirstColumn="0" w:lastRowLastColumn="0"/>
              <w:rPr>
                <w:b/>
              </w:rPr>
            </w:pPr>
            <w:r w:rsidRPr="00B6737F">
              <w:rPr>
                <w:b/>
              </w:rPr>
              <w:t>6,05</w:t>
            </w:r>
            <w:r w:rsidR="00E83CA9">
              <w:rPr>
                <w:b/>
              </w:rPr>
              <w:t>2.8</w:t>
            </w:r>
          </w:p>
        </w:tc>
        <w:tc>
          <w:tcPr>
            <w:tcW w:w="682" w:type="pct"/>
            <w:shd w:val="clear" w:color="auto" w:fill="D7DDE9"/>
          </w:tcPr>
          <w:p w:rsidR="00B6737F" w:rsidRPr="00B6737F" w:rsidRDefault="00B6737F" w:rsidP="00FE1FAC">
            <w:pPr>
              <w:ind w:left="57" w:right="57"/>
              <w:jc w:val="right"/>
              <w:cnfStyle w:val="000000000000" w:firstRow="0" w:lastRow="0" w:firstColumn="0" w:lastColumn="0" w:oddVBand="0" w:evenVBand="0" w:oddHBand="0" w:evenHBand="0" w:firstRowFirstColumn="0" w:firstRowLastColumn="0" w:lastRowFirstColumn="0" w:lastRowLastColumn="0"/>
              <w:rPr>
                <w:b/>
              </w:rPr>
            </w:pPr>
            <w:r w:rsidRPr="00B6737F">
              <w:rPr>
                <w:b/>
              </w:rPr>
              <w:t>6,40</w:t>
            </w:r>
            <w:r w:rsidR="00E83CA9">
              <w:rPr>
                <w:b/>
              </w:rPr>
              <w:t>2.6</w:t>
            </w:r>
          </w:p>
        </w:tc>
        <w:tc>
          <w:tcPr>
            <w:tcW w:w="682" w:type="pct"/>
            <w:shd w:val="clear" w:color="auto" w:fill="D7DDE9"/>
          </w:tcPr>
          <w:p w:rsidR="00B6737F" w:rsidRPr="00B6737F" w:rsidRDefault="00B6737F" w:rsidP="00FE1FAC">
            <w:pPr>
              <w:ind w:left="57" w:right="57"/>
              <w:jc w:val="right"/>
              <w:cnfStyle w:val="000000000000" w:firstRow="0" w:lastRow="0" w:firstColumn="0" w:lastColumn="0" w:oddVBand="0" w:evenVBand="0" w:oddHBand="0" w:evenHBand="0" w:firstRowFirstColumn="0" w:firstRowLastColumn="0" w:lastRowFirstColumn="0" w:lastRowLastColumn="0"/>
              <w:rPr>
                <w:b/>
              </w:rPr>
            </w:pPr>
            <w:r w:rsidRPr="00B6737F">
              <w:rPr>
                <w:b/>
              </w:rPr>
              <w:t>6,65</w:t>
            </w:r>
            <w:r w:rsidR="00E83CA9">
              <w:rPr>
                <w:b/>
              </w:rPr>
              <w:t>2.6</w:t>
            </w:r>
          </w:p>
        </w:tc>
        <w:tc>
          <w:tcPr>
            <w:tcW w:w="682" w:type="pct"/>
            <w:shd w:val="clear" w:color="auto" w:fill="D7DDE9"/>
          </w:tcPr>
          <w:p w:rsidR="00B6737F" w:rsidRPr="00C6748D" w:rsidRDefault="00B6737F" w:rsidP="00FE1FAC">
            <w:pPr>
              <w:ind w:left="57" w:right="57"/>
              <w:jc w:val="right"/>
              <w:cnfStyle w:val="000000000000" w:firstRow="0" w:lastRow="0" w:firstColumn="0" w:lastColumn="0" w:oddVBand="0" w:evenVBand="0" w:oddHBand="0" w:evenHBand="0" w:firstRowFirstColumn="0" w:firstRowLastColumn="0" w:lastRowFirstColumn="0" w:lastRowLastColumn="0"/>
              <w:rPr>
                <w:b/>
              </w:rPr>
            </w:pPr>
            <w:r w:rsidRPr="00C6748D">
              <w:rPr>
                <w:b/>
              </w:rPr>
              <w:t>23,96</w:t>
            </w:r>
            <w:r w:rsidR="00E83CA9">
              <w:rPr>
                <w:b/>
              </w:rPr>
              <w:t>2.5</w:t>
            </w:r>
          </w:p>
        </w:tc>
      </w:tr>
    </w:tbl>
    <w:p w:rsidR="008A7BBD" w:rsidRPr="006E7357" w:rsidRDefault="008A7BBD" w:rsidP="008A7BBD">
      <w:pPr>
        <w:pStyle w:val="Footnotes"/>
        <w:numPr>
          <w:ilvl w:val="0"/>
          <w:numId w:val="7"/>
        </w:numPr>
        <w:ind w:left="284" w:hanging="284"/>
      </w:pPr>
      <w:r>
        <w:t xml:space="preserve">A </w:t>
      </w:r>
      <w:r w:rsidRPr="006E7357">
        <w:t>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w:t>
      </w:r>
    </w:p>
    <w:p w:rsidR="008A7BBD" w:rsidRPr="006E7357" w:rsidRDefault="008A7BBD" w:rsidP="008A7BBD">
      <w:pPr>
        <w:pStyle w:val="Footnotes"/>
        <w:numPr>
          <w:ilvl w:val="0"/>
          <w:numId w:val="6"/>
        </w:numPr>
        <w:ind w:left="284" w:hanging="284"/>
      </w:pPr>
      <w:r w:rsidRPr="006E7357">
        <w:t>Figures may not sum to totals due to rounding.</w:t>
      </w:r>
    </w:p>
    <w:p w:rsidR="008953E6" w:rsidRPr="0003384C" w:rsidRDefault="008A7BBD" w:rsidP="00E83BFF">
      <w:pPr>
        <w:pStyle w:val="Footnotes"/>
        <w:numPr>
          <w:ilvl w:val="0"/>
          <w:numId w:val="0"/>
        </w:numPr>
        <w:tabs>
          <w:tab w:val="left" w:pos="284"/>
        </w:tabs>
        <w:ind w:left="284" w:hanging="284"/>
      </w:pPr>
      <w:r w:rsidRPr="006E7357">
        <w:t>..</w:t>
      </w:r>
      <w:r w:rsidR="00E83BFF">
        <w:tab/>
      </w:r>
      <w:r w:rsidRPr="006E7357">
        <w:t>Not zero,</w:t>
      </w:r>
      <w:r>
        <w:t xml:space="preserve"> but rounded to zero.</w:t>
      </w:r>
    </w:p>
    <w:p w:rsidR="00B6737F" w:rsidRPr="00E40B8B" w:rsidRDefault="00B6737F" w:rsidP="00E83BFF">
      <w:pPr>
        <w:pStyle w:val="Captionheading"/>
        <w:keepLines/>
        <w:rPr>
          <w:vertAlign w:val="superscript"/>
        </w:rPr>
      </w:pPr>
      <w:r w:rsidRPr="00FC6579">
        <w:lastRenderedPageBreak/>
        <w:t xml:space="preserve">Table </w:t>
      </w:r>
      <w:r>
        <w:t>A2</w:t>
      </w:r>
      <w:r w:rsidRPr="00FC6579">
        <w:t xml:space="preserve">: </w:t>
      </w:r>
      <w:r>
        <w:t xml:space="preserve">Ending subsidies for fossil fuel use and extraction—Underlying cash </w:t>
      </w:r>
      <w:proofErr w:type="gramStart"/>
      <w:r>
        <w:t>balance</w:t>
      </w:r>
      <w:r>
        <w:rPr>
          <w:vertAlign w:val="superscript"/>
        </w:rPr>
        <w:t>(</w:t>
      </w:r>
      <w:proofErr w:type="gramEnd"/>
      <w:r>
        <w:rPr>
          <w:vertAlign w:val="superscript"/>
        </w:rPr>
        <w:t>a)</w:t>
      </w:r>
      <w:r w:rsidR="0003384C">
        <w:rPr>
          <w:vertAlign w:val="superscript"/>
        </w:rPr>
        <w:t>(b)</w:t>
      </w:r>
    </w:p>
    <w:tbl>
      <w:tblPr>
        <w:tblStyle w:val="TableGrid"/>
        <w:tblW w:w="4995" w:type="pct"/>
        <w:tblLook w:val="04A0" w:firstRow="1" w:lastRow="0" w:firstColumn="1" w:lastColumn="0" w:noHBand="0" w:noVBand="1"/>
      </w:tblPr>
      <w:tblGrid>
        <w:gridCol w:w="2645"/>
        <w:gridCol w:w="1134"/>
        <w:gridCol w:w="1134"/>
        <w:gridCol w:w="1134"/>
        <w:gridCol w:w="1134"/>
        <w:gridCol w:w="1134"/>
      </w:tblGrid>
      <w:tr w:rsidR="00B6737F" w:rsidRPr="00EF1D6A" w:rsidTr="00FE1FA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0" w:type="pct"/>
            <w:vAlign w:val="center"/>
          </w:tcPr>
          <w:p w:rsidR="00B6737F" w:rsidRPr="00622B3F" w:rsidRDefault="00B6737F" w:rsidP="00E83BFF">
            <w:pPr>
              <w:pStyle w:val="TableText"/>
              <w:keepNext/>
              <w:keepLines/>
              <w:spacing w:line="240" w:lineRule="auto"/>
              <w:ind w:left="57" w:right="57"/>
              <w:rPr>
                <w:szCs w:val="20"/>
              </w:rPr>
            </w:pPr>
            <w:r w:rsidRPr="00622B3F">
              <w:rPr>
                <w:szCs w:val="20"/>
              </w:rPr>
              <w:t>($m)</w:t>
            </w:r>
          </w:p>
        </w:tc>
        <w:tc>
          <w:tcPr>
            <w:tcW w:w="682" w:type="pct"/>
            <w:vAlign w:val="center"/>
          </w:tcPr>
          <w:p w:rsidR="00B6737F" w:rsidRPr="00622B3F" w:rsidRDefault="00B6737F" w:rsidP="00E83BFF">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szCs w:val="20"/>
              </w:rPr>
            </w:pPr>
            <w:r w:rsidRPr="00622B3F">
              <w:t>2016–17</w:t>
            </w:r>
          </w:p>
        </w:tc>
        <w:tc>
          <w:tcPr>
            <w:tcW w:w="682" w:type="pct"/>
            <w:vAlign w:val="center"/>
          </w:tcPr>
          <w:p w:rsidR="00B6737F" w:rsidRPr="00622B3F" w:rsidRDefault="00B6737F" w:rsidP="00E83BFF">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szCs w:val="20"/>
              </w:rPr>
            </w:pPr>
            <w:r w:rsidRPr="00622B3F">
              <w:t>2017–18</w:t>
            </w:r>
          </w:p>
        </w:tc>
        <w:tc>
          <w:tcPr>
            <w:tcW w:w="682" w:type="pct"/>
            <w:vAlign w:val="center"/>
          </w:tcPr>
          <w:p w:rsidR="00B6737F" w:rsidRPr="00622B3F" w:rsidRDefault="00B6737F" w:rsidP="00E83BFF">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szCs w:val="20"/>
              </w:rPr>
            </w:pPr>
            <w:r w:rsidRPr="00622B3F">
              <w:t>2018–19</w:t>
            </w:r>
          </w:p>
        </w:tc>
        <w:tc>
          <w:tcPr>
            <w:tcW w:w="682" w:type="pct"/>
            <w:vAlign w:val="center"/>
          </w:tcPr>
          <w:p w:rsidR="00B6737F" w:rsidRPr="00622B3F" w:rsidRDefault="00B6737F" w:rsidP="00E83BFF">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szCs w:val="20"/>
              </w:rPr>
            </w:pPr>
            <w:r w:rsidRPr="00622B3F">
              <w:t>2019–20</w:t>
            </w:r>
          </w:p>
        </w:tc>
        <w:tc>
          <w:tcPr>
            <w:tcW w:w="682" w:type="pct"/>
          </w:tcPr>
          <w:p w:rsidR="00B6737F" w:rsidRPr="00C6748D" w:rsidRDefault="00B6737F" w:rsidP="00E83BFF">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vertAlign w:val="superscript"/>
              </w:rPr>
            </w:pPr>
            <w:r w:rsidRPr="00C6748D">
              <w:rPr>
                <w:b/>
              </w:rPr>
              <w:t>Total to 2019–20</w:t>
            </w:r>
          </w:p>
        </w:tc>
      </w:tr>
      <w:tr w:rsidR="00156218" w:rsidRPr="0066665A" w:rsidTr="00156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pct"/>
          </w:tcPr>
          <w:p w:rsidR="00156218" w:rsidRPr="002F6A2C" w:rsidRDefault="00156218" w:rsidP="00E83BFF">
            <w:pPr>
              <w:keepNext/>
              <w:keepLines/>
              <w:spacing w:before="70" w:after="70" w:line="240" w:lineRule="auto"/>
              <w:ind w:left="57" w:right="57"/>
              <w:rPr>
                <w:b/>
              </w:rPr>
            </w:pPr>
            <w:r w:rsidRPr="002F6A2C">
              <w:rPr>
                <w:b/>
              </w:rPr>
              <w:t>Abolishing FTCs</w:t>
            </w:r>
          </w:p>
        </w:tc>
        <w:tc>
          <w:tcPr>
            <w:tcW w:w="682" w:type="pct"/>
          </w:tcPr>
          <w:p w:rsidR="00156218" w:rsidRPr="002F6A2C" w:rsidRDefault="00156218" w:rsidP="00E83BFF">
            <w:pPr>
              <w:keepNext/>
              <w:keepLines/>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rPr>
            </w:pPr>
            <w:r w:rsidRPr="002F6A2C">
              <w:rPr>
                <w:b/>
              </w:rPr>
              <w:t>3,950</w:t>
            </w:r>
            <w:r w:rsidR="00CD293F">
              <w:rPr>
                <w:b/>
              </w:rPr>
              <w:t>.0</w:t>
            </w:r>
          </w:p>
        </w:tc>
        <w:tc>
          <w:tcPr>
            <w:tcW w:w="682" w:type="pct"/>
          </w:tcPr>
          <w:p w:rsidR="00156218" w:rsidRPr="002F6A2C" w:rsidRDefault="00156218" w:rsidP="00E83BFF">
            <w:pPr>
              <w:keepNext/>
              <w:keepLines/>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rPr>
            </w:pPr>
            <w:r w:rsidRPr="002F6A2C">
              <w:rPr>
                <w:b/>
              </w:rPr>
              <w:t>4,400</w:t>
            </w:r>
            <w:r w:rsidR="00CD293F">
              <w:rPr>
                <w:b/>
              </w:rPr>
              <w:t>.0</w:t>
            </w:r>
          </w:p>
        </w:tc>
        <w:tc>
          <w:tcPr>
            <w:tcW w:w="682" w:type="pct"/>
          </w:tcPr>
          <w:p w:rsidR="00156218" w:rsidRPr="002F6A2C" w:rsidRDefault="00156218" w:rsidP="00E83BFF">
            <w:pPr>
              <w:keepNext/>
              <w:keepLines/>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rPr>
            </w:pPr>
            <w:r w:rsidRPr="002F6A2C">
              <w:rPr>
                <w:b/>
              </w:rPr>
              <w:t>4,250</w:t>
            </w:r>
            <w:r w:rsidR="00CD293F">
              <w:rPr>
                <w:b/>
              </w:rPr>
              <w:t>.0</w:t>
            </w:r>
          </w:p>
        </w:tc>
        <w:tc>
          <w:tcPr>
            <w:tcW w:w="682" w:type="pct"/>
          </w:tcPr>
          <w:p w:rsidR="00156218" w:rsidRPr="002F6A2C" w:rsidRDefault="00156218" w:rsidP="00E83BFF">
            <w:pPr>
              <w:keepNext/>
              <w:keepLines/>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rPr>
            </w:pPr>
            <w:r w:rsidRPr="002F6A2C">
              <w:rPr>
                <w:b/>
              </w:rPr>
              <w:t>4,450</w:t>
            </w:r>
            <w:r w:rsidR="00CD293F">
              <w:rPr>
                <w:b/>
              </w:rPr>
              <w:t>.0</w:t>
            </w:r>
          </w:p>
        </w:tc>
        <w:tc>
          <w:tcPr>
            <w:tcW w:w="682" w:type="pct"/>
          </w:tcPr>
          <w:p w:rsidR="00156218" w:rsidRPr="00C6748D" w:rsidRDefault="00156218" w:rsidP="00E83BFF">
            <w:pPr>
              <w:keepNext/>
              <w:keepLines/>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rPr>
            </w:pPr>
            <w:r w:rsidRPr="00C6748D">
              <w:rPr>
                <w:b/>
              </w:rPr>
              <w:t>17,050</w:t>
            </w:r>
            <w:r w:rsidR="00CD293F">
              <w:rPr>
                <w:b/>
              </w:rPr>
              <w:t>.0</w:t>
            </w:r>
          </w:p>
        </w:tc>
      </w:tr>
      <w:tr w:rsidR="00156218" w:rsidRPr="001A0EBD" w:rsidTr="00156218">
        <w:tc>
          <w:tcPr>
            <w:cnfStyle w:val="001000000000" w:firstRow="0" w:lastRow="0" w:firstColumn="1" w:lastColumn="0" w:oddVBand="0" w:evenVBand="0" w:oddHBand="0" w:evenHBand="0" w:firstRowFirstColumn="0" w:firstRowLastColumn="0" w:lastRowFirstColumn="0" w:lastRowLastColumn="0"/>
            <w:tcW w:w="1590" w:type="pct"/>
          </w:tcPr>
          <w:p w:rsidR="00156218" w:rsidRPr="001A0EBD" w:rsidRDefault="00156218" w:rsidP="00E83BFF">
            <w:pPr>
              <w:keepNext/>
              <w:keepLines/>
              <w:spacing w:before="70" w:after="70" w:line="240" w:lineRule="auto"/>
              <w:ind w:left="57" w:right="57"/>
              <w:rPr>
                <w:i/>
              </w:rPr>
            </w:pPr>
            <w:r w:rsidRPr="001A0EBD">
              <w:rPr>
                <w:i/>
              </w:rPr>
              <w:t>Administered payment - FTC payments</w:t>
            </w:r>
          </w:p>
        </w:tc>
        <w:tc>
          <w:tcPr>
            <w:tcW w:w="682" w:type="pct"/>
          </w:tcPr>
          <w:p w:rsidR="00156218" w:rsidRPr="001A0EBD" w:rsidRDefault="00156218" w:rsidP="00E83BFF">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1A0EBD">
              <w:rPr>
                <w:i/>
              </w:rPr>
              <w:t>3,950</w:t>
            </w:r>
            <w:r w:rsidR="00CD293F" w:rsidRPr="001A0EBD">
              <w:rPr>
                <w:i/>
              </w:rPr>
              <w:t>.0</w:t>
            </w:r>
          </w:p>
        </w:tc>
        <w:tc>
          <w:tcPr>
            <w:tcW w:w="682" w:type="pct"/>
          </w:tcPr>
          <w:p w:rsidR="00156218" w:rsidRPr="001A0EBD" w:rsidRDefault="00156218" w:rsidP="00E83BFF">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1A0EBD">
              <w:rPr>
                <w:i/>
              </w:rPr>
              <w:t>5,550</w:t>
            </w:r>
            <w:r w:rsidR="00CD293F" w:rsidRPr="001A0EBD">
              <w:rPr>
                <w:i/>
              </w:rPr>
              <w:t>.0</w:t>
            </w:r>
          </w:p>
        </w:tc>
        <w:tc>
          <w:tcPr>
            <w:tcW w:w="682" w:type="pct"/>
          </w:tcPr>
          <w:p w:rsidR="00156218" w:rsidRPr="001A0EBD" w:rsidRDefault="00156218" w:rsidP="00E83BFF">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1A0EBD">
              <w:rPr>
                <w:i/>
              </w:rPr>
              <w:t>5,850</w:t>
            </w:r>
            <w:r w:rsidR="00CD293F" w:rsidRPr="001A0EBD">
              <w:rPr>
                <w:i/>
              </w:rPr>
              <w:t>.0</w:t>
            </w:r>
          </w:p>
        </w:tc>
        <w:tc>
          <w:tcPr>
            <w:tcW w:w="682" w:type="pct"/>
          </w:tcPr>
          <w:p w:rsidR="00156218" w:rsidRPr="001A0EBD" w:rsidRDefault="00156218" w:rsidP="00E83BFF">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1A0EBD">
              <w:rPr>
                <w:i/>
              </w:rPr>
              <w:t>6,150</w:t>
            </w:r>
            <w:r w:rsidR="00CD293F" w:rsidRPr="001A0EBD">
              <w:rPr>
                <w:i/>
              </w:rPr>
              <w:t>.0</w:t>
            </w:r>
          </w:p>
        </w:tc>
        <w:tc>
          <w:tcPr>
            <w:tcW w:w="682" w:type="pct"/>
          </w:tcPr>
          <w:p w:rsidR="00156218" w:rsidRPr="001A0EBD" w:rsidRDefault="00156218" w:rsidP="00E83BFF">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rPr>
            </w:pPr>
            <w:r w:rsidRPr="001A0EBD">
              <w:rPr>
                <w:b/>
                <w:i/>
              </w:rPr>
              <w:t>21,500</w:t>
            </w:r>
            <w:r w:rsidR="00CD293F" w:rsidRPr="001A0EBD">
              <w:rPr>
                <w:b/>
                <w:i/>
              </w:rPr>
              <w:t>.0</w:t>
            </w:r>
          </w:p>
        </w:tc>
      </w:tr>
      <w:tr w:rsidR="00156218" w:rsidRPr="001A0EBD" w:rsidTr="00156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pct"/>
          </w:tcPr>
          <w:p w:rsidR="00156218" w:rsidRPr="001A0EBD" w:rsidRDefault="00156218" w:rsidP="00C614A7">
            <w:pPr>
              <w:spacing w:before="70" w:after="70" w:line="240" w:lineRule="auto"/>
              <w:ind w:left="57" w:right="57"/>
              <w:rPr>
                <w:i/>
              </w:rPr>
            </w:pPr>
            <w:r w:rsidRPr="001A0EBD">
              <w:rPr>
                <w:i/>
              </w:rPr>
              <w:t>Receipts – Company Tax</w:t>
            </w:r>
          </w:p>
        </w:tc>
        <w:tc>
          <w:tcPr>
            <w:tcW w:w="682" w:type="pct"/>
          </w:tcPr>
          <w:p w:rsidR="00156218" w:rsidRPr="001A0EBD"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1A0EBD">
              <w:rPr>
                <w:i/>
              </w:rPr>
              <w:t>-</w:t>
            </w:r>
          </w:p>
        </w:tc>
        <w:tc>
          <w:tcPr>
            <w:tcW w:w="682" w:type="pct"/>
          </w:tcPr>
          <w:p w:rsidR="00156218" w:rsidRPr="001A0EBD"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1A0EBD">
              <w:rPr>
                <w:i/>
              </w:rPr>
              <w:t>-1,150</w:t>
            </w:r>
            <w:r w:rsidR="00CD293F" w:rsidRPr="001A0EBD">
              <w:rPr>
                <w:i/>
              </w:rPr>
              <w:t>.0</w:t>
            </w:r>
          </w:p>
        </w:tc>
        <w:tc>
          <w:tcPr>
            <w:tcW w:w="682" w:type="pct"/>
          </w:tcPr>
          <w:p w:rsidR="00156218" w:rsidRPr="001A0EBD"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1A0EBD">
              <w:rPr>
                <w:i/>
              </w:rPr>
              <w:t>-1,600</w:t>
            </w:r>
            <w:r w:rsidR="00CD293F" w:rsidRPr="001A0EBD">
              <w:rPr>
                <w:i/>
              </w:rPr>
              <w:t>.0</w:t>
            </w:r>
          </w:p>
        </w:tc>
        <w:tc>
          <w:tcPr>
            <w:tcW w:w="682" w:type="pct"/>
          </w:tcPr>
          <w:p w:rsidR="00156218" w:rsidRPr="001A0EBD"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1A0EBD">
              <w:rPr>
                <w:i/>
              </w:rPr>
              <w:t>-1,700</w:t>
            </w:r>
            <w:r w:rsidR="00CD293F" w:rsidRPr="001A0EBD">
              <w:rPr>
                <w:i/>
              </w:rPr>
              <w:t>.0</w:t>
            </w:r>
          </w:p>
        </w:tc>
        <w:tc>
          <w:tcPr>
            <w:tcW w:w="682" w:type="pct"/>
          </w:tcPr>
          <w:p w:rsidR="00156218" w:rsidRPr="001A0EBD"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i/>
              </w:rPr>
            </w:pPr>
            <w:r w:rsidRPr="001A0EBD">
              <w:rPr>
                <w:b/>
                <w:i/>
              </w:rPr>
              <w:t>-4,450</w:t>
            </w:r>
            <w:r w:rsidR="00CD293F" w:rsidRPr="001A0EBD">
              <w:rPr>
                <w:b/>
                <w:i/>
              </w:rPr>
              <w:t>.0</w:t>
            </w:r>
          </w:p>
        </w:tc>
      </w:tr>
      <w:tr w:rsidR="00156218" w:rsidRPr="0066665A" w:rsidTr="00156218">
        <w:tc>
          <w:tcPr>
            <w:cnfStyle w:val="001000000000" w:firstRow="0" w:lastRow="0" w:firstColumn="1" w:lastColumn="0" w:oddVBand="0" w:evenVBand="0" w:oddHBand="0" w:evenHBand="0" w:firstRowFirstColumn="0" w:firstRowLastColumn="0" w:lastRowFirstColumn="0" w:lastRowLastColumn="0"/>
            <w:tcW w:w="1590" w:type="pct"/>
          </w:tcPr>
          <w:p w:rsidR="00156218" w:rsidRPr="002F6A2C" w:rsidRDefault="00EE556B" w:rsidP="00C614A7">
            <w:pPr>
              <w:spacing w:before="70" w:after="70" w:line="240" w:lineRule="auto"/>
              <w:ind w:left="57" w:right="57"/>
              <w:rPr>
                <w:b/>
              </w:rPr>
            </w:pPr>
            <w:r>
              <w:rPr>
                <w:b/>
              </w:rPr>
              <w:t>Abolishing</w:t>
            </w:r>
            <w:r w:rsidRPr="002F6A2C">
              <w:rPr>
                <w:b/>
              </w:rPr>
              <w:t xml:space="preserve"> </w:t>
            </w:r>
            <w:r w:rsidR="00156218" w:rsidRPr="002F6A2C">
              <w:rPr>
                <w:b/>
              </w:rPr>
              <w:t xml:space="preserve">accelerated depreciation </w:t>
            </w:r>
          </w:p>
        </w:tc>
        <w:tc>
          <w:tcPr>
            <w:tcW w:w="682" w:type="pct"/>
          </w:tcPr>
          <w:p w:rsidR="00156218" w:rsidRPr="002F6A2C"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2F6A2C">
              <w:rPr>
                <w:b/>
              </w:rPr>
              <w:t>100</w:t>
            </w:r>
            <w:r w:rsidR="00CD293F">
              <w:rPr>
                <w:b/>
              </w:rPr>
              <w:t>.0</w:t>
            </w:r>
          </w:p>
        </w:tc>
        <w:tc>
          <w:tcPr>
            <w:tcW w:w="682" w:type="pct"/>
          </w:tcPr>
          <w:p w:rsidR="00156218" w:rsidRPr="002F6A2C"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2F6A2C">
              <w:rPr>
                <w:b/>
              </w:rPr>
              <w:t>500</w:t>
            </w:r>
            <w:r w:rsidR="00CD293F">
              <w:rPr>
                <w:b/>
              </w:rPr>
              <w:t>.0</w:t>
            </w:r>
          </w:p>
        </w:tc>
        <w:tc>
          <w:tcPr>
            <w:tcW w:w="682" w:type="pct"/>
          </w:tcPr>
          <w:p w:rsidR="00156218" w:rsidRPr="002F6A2C"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2F6A2C">
              <w:rPr>
                <w:b/>
              </w:rPr>
              <w:t>1,000</w:t>
            </w:r>
            <w:r w:rsidR="00CD293F">
              <w:rPr>
                <w:b/>
              </w:rPr>
              <w:t>.0</w:t>
            </w:r>
          </w:p>
        </w:tc>
        <w:tc>
          <w:tcPr>
            <w:tcW w:w="682" w:type="pct"/>
          </w:tcPr>
          <w:p w:rsidR="00156218" w:rsidRPr="002F6A2C"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2F6A2C">
              <w:rPr>
                <w:b/>
              </w:rPr>
              <w:t>1,400</w:t>
            </w:r>
            <w:r w:rsidR="00CD293F">
              <w:rPr>
                <w:b/>
              </w:rPr>
              <w:t>.0</w:t>
            </w:r>
          </w:p>
        </w:tc>
        <w:tc>
          <w:tcPr>
            <w:tcW w:w="682" w:type="pct"/>
          </w:tcPr>
          <w:p w:rsidR="00156218" w:rsidRPr="00C6748D"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C6748D">
              <w:rPr>
                <w:b/>
              </w:rPr>
              <w:t>3,000</w:t>
            </w:r>
            <w:r w:rsidR="00CD293F">
              <w:rPr>
                <w:b/>
              </w:rPr>
              <w:t>.0</w:t>
            </w:r>
          </w:p>
        </w:tc>
      </w:tr>
      <w:tr w:rsidR="00156218" w:rsidRPr="001A0EBD" w:rsidTr="00156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pct"/>
          </w:tcPr>
          <w:p w:rsidR="00156218" w:rsidRPr="001A0EBD" w:rsidRDefault="00156218" w:rsidP="00C614A7">
            <w:pPr>
              <w:spacing w:before="70" w:after="70" w:line="240" w:lineRule="auto"/>
              <w:ind w:left="57" w:right="57"/>
              <w:rPr>
                <w:i/>
              </w:rPr>
            </w:pPr>
            <w:r w:rsidRPr="001A0EBD">
              <w:rPr>
                <w:i/>
              </w:rPr>
              <w:t>Receipts – Company Tax</w:t>
            </w:r>
          </w:p>
        </w:tc>
        <w:tc>
          <w:tcPr>
            <w:tcW w:w="682" w:type="pct"/>
          </w:tcPr>
          <w:p w:rsidR="00156218" w:rsidRPr="001A0EBD"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1A0EBD">
              <w:rPr>
                <w:i/>
              </w:rPr>
              <w:t>100</w:t>
            </w:r>
            <w:r w:rsidR="00CD293F" w:rsidRPr="001A0EBD">
              <w:rPr>
                <w:i/>
              </w:rPr>
              <w:t>.0</w:t>
            </w:r>
          </w:p>
        </w:tc>
        <w:tc>
          <w:tcPr>
            <w:tcW w:w="682" w:type="pct"/>
          </w:tcPr>
          <w:p w:rsidR="00156218" w:rsidRPr="001A0EBD"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1A0EBD">
              <w:rPr>
                <w:i/>
              </w:rPr>
              <w:t>500</w:t>
            </w:r>
            <w:r w:rsidR="00CD293F" w:rsidRPr="001A0EBD">
              <w:rPr>
                <w:i/>
              </w:rPr>
              <w:t>.0</w:t>
            </w:r>
          </w:p>
        </w:tc>
        <w:tc>
          <w:tcPr>
            <w:tcW w:w="682" w:type="pct"/>
          </w:tcPr>
          <w:p w:rsidR="00156218" w:rsidRPr="001A0EBD"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1A0EBD">
              <w:rPr>
                <w:i/>
              </w:rPr>
              <w:t>1,000</w:t>
            </w:r>
            <w:r w:rsidR="00CD293F" w:rsidRPr="001A0EBD">
              <w:rPr>
                <w:i/>
              </w:rPr>
              <w:t>.0</w:t>
            </w:r>
          </w:p>
        </w:tc>
        <w:tc>
          <w:tcPr>
            <w:tcW w:w="682" w:type="pct"/>
          </w:tcPr>
          <w:p w:rsidR="00156218" w:rsidRPr="001A0EBD"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1A0EBD">
              <w:rPr>
                <w:i/>
              </w:rPr>
              <w:t>1,400</w:t>
            </w:r>
            <w:r w:rsidR="00CD293F" w:rsidRPr="001A0EBD">
              <w:rPr>
                <w:i/>
              </w:rPr>
              <w:t>.0</w:t>
            </w:r>
          </w:p>
        </w:tc>
        <w:tc>
          <w:tcPr>
            <w:tcW w:w="682" w:type="pct"/>
          </w:tcPr>
          <w:p w:rsidR="00156218" w:rsidRPr="001A0EBD"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i/>
              </w:rPr>
            </w:pPr>
            <w:r w:rsidRPr="001A0EBD">
              <w:rPr>
                <w:b/>
                <w:i/>
              </w:rPr>
              <w:t>3,000</w:t>
            </w:r>
            <w:r w:rsidR="00CD293F" w:rsidRPr="001A0EBD">
              <w:rPr>
                <w:b/>
                <w:i/>
              </w:rPr>
              <w:t>.0</w:t>
            </w:r>
          </w:p>
        </w:tc>
      </w:tr>
      <w:tr w:rsidR="00156218" w:rsidRPr="0066665A" w:rsidTr="00156218">
        <w:tc>
          <w:tcPr>
            <w:cnfStyle w:val="001000000000" w:firstRow="0" w:lastRow="0" w:firstColumn="1" w:lastColumn="0" w:oddVBand="0" w:evenVBand="0" w:oddHBand="0" w:evenHBand="0" w:firstRowFirstColumn="0" w:firstRowLastColumn="0" w:lastRowFirstColumn="0" w:lastRowLastColumn="0"/>
            <w:tcW w:w="1590" w:type="pct"/>
          </w:tcPr>
          <w:p w:rsidR="00156218" w:rsidRPr="002F6A2C" w:rsidRDefault="00EE556B" w:rsidP="00C614A7">
            <w:pPr>
              <w:spacing w:before="70" w:after="70" w:line="240" w:lineRule="auto"/>
              <w:ind w:left="57" w:right="57"/>
              <w:rPr>
                <w:b/>
              </w:rPr>
            </w:pPr>
            <w:r>
              <w:rPr>
                <w:b/>
              </w:rPr>
              <w:t>Abolishing the</w:t>
            </w:r>
            <w:r w:rsidRPr="002F6A2C">
              <w:rPr>
                <w:b/>
              </w:rPr>
              <w:t xml:space="preserve"> </w:t>
            </w:r>
            <w:r w:rsidR="00156218" w:rsidRPr="002F6A2C">
              <w:rPr>
                <w:b/>
              </w:rPr>
              <w:t>immediate deduction for exploration and prospecting</w:t>
            </w:r>
          </w:p>
        </w:tc>
        <w:tc>
          <w:tcPr>
            <w:tcW w:w="682" w:type="pct"/>
          </w:tcPr>
          <w:p w:rsidR="00156218" w:rsidRPr="002F6A2C"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2F6A2C">
              <w:rPr>
                <w:b/>
              </w:rPr>
              <w:t>200</w:t>
            </w:r>
            <w:r w:rsidR="00CD293F">
              <w:rPr>
                <w:b/>
              </w:rPr>
              <w:t>.0</w:t>
            </w:r>
          </w:p>
        </w:tc>
        <w:tc>
          <w:tcPr>
            <w:tcW w:w="682" w:type="pct"/>
          </w:tcPr>
          <w:p w:rsidR="00156218" w:rsidRPr="002F6A2C"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2F6A2C">
              <w:rPr>
                <w:b/>
              </w:rPr>
              <w:t>1,000</w:t>
            </w:r>
            <w:r w:rsidR="00CD293F">
              <w:rPr>
                <w:b/>
              </w:rPr>
              <w:t>.0</w:t>
            </w:r>
          </w:p>
        </w:tc>
        <w:tc>
          <w:tcPr>
            <w:tcW w:w="682" w:type="pct"/>
          </w:tcPr>
          <w:p w:rsidR="00156218" w:rsidRPr="002F6A2C"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2F6A2C">
              <w:rPr>
                <w:b/>
              </w:rPr>
              <w:t>1,100</w:t>
            </w:r>
            <w:r w:rsidR="00CD293F">
              <w:rPr>
                <w:b/>
              </w:rPr>
              <w:t>.0</w:t>
            </w:r>
          </w:p>
        </w:tc>
        <w:tc>
          <w:tcPr>
            <w:tcW w:w="682" w:type="pct"/>
          </w:tcPr>
          <w:p w:rsidR="00156218" w:rsidRPr="002F6A2C"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2F6A2C">
              <w:rPr>
                <w:b/>
              </w:rPr>
              <w:t>750</w:t>
            </w:r>
            <w:r w:rsidR="00CD293F">
              <w:rPr>
                <w:b/>
              </w:rPr>
              <w:t>.0</w:t>
            </w:r>
          </w:p>
        </w:tc>
        <w:tc>
          <w:tcPr>
            <w:tcW w:w="682" w:type="pct"/>
          </w:tcPr>
          <w:p w:rsidR="00156218" w:rsidRPr="00C6748D"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C6748D">
              <w:rPr>
                <w:b/>
              </w:rPr>
              <w:t>3,050</w:t>
            </w:r>
            <w:r w:rsidR="00CD293F">
              <w:rPr>
                <w:b/>
              </w:rPr>
              <w:t>.0</w:t>
            </w:r>
          </w:p>
        </w:tc>
      </w:tr>
      <w:tr w:rsidR="00156218" w:rsidRPr="001A0EBD" w:rsidTr="00156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pct"/>
          </w:tcPr>
          <w:p w:rsidR="00156218" w:rsidRPr="001A0EBD" w:rsidRDefault="00156218" w:rsidP="00C614A7">
            <w:pPr>
              <w:spacing w:before="70" w:after="70" w:line="240" w:lineRule="auto"/>
              <w:ind w:left="57" w:right="57"/>
              <w:rPr>
                <w:i/>
              </w:rPr>
            </w:pPr>
            <w:r w:rsidRPr="001A0EBD">
              <w:rPr>
                <w:i/>
              </w:rPr>
              <w:t>Receipts – Company Tax</w:t>
            </w:r>
          </w:p>
        </w:tc>
        <w:tc>
          <w:tcPr>
            <w:tcW w:w="682" w:type="pct"/>
          </w:tcPr>
          <w:p w:rsidR="00156218" w:rsidRPr="001A0EBD"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1A0EBD">
              <w:rPr>
                <w:i/>
              </w:rPr>
              <w:t>200</w:t>
            </w:r>
            <w:r w:rsidR="00CD293F" w:rsidRPr="001A0EBD">
              <w:rPr>
                <w:i/>
              </w:rPr>
              <w:t>.0</w:t>
            </w:r>
          </w:p>
        </w:tc>
        <w:tc>
          <w:tcPr>
            <w:tcW w:w="682" w:type="pct"/>
          </w:tcPr>
          <w:p w:rsidR="00156218" w:rsidRPr="001A0EBD"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1A0EBD">
              <w:rPr>
                <w:i/>
              </w:rPr>
              <w:t>1,000</w:t>
            </w:r>
            <w:r w:rsidR="00CD293F" w:rsidRPr="001A0EBD">
              <w:rPr>
                <w:i/>
              </w:rPr>
              <w:t>.0</w:t>
            </w:r>
          </w:p>
        </w:tc>
        <w:tc>
          <w:tcPr>
            <w:tcW w:w="682" w:type="pct"/>
          </w:tcPr>
          <w:p w:rsidR="00156218" w:rsidRPr="001A0EBD"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1A0EBD">
              <w:rPr>
                <w:i/>
              </w:rPr>
              <w:t>1,100</w:t>
            </w:r>
            <w:r w:rsidR="00CD293F" w:rsidRPr="001A0EBD">
              <w:rPr>
                <w:i/>
              </w:rPr>
              <w:t>.0</w:t>
            </w:r>
          </w:p>
        </w:tc>
        <w:tc>
          <w:tcPr>
            <w:tcW w:w="682" w:type="pct"/>
          </w:tcPr>
          <w:p w:rsidR="00156218" w:rsidRPr="001A0EBD"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1A0EBD">
              <w:rPr>
                <w:i/>
              </w:rPr>
              <w:t>750</w:t>
            </w:r>
            <w:r w:rsidR="00CD293F" w:rsidRPr="001A0EBD">
              <w:rPr>
                <w:i/>
              </w:rPr>
              <w:t>.0</w:t>
            </w:r>
          </w:p>
        </w:tc>
        <w:tc>
          <w:tcPr>
            <w:tcW w:w="682" w:type="pct"/>
          </w:tcPr>
          <w:p w:rsidR="00156218" w:rsidRPr="001A0EBD"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i/>
              </w:rPr>
            </w:pPr>
            <w:r w:rsidRPr="001A0EBD">
              <w:rPr>
                <w:b/>
                <w:i/>
              </w:rPr>
              <w:t>3,050</w:t>
            </w:r>
            <w:r w:rsidR="00CD293F" w:rsidRPr="001A0EBD">
              <w:rPr>
                <w:b/>
                <w:i/>
              </w:rPr>
              <w:t>.0</w:t>
            </w:r>
          </w:p>
        </w:tc>
      </w:tr>
      <w:tr w:rsidR="00156218" w:rsidRPr="0066665A" w:rsidTr="00156218">
        <w:tc>
          <w:tcPr>
            <w:cnfStyle w:val="001000000000" w:firstRow="0" w:lastRow="0" w:firstColumn="1" w:lastColumn="0" w:oddVBand="0" w:evenVBand="0" w:oddHBand="0" w:evenHBand="0" w:firstRowFirstColumn="0" w:firstRowLastColumn="0" w:lastRowFirstColumn="0" w:lastRowLastColumn="0"/>
            <w:tcW w:w="1590" w:type="pct"/>
          </w:tcPr>
          <w:p w:rsidR="00156218" w:rsidRPr="002F6A2C" w:rsidRDefault="00156218" w:rsidP="00C614A7">
            <w:pPr>
              <w:spacing w:before="70" w:after="70" w:line="240" w:lineRule="auto"/>
              <w:ind w:left="57" w:right="57"/>
              <w:rPr>
                <w:b/>
              </w:rPr>
            </w:pPr>
            <w:r w:rsidRPr="002F6A2C">
              <w:rPr>
                <w:b/>
              </w:rPr>
              <w:t>Abolishing the ACSRF</w:t>
            </w:r>
          </w:p>
        </w:tc>
        <w:tc>
          <w:tcPr>
            <w:tcW w:w="682" w:type="pct"/>
          </w:tcPr>
          <w:p w:rsidR="00156218" w:rsidRPr="002F6A2C"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2F6A2C">
              <w:rPr>
                <w:b/>
              </w:rPr>
              <w:t>4.5</w:t>
            </w:r>
          </w:p>
        </w:tc>
        <w:tc>
          <w:tcPr>
            <w:tcW w:w="682" w:type="pct"/>
          </w:tcPr>
          <w:p w:rsidR="00156218" w:rsidRPr="002F6A2C"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2F6A2C">
              <w:rPr>
                <w:b/>
              </w:rPr>
              <w:t>2.8</w:t>
            </w:r>
          </w:p>
        </w:tc>
        <w:tc>
          <w:tcPr>
            <w:tcW w:w="682" w:type="pct"/>
          </w:tcPr>
          <w:p w:rsidR="00156218" w:rsidRPr="002F6A2C"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2F6A2C">
              <w:rPr>
                <w:b/>
              </w:rPr>
              <w:t>2.6</w:t>
            </w:r>
          </w:p>
        </w:tc>
        <w:tc>
          <w:tcPr>
            <w:tcW w:w="682" w:type="pct"/>
          </w:tcPr>
          <w:p w:rsidR="00156218" w:rsidRPr="002F6A2C"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2F6A2C">
              <w:rPr>
                <w:b/>
              </w:rPr>
              <w:t>2.6</w:t>
            </w:r>
          </w:p>
        </w:tc>
        <w:tc>
          <w:tcPr>
            <w:tcW w:w="682" w:type="pct"/>
          </w:tcPr>
          <w:p w:rsidR="00156218" w:rsidRPr="00C6748D"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C6748D">
              <w:rPr>
                <w:b/>
              </w:rPr>
              <w:t>12.5</w:t>
            </w:r>
          </w:p>
        </w:tc>
      </w:tr>
      <w:tr w:rsidR="00156218" w:rsidRPr="001A0EBD" w:rsidTr="00156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pct"/>
          </w:tcPr>
          <w:p w:rsidR="00156218" w:rsidRPr="001A0EBD" w:rsidRDefault="00156218" w:rsidP="00C614A7">
            <w:pPr>
              <w:spacing w:before="70" w:after="70" w:line="240" w:lineRule="auto"/>
              <w:ind w:left="57" w:right="57"/>
              <w:rPr>
                <w:i/>
              </w:rPr>
            </w:pPr>
            <w:r w:rsidRPr="001A0EBD">
              <w:rPr>
                <w:i/>
              </w:rPr>
              <w:t xml:space="preserve">Administered payments - Reduced funding for the ACSRF </w:t>
            </w:r>
          </w:p>
        </w:tc>
        <w:tc>
          <w:tcPr>
            <w:tcW w:w="682" w:type="pct"/>
          </w:tcPr>
          <w:p w:rsidR="00156218" w:rsidRPr="001A0EBD"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1A0EBD">
              <w:rPr>
                <w:i/>
              </w:rPr>
              <w:t>4.5</w:t>
            </w:r>
          </w:p>
        </w:tc>
        <w:tc>
          <w:tcPr>
            <w:tcW w:w="682" w:type="pct"/>
          </w:tcPr>
          <w:p w:rsidR="00156218" w:rsidRPr="001A0EBD"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1A0EBD">
              <w:rPr>
                <w:i/>
              </w:rPr>
              <w:t>2.4</w:t>
            </w:r>
          </w:p>
        </w:tc>
        <w:tc>
          <w:tcPr>
            <w:tcW w:w="682" w:type="pct"/>
          </w:tcPr>
          <w:p w:rsidR="00156218" w:rsidRPr="001A0EBD"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1A0EBD">
              <w:rPr>
                <w:i/>
              </w:rPr>
              <w:t>2.2</w:t>
            </w:r>
          </w:p>
        </w:tc>
        <w:tc>
          <w:tcPr>
            <w:tcW w:w="682" w:type="pct"/>
          </w:tcPr>
          <w:p w:rsidR="00156218" w:rsidRPr="001A0EBD"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1A0EBD">
              <w:rPr>
                <w:i/>
              </w:rPr>
              <w:t>2.2</w:t>
            </w:r>
          </w:p>
        </w:tc>
        <w:tc>
          <w:tcPr>
            <w:tcW w:w="682" w:type="pct"/>
          </w:tcPr>
          <w:p w:rsidR="00156218" w:rsidRPr="001A0EBD"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i/>
              </w:rPr>
            </w:pPr>
            <w:r w:rsidRPr="001A0EBD">
              <w:rPr>
                <w:b/>
                <w:i/>
              </w:rPr>
              <w:t>11.3</w:t>
            </w:r>
          </w:p>
        </w:tc>
      </w:tr>
      <w:tr w:rsidR="00156218" w:rsidRPr="001A0EBD" w:rsidTr="00156218">
        <w:tc>
          <w:tcPr>
            <w:cnfStyle w:val="001000000000" w:firstRow="0" w:lastRow="0" w:firstColumn="1" w:lastColumn="0" w:oddVBand="0" w:evenVBand="0" w:oddHBand="0" w:evenHBand="0" w:firstRowFirstColumn="0" w:firstRowLastColumn="0" w:lastRowFirstColumn="0" w:lastRowLastColumn="0"/>
            <w:tcW w:w="1590" w:type="pct"/>
          </w:tcPr>
          <w:p w:rsidR="00156218" w:rsidRPr="001A0EBD" w:rsidRDefault="00156218" w:rsidP="00C614A7">
            <w:pPr>
              <w:spacing w:before="70" w:after="70" w:line="240" w:lineRule="auto"/>
              <w:ind w:left="57" w:right="57"/>
              <w:rPr>
                <w:i/>
              </w:rPr>
            </w:pPr>
            <w:r w:rsidRPr="001A0EBD">
              <w:rPr>
                <w:i/>
              </w:rPr>
              <w:t xml:space="preserve">Departmental payments   DIIS </w:t>
            </w:r>
          </w:p>
        </w:tc>
        <w:tc>
          <w:tcPr>
            <w:tcW w:w="682" w:type="pct"/>
          </w:tcPr>
          <w:p w:rsidR="00156218" w:rsidRPr="001A0EBD"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1A0EBD">
              <w:rPr>
                <w:i/>
              </w:rPr>
              <w:t>-</w:t>
            </w:r>
          </w:p>
        </w:tc>
        <w:tc>
          <w:tcPr>
            <w:tcW w:w="682" w:type="pct"/>
          </w:tcPr>
          <w:p w:rsidR="00156218" w:rsidRPr="001A0EBD"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1A0EBD">
              <w:rPr>
                <w:i/>
              </w:rPr>
              <w:t>0.4</w:t>
            </w:r>
          </w:p>
        </w:tc>
        <w:tc>
          <w:tcPr>
            <w:tcW w:w="682" w:type="pct"/>
          </w:tcPr>
          <w:p w:rsidR="00156218" w:rsidRPr="001A0EBD"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1A0EBD">
              <w:rPr>
                <w:i/>
              </w:rPr>
              <w:t>0.4</w:t>
            </w:r>
          </w:p>
        </w:tc>
        <w:tc>
          <w:tcPr>
            <w:tcW w:w="682" w:type="pct"/>
          </w:tcPr>
          <w:p w:rsidR="00156218" w:rsidRPr="001A0EBD"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1A0EBD">
              <w:rPr>
                <w:i/>
              </w:rPr>
              <w:t>0.4</w:t>
            </w:r>
          </w:p>
        </w:tc>
        <w:tc>
          <w:tcPr>
            <w:tcW w:w="682" w:type="pct"/>
          </w:tcPr>
          <w:p w:rsidR="00156218" w:rsidRPr="001A0EBD"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rPr>
            </w:pPr>
            <w:r w:rsidRPr="001A0EBD">
              <w:rPr>
                <w:b/>
                <w:i/>
              </w:rPr>
              <w:t>1.2</w:t>
            </w:r>
          </w:p>
        </w:tc>
      </w:tr>
      <w:tr w:rsidR="00156218" w:rsidRPr="0066665A" w:rsidTr="00156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pct"/>
          </w:tcPr>
          <w:p w:rsidR="00156218" w:rsidRPr="002F6A2C" w:rsidRDefault="00EE556B" w:rsidP="00C614A7">
            <w:pPr>
              <w:spacing w:before="70" w:after="70" w:line="240" w:lineRule="auto"/>
              <w:ind w:left="57" w:right="57"/>
              <w:rPr>
                <w:b/>
              </w:rPr>
            </w:pPr>
            <w:r>
              <w:rPr>
                <w:b/>
              </w:rPr>
              <w:t>Abolishing the</w:t>
            </w:r>
            <w:r w:rsidRPr="002F6A2C">
              <w:rPr>
                <w:b/>
              </w:rPr>
              <w:t xml:space="preserve"> </w:t>
            </w:r>
            <w:r w:rsidR="00156218" w:rsidRPr="002F6A2C">
              <w:rPr>
                <w:b/>
              </w:rPr>
              <w:t>frontier exploration uplift</w:t>
            </w:r>
            <w:r>
              <w:rPr>
                <w:b/>
              </w:rPr>
              <w:t xml:space="preserve"> from the PRRT</w:t>
            </w:r>
          </w:p>
        </w:tc>
        <w:tc>
          <w:tcPr>
            <w:tcW w:w="682" w:type="pct"/>
          </w:tcPr>
          <w:p w:rsidR="00156218" w:rsidRPr="002F6A2C"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rPr>
            </w:pPr>
            <w:r w:rsidRPr="002F6A2C">
              <w:rPr>
                <w:b/>
              </w:rPr>
              <w:t>..</w:t>
            </w:r>
          </w:p>
        </w:tc>
        <w:tc>
          <w:tcPr>
            <w:tcW w:w="682" w:type="pct"/>
          </w:tcPr>
          <w:p w:rsidR="00156218" w:rsidRPr="002F6A2C"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rPr>
            </w:pPr>
            <w:r w:rsidRPr="002F6A2C">
              <w:rPr>
                <w:b/>
              </w:rPr>
              <w:t>..</w:t>
            </w:r>
          </w:p>
        </w:tc>
        <w:tc>
          <w:tcPr>
            <w:tcW w:w="682" w:type="pct"/>
          </w:tcPr>
          <w:p w:rsidR="00156218" w:rsidRPr="002F6A2C"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rPr>
            </w:pPr>
            <w:r w:rsidRPr="002F6A2C">
              <w:rPr>
                <w:b/>
              </w:rPr>
              <w:t>..</w:t>
            </w:r>
          </w:p>
        </w:tc>
        <w:tc>
          <w:tcPr>
            <w:tcW w:w="682" w:type="pct"/>
          </w:tcPr>
          <w:p w:rsidR="00156218" w:rsidRPr="002F6A2C"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rPr>
            </w:pPr>
            <w:r w:rsidRPr="002F6A2C">
              <w:rPr>
                <w:b/>
              </w:rPr>
              <w:t>..</w:t>
            </w:r>
          </w:p>
        </w:tc>
        <w:tc>
          <w:tcPr>
            <w:tcW w:w="682" w:type="pct"/>
          </w:tcPr>
          <w:p w:rsidR="00156218" w:rsidRPr="00C6748D"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rPr>
            </w:pPr>
            <w:r w:rsidRPr="00C6748D">
              <w:rPr>
                <w:b/>
              </w:rPr>
              <w:t>..</w:t>
            </w:r>
          </w:p>
        </w:tc>
      </w:tr>
      <w:tr w:rsidR="00156218" w:rsidRPr="001A0EBD" w:rsidTr="00156218">
        <w:tc>
          <w:tcPr>
            <w:cnfStyle w:val="001000000000" w:firstRow="0" w:lastRow="0" w:firstColumn="1" w:lastColumn="0" w:oddVBand="0" w:evenVBand="0" w:oddHBand="0" w:evenHBand="0" w:firstRowFirstColumn="0" w:firstRowLastColumn="0" w:lastRowFirstColumn="0" w:lastRowLastColumn="0"/>
            <w:tcW w:w="1590" w:type="pct"/>
          </w:tcPr>
          <w:p w:rsidR="00156218" w:rsidRPr="001A0EBD" w:rsidRDefault="00156218" w:rsidP="00C614A7">
            <w:pPr>
              <w:spacing w:before="70" w:after="70" w:line="240" w:lineRule="auto"/>
              <w:ind w:left="57" w:right="57"/>
              <w:rPr>
                <w:i/>
              </w:rPr>
            </w:pPr>
            <w:r w:rsidRPr="001A0EBD">
              <w:rPr>
                <w:i/>
              </w:rPr>
              <w:t>Receipts – PRRT</w:t>
            </w:r>
          </w:p>
        </w:tc>
        <w:tc>
          <w:tcPr>
            <w:tcW w:w="682" w:type="pct"/>
          </w:tcPr>
          <w:p w:rsidR="00156218" w:rsidRPr="001A0EBD"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1A0EBD">
              <w:rPr>
                <w:i/>
              </w:rPr>
              <w:t>..</w:t>
            </w:r>
          </w:p>
        </w:tc>
        <w:tc>
          <w:tcPr>
            <w:tcW w:w="682" w:type="pct"/>
          </w:tcPr>
          <w:p w:rsidR="00156218" w:rsidRPr="001A0EBD"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1A0EBD">
              <w:rPr>
                <w:i/>
              </w:rPr>
              <w:t>..</w:t>
            </w:r>
          </w:p>
        </w:tc>
        <w:tc>
          <w:tcPr>
            <w:tcW w:w="682" w:type="pct"/>
          </w:tcPr>
          <w:p w:rsidR="00156218" w:rsidRPr="001A0EBD"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1A0EBD">
              <w:rPr>
                <w:i/>
              </w:rPr>
              <w:t>..</w:t>
            </w:r>
          </w:p>
        </w:tc>
        <w:tc>
          <w:tcPr>
            <w:tcW w:w="682" w:type="pct"/>
          </w:tcPr>
          <w:p w:rsidR="00156218" w:rsidRPr="001A0EBD"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1A0EBD">
              <w:rPr>
                <w:i/>
              </w:rPr>
              <w:t>..</w:t>
            </w:r>
          </w:p>
        </w:tc>
        <w:tc>
          <w:tcPr>
            <w:tcW w:w="682" w:type="pct"/>
          </w:tcPr>
          <w:p w:rsidR="00156218" w:rsidRPr="001A0EBD"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rPr>
            </w:pPr>
            <w:r w:rsidRPr="001A0EBD">
              <w:rPr>
                <w:b/>
                <w:i/>
              </w:rPr>
              <w:t>..</w:t>
            </w:r>
          </w:p>
        </w:tc>
      </w:tr>
      <w:tr w:rsidR="00156218" w:rsidRPr="001A0EBD" w:rsidTr="00156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pct"/>
          </w:tcPr>
          <w:p w:rsidR="00156218" w:rsidRPr="001A0EBD" w:rsidRDefault="00156218" w:rsidP="00C614A7">
            <w:pPr>
              <w:spacing w:before="70" w:after="70" w:line="240" w:lineRule="auto"/>
              <w:ind w:left="57" w:right="57"/>
              <w:rPr>
                <w:i/>
              </w:rPr>
            </w:pPr>
            <w:r w:rsidRPr="001A0EBD">
              <w:rPr>
                <w:i/>
              </w:rPr>
              <w:t>Receipts – Company Tax</w:t>
            </w:r>
          </w:p>
        </w:tc>
        <w:tc>
          <w:tcPr>
            <w:tcW w:w="682" w:type="pct"/>
          </w:tcPr>
          <w:p w:rsidR="00156218" w:rsidRPr="001A0EBD"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1A0EBD">
              <w:rPr>
                <w:i/>
              </w:rPr>
              <w:t>..</w:t>
            </w:r>
          </w:p>
        </w:tc>
        <w:tc>
          <w:tcPr>
            <w:tcW w:w="682" w:type="pct"/>
          </w:tcPr>
          <w:p w:rsidR="00156218" w:rsidRPr="001A0EBD"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1A0EBD">
              <w:rPr>
                <w:i/>
              </w:rPr>
              <w:t>..</w:t>
            </w:r>
          </w:p>
        </w:tc>
        <w:tc>
          <w:tcPr>
            <w:tcW w:w="682" w:type="pct"/>
          </w:tcPr>
          <w:p w:rsidR="00156218" w:rsidRPr="001A0EBD"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1A0EBD">
              <w:rPr>
                <w:i/>
              </w:rPr>
              <w:t>..</w:t>
            </w:r>
          </w:p>
        </w:tc>
        <w:tc>
          <w:tcPr>
            <w:tcW w:w="682" w:type="pct"/>
          </w:tcPr>
          <w:p w:rsidR="00156218" w:rsidRPr="001A0EBD"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rPr>
            </w:pPr>
            <w:r w:rsidRPr="001A0EBD">
              <w:rPr>
                <w:i/>
              </w:rPr>
              <w:t>..</w:t>
            </w:r>
          </w:p>
        </w:tc>
        <w:tc>
          <w:tcPr>
            <w:tcW w:w="682" w:type="pct"/>
          </w:tcPr>
          <w:p w:rsidR="00156218" w:rsidRPr="001A0EBD" w:rsidRDefault="00156218" w:rsidP="00C614A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i/>
              </w:rPr>
            </w:pPr>
            <w:r w:rsidRPr="001A0EBD">
              <w:rPr>
                <w:b/>
                <w:i/>
              </w:rPr>
              <w:t>..</w:t>
            </w:r>
          </w:p>
        </w:tc>
      </w:tr>
      <w:tr w:rsidR="00156218" w:rsidRPr="0055406D" w:rsidTr="00156218">
        <w:tc>
          <w:tcPr>
            <w:cnfStyle w:val="001000000000" w:firstRow="0" w:lastRow="0" w:firstColumn="1" w:lastColumn="0" w:oddVBand="0" w:evenVBand="0" w:oddHBand="0" w:evenHBand="0" w:firstRowFirstColumn="0" w:firstRowLastColumn="0" w:lastRowFirstColumn="0" w:lastRowLastColumn="0"/>
            <w:tcW w:w="1590" w:type="pct"/>
            <w:shd w:val="clear" w:color="auto" w:fill="D7DDE9"/>
          </w:tcPr>
          <w:p w:rsidR="00156218" w:rsidRPr="00156218" w:rsidRDefault="00156218" w:rsidP="00C614A7">
            <w:pPr>
              <w:spacing w:before="70" w:after="70" w:line="240" w:lineRule="auto"/>
              <w:ind w:left="57" w:right="57"/>
              <w:rPr>
                <w:b/>
              </w:rPr>
            </w:pPr>
            <w:r w:rsidRPr="00156218">
              <w:rPr>
                <w:b/>
              </w:rPr>
              <w:t>Total</w:t>
            </w:r>
          </w:p>
        </w:tc>
        <w:tc>
          <w:tcPr>
            <w:tcW w:w="682" w:type="pct"/>
            <w:shd w:val="clear" w:color="auto" w:fill="D7DDE9"/>
          </w:tcPr>
          <w:p w:rsidR="00156218" w:rsidRPr="00156218"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156218">
              <w:rPr>
                <w:b/>
              </w:rPr>
              <w:t>4,25</w:t>
            </w:r>
            <w:r w:rsidR="00A476D9">
              <w:rPr>
                <w:b/>
              </w:rPr>
              <w:t>4</w:t>
            </w:r>
            <w:r w:rsidR="00CD293F">
              <w:rPr>
                <w:b/>
              </w:rPr>
              <w:t>.</w:t>
            </w:r>
            <w:r w:rsidR="00EB5D20">
              <w:rPr>
                <w:b/>
              </w:rPr>
              <w:t>5</w:t>
            </w:r>
          </w:p>
        </w:tc>
        <w:tc>
          <w:tcPr>
            <w:tcW w:w="682" w:type="pct"/>
            <w:shd w:val="clear" w:color="auto" w:fill="D7DDE9"/>
          </w:tcPr>
          <w:p w:rsidR="00156218" w:rsidRPr="00156218"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156218">
              <w:rPr>
                <w:b/>
              </w:rPr>
              <w:t>5,90</w:t>
            </w:r>
            <w:r w:rsidR="00A476D9">
              <w:rPr>
                <w:b/>
              </w:rPr>
              <w:t>2</w:t>
            </w:r>
            <w:r w:rsidR="00CD293F">
              <w:rPr>
                <w:b/>
              </w:rPr>
              <w:t>.</w:t>
            </w:r>
            <w:r w:rsidR="00EB5D20">
              <w:rPr>
                <w:b/>
              </w:rPr>
              <w:t>8</w:t>
            </w:r>
          </w:p>
        </w:tc>
        <w:tc>
          <w:tcPr>
            <w:tcW w:w="682" w:type="pct"/>
            <w:shd w:val="clear" w:color="auto" w:fill="D7DDE9"/>
          </w:tcPr>
          <w:p w:rsidR="00156218" w:rsidRPr="00156218"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156218">
              <w:rPr>
                <w:b/>
              </w:rPr>
              <w:t>6,35</w:t>
            </w:r>
            <w:r w:rsidR="00A476D9">
              <w:rPr>
                <w:b/>
              </w:rPr>
              <w:t>2</w:t>
            </w:r>
            <w:r w:rsidR="00CD293F">
              <w:rPr>
                <w:b/>
              </w:rPr>
              <w:t>.</w:t>
            </w:r>
            <w:r w:rsidR="00EB5D20">
              <w:rPr>
                <w:b/>
              </w:rPr>
              <w:t>6</w:t>
            </w:r>
          </w:p>
        </w:tc>
        <w:tc>
          <w:tcPr>
            <w:tcW w:w="682" w:type="pct"/>
            <w:shd w:val="clear" w:color="auto" w:fill="D7DDE9"/>
          </w:tcPr>
          <w:p w:rsidR="00156218" w:rsidRPr="00156218"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156218">
              <w:rPr>
                <w:b/>
              </w:rPr>
              <w:t>6,60</w:t>
            </w:r>
            <w:r w:rsidR="00A476D9">
              <w:rPr>
                <w:b/>
              </w:rPr>
              <w:t>2</w:t>
            </w:r>
            <w:r w:rsidR="00CD293F">
              <w:rPr>
                <w:b/>
              </w:rPr>
              <w:t>.</w:t>
            </w:r>
            <w:r w:rsidR="00EB5D20">
              <w:rPr>
                <w:b/>
              </w:rPr>
              <w:t>6</w:t>
            </w:r>
          </w:p>
        </w:tc>
        <w:tc>
          <w:tcPr>
            <w:tcW w:w="682" w:type="pct"/>
            <w:shd w:val="clear" w:color="auto" w:fill="D7DDE9"/>
          </w:tcPr>
          <w:p w:rsidR="00156218" w:rsidRPr="00C6748D" w:rsidRDefault="00156218" w:rsidP="00C614A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C6748D">
              <w:rPr>
                <w:b/>
              </w:rPr>
              <w:t>23,11</w:t>
            </w:r>
            <w:r w:rsidR="00EB5D20">
              <w:rPr>
                <w:b/>
              </w:rPr>
              <w:t>2</w:t>
            </w:r>
            <w:r w:rsidR="00CD293F">
              <w:rPr>
                <w:b/>
              </w:rPr>
              <w:t>.</w:t>
            </w:r>
            <w:r w:rsidR="00EB5D20">
              <w:rPr>
                <w:b/>
              </w:rPr>
              <w:t>5</w:t>
            </w:r>
          </w:p>
        </w:tc>
      </w:tr>
    </w:tbl>
    <w:p w:rsidR="008A7BBD" w:rsidRPr="006E7357" w:rsidRDefault="008A7BBD" w:rsidP="00C614A7">
      <w:pPr>
        <w:pStyle w:val="Footnotes"/>
        <w:numPr>
          <w:ilvl w:val="0"/>
          <w:numId w:val="33"/>
        </w:numPr>
      </w:pPr>
      <w:r w:rsidRPr="006E7357">
        <w:t>A positive number for the underlying cash balance indicates an increase in receipts or a decrease in outlays or net capital investment in cash terms.  A negative number for the underlying cash balance indicates a decrease in receipts or an increase in outlays or net capital investment in cash terms.</w:t>
      </w:r>
    </w:p>
    <w:p w:rsidR="008A7BBD" w:rsidRPr="006E7357" w:rsidRDefault="008A7BBD" w:rsidP="008A7BBD">
      <w:pPr>
        <w:pStyle w:val="Footnotes"/>
        <w:numPr>
          <w:ilvl w:val="0"/>
          <w:numId w:val="6"/>
        </w:numPr>
        <w:ind w:left="284" w:hanging="284"/>
      </w:pPr>
      <w:r w:rsidRPr="006E7357">
        <w:t>Figures may not sum to totals due to rounding.</w:t>
      </w:r>
    </w:p>
    <w:p w:rsidR="00485374" w:rsidRPr="00FC6579" w:rsidRDefault="008A7BBD" w:rsidP="00BF261A">
      <w:pPr>
        <w:pStyle w:val="Footnotes"/>
        <w:numPr>
          <w:ilvl w:val="0"/>
          <w:numId w:val="0"/>
        </w:numPr>
        <w:ind w:left="284" w:hanging="284"/>
      </w:pPr>
      <w:r w:rsidRPr="006E7357">
        <w:t>..</w:t>
      </w:r>
      <w:r w:rsidR="00622B3F">
        <w:tab/>
      </w:r>
      <w:r w:rsidRPr="006E7357">
        <w:t>Not zero,</w:t>
      </w:r>
      <w:r>
        <w:t xml:space="preserve"> but rounded to zero.</w:t>
      </w:r>
    </w:p>
    <w:sectPr w:rsidR="00485374" w:rsidRPr="00FC6579" w:rsidSect="00B3671F">
      <w:headerReference w:type="first" r:id="rId16"/>
      <w:pgSz w:w="11907" w:h="16839" w:code="9"/>
      <w:pgMar w:top="1361" w:right="1797" w:bottom="1474"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7E8" w:rsidRDefault="009367E8" w:rsidP="008F588A">
      <w:pPr>
        <w:spacing w:line="240" w:lineRule="auto"/>
      </w:pPr>
      <w:r>
        <w:separator/>
      </w:r>
    </w:p>
    <w:p w:rsidR="009367E8" w:rsidRDefault="009367E8"/>
  </w:endnote>
  <w:endnote w:type="continuationSeparator" w:id="0">
    <w:p w:rsidR="009367E8" w:rsidRDefault="009367E8" w:rsidP="008F588A">
      <w:pPr>
        <w:spacing w:line="240" w:lineRule="auto"/>
      </w:pPr>
      <w:r>
        <w:continuationSeparator/>
      </w:r>
    </w:p>
    <w:p w:rsidR="009367E8" w:rsidRDefault="00936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374" w:rsidRPr="00C24267" w:rsidRDefault="00485374"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D27BBB">
      <w:rPr>
        <w:noProof/>
      </w:rPr>
      <w:t>7</w:t>
    </w:r>
    <w:r w:rsidRPr="00C24267">
      <w:fldChar w:fldCharType="end"/>
    </w:r>
    <w:r w:rsidRPr="00C24267">
      <w:t xml:space="preserve"> of </w:t>
    </w:r>
    <w:fldSimple w:instr=" NUMPAGES  \* Arabic  \* MERGEFORMAT ">
      <w:r w:rsidR="00D27BBB">
        <w:rPr>
          <w:noProof/>
        </w:rPr>
        <w:t>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374" w:rsidRPr="00C24267" w:rsidRDefault="00485374" w:rsidP="00C24267">
    <w:pPr>
      <w:pStyle w:val="Letterfooter"/>
    </w:pPr>
    <w:r w:rsidRPr="00C24267">
      <w:t>Parliamentary Budget Office   PO Box 6010   Parliament House   Canberra ACT 2600</w:t>
    </w:r>
  </w:p>
  <w:p w:rsidR="00485374" w:rsidRPr="00C24267" w:rsidRDefault="00485374"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374" w:rsidRPr="00C24267" w:rsidRDefault="00485374"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D27BBB">
      <w:rPr>
        <w:noProof/>
      </w:rPr>
      <w:t>6</w:t>
    </w:r>
    <w:r w:rsidRPr="00C24267">
      <w:fldChar w:fldCharType="end"/>
    </w:r>
    <w:r w:rsidRPr="00C24267">
      <w:t xml:space="preserve"> of </w:t>
    </w:r>
    <w:fldSimple w:instr=" NUMPAGES  \* Arabic  \* MERGEFORMAT ">
      <w:r w:rsidR="00D27BBB">
        <w:rPr>
          <w:noProof/>
        </w:rPr>
        <w:t>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7E8" w:rsidRDefault="009367E8" w:rsidP="008F588A">
      <w:pPr>
        <w:spacing w:line="240" w:lineRule="auto"/>
      </w:pPr>
      <w:r>
        <w:separator/>
      </w:r>
    </w:p>
    <w:p w:rsidR="009367E8" w:rsidRDefault="009367E8"/>
  </w:footnote>
  <w:footnote w:type="continuationSeparator" w:id="0">
    <w:p w:rsidR="009367E8" w:rsidRDefault="009367E8" w:rsidP="008F588A">
      <w:pPr>
        <w:spacing w:line="240" w:lineRule="auto"/>
      </w:pPr>
      <w:r>
        <w:continuationSeparator/>
      </w:r>
    </w:p>
    <w:p w:rsidR="009367E8" w:rsidRDefault="009367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374" w:rsidRDefault="00485374" w:rsidP="00CB40E1">
    <w:pPr>
      <w:pStyle w:val="Header"/>
    </w:pPr>
    <w:r>
      <w:rPr>
        <w:noProof/>
        <w:lang w:eastAsia="en-AU"/>
      </w:rPr>
      <w:drawing>
        <wp:inline distT="0" distB="0" distL="0" distR="0" wp14:anchorId="166CC723" wp14:editId="662056F7">
          <wp:extent cx="2696845" cy="5721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485374" w:rsidRPr="00DA1C8A" w:rsidRDefault="00485374" w:rsidP="00002D5D">
    <w:pPr>
      <w:pStyle w:val="PBOheader"/>
      <w:spacing w:before="720"/>
      <w:ind w:left="5783"/>
      <w:rPr>
        <w:b w:val="0"/>
      </w:rPr>
    </w:pPr>
    <w:r>
      <w:t>P</w:t>
    </w:r>
    <w:r w:rsidRPr="009030A0">
      <w:t>hil Bowen PSM FCPA</w:t>
    </w:r>
    <w:r>
      <w:br/>
    </w:r>
    <w:r w:rsidRPr="009030A0">
      <w:t>Parliamentary Budget Officer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374" w:rsidRPr="00DC766E" w:rsidRDefault="00DC766E" w:rsidP="00DC766E">
    <w:pPr>
      <w:pStyle w:val="Header"/>
    </w:pPr>
    <w:r>
      <w:rPr>
        <w:noProof/>
        <w:lang w:eastAsia="en-AU"/>
      </w:rPr>
      <w:drawing>
        <wp:inline distT="0" distB="0" distL="0" distR="0" wp14:anchorId="4A5D095D" wp14:editId="6E3D0541">
          <wp:extent cx="2696845" cy="5721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AC" w:rsidRPr="00DC766E" w:rsidRDefault="00FE1FAC" w:rsidP="00DC76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21E54F8"/>
    <w:multiLevelType w:val="hybridMultilevel"/>
    <w:tmpl w:val="11C05008"/>
    <w:lvl w:ilvl="0" w:tplc="8E68AD42">
      <w:numFmt w:val="bullet"/>
      <w:lvlText w:val="•"/>
      <w:lvlJc w:val="left"/>
      <w:pPr>
        <w:ind w:left="360" w:hanging="360"/>
      </w:pPr>
      <w:rPr>
        <w:rFonts w:ascii="SymbolMT" w:eastAsiaTheme="minorHAnsi" w:hAnsi="SymbolMT" w:cs="SymbolM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68B37FE"/>
    <w:multiLevelType w:val="multilevel"/>
    <w:tmpl w:val="EB047CC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
    <w:nsid w:val="079510B5"/>
    <w:multiLevelType w:val="hybridMultilevel"/>
    <w:tmpl w:val="24983E42"/>
    <w:lvl w:ilvl="0" w:tplc="8E68AD42">
      <w:numFmt w:val="bullet"/>
      <w:lvlText w:val="•"/>
      <w:lvlJc w:val="left"/>
      <w:pPr>
        <w:ind w:left="360" w:hanging="360"/>
      </w:pPr>
      <w:rPr>
        <w:rFonts w:ascii="SymbolMT" w:eastAsiaTheme="minorHAnsi" w:hAnsi="SymbolMT" w:cs="SymbolM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8A9691F"/>
    <w:multiLevelType w:val="hybridMultilevel"/>
    <w:tmpl w:val="4A32C63A"/>
    <w:lvl w:ilvl="0" w:tplc="8E68AD42">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E67E54"/>
    <w:multiLevelType w:val="hybridMultilevel"/>
    <w:tmpl w:val="5DE46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0D745448"/>
    <w:multiLevelType w:val="multilevel"/>
    <w:tmpl w:val="1CA8BD68"/>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7">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8">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9">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10">
    <w:nsid w:val="30E45E35"/>
    <w:multiLevelType w:val="hybridMultilevel"/>
    <w:tmpl w:val="151C4CBC"/>
    <w:lvl w:ilvl="0" w:tplc="7C60CC02">
      <w:start w:val="1"/>
      <w:numFmt w:val="lowerLetter"/>
      <w:pStyle w:val="Footnotes"/>
      <w:lvlText w:val="(%1)"/>
      <w:lvlJc w:val="left"/>
      <w:pPr>
        <w:ind w:left="360" w:hanging="360"/>
      </w:pPr>
      <w:rPr>
        <w:rFonts w:hint="default"/>
      </w:rPr>
    </w:lvl>
    <w:lvl w:ilvl="1" w:tplc="0C090019" w:tentative="1">
      <w:start w:val="1"/>
      <w:numFmt w:val="lowerLetter"/>
      <w:lvlText w:val="%2."/>
      <w:lvlJc w:val="left"/>
      <w:pPr>
        <w:ind w:left="967" w:hanging="360"/>
      </w:pPr>
    </w:lvl>
    <w:lvl w:ilvl="2" w:tplc="0C09001B" w:tentative="1">
      <w:start w:val="1"/>
      <w:numFmt w:val="lowerRoman"/>
      <w:lvlText w:val="%3."/>
      <w:lvlJc w:val="right"/>
      <w:pPr>
        <w:ind w:left="1687" w:hanging="180"/>
      </w:pPr>
    </w:lvl>
    <w:lvl w:ilvl="3" w:tplc="0C09000F" w:tentative="1">
      <w:start w:val="1"/>
      <w:numFmt w:val="decimal"/>
      <w:lvlText w:val="%4."/>
      <w:lvlJc w:val="left"/>
      <w:pPr>
        <w:ind w:left="2407" w:hanging="360"/>
      </w:pPr>
    </w:lvl>
    <w:lvl w:ilvl="4" w:tplc="0C090019" w:tentative="1">
      <w:start w:val="1"/>
      <w:numFmt w:val="lowerLetter"/>
      <w:lvlText w:val="%5."/>
      <w:lvlJc w:val="left"/>
      <w:pPr>
        <w:ind w:left="3127" w:hanging="360"/>
      </w:pPr>
    </w:lvl>
    <w:lvl w:ilvl="5" w:tplc="0C09001B" w:tentative="1">
      <w:start w:val="1"/>
      <w:numFmt w:val="lowerRoman"/>
      <w:lvlText w:val="%6."/>
      <w:lvlJc w:val="right"/>
      <w:pPr>
        <w:ind w:left="3847" w:hanging="180"/>
      </w:pPr>
    </w:lvl>
    <w:lvl w:ilvl="6" w:tplc="0C09000F" w:tentative="1">
      <w:start w:val="1"/>
      <w:numFmt w:val="decimal"/>
      <w:lvlText w:val="%7."/>
      <w:lvlJc w:val="left"/>
      <w:pPr>
        <w:ind w:left="4567" w:hanging="360"/>
      </w:pPr>
    </w:lvl>
    <w:lvl w:ilvl="7" w:tplc="0C090019" w:tentative="1">
      <w:start w:val="1"/>
      <w:numFmt w:val="lowerLetter"/>
      <w:lvlText w:val="%8."/>
      <w:lvlJc w:val="left"/>
      <w:pPr>
        <w:ind w:left="5287" w:hanging="360"/>
      </w:pPr>
    </w:lvl>
    <w:lvl w:ilvl="8" w:tplc="0C09001B" w:tentative="1">
      <w:start w:val="1"/>
      <w:numFmt w:val="lowerRoman"/>
      <w:lvlText w:val="%9."/>
      <w:lvlJc w:val="right"/>
      <w:pPr>
        <w:ind w:left="6007" w:hanging="180"/>
      </w:pPr>
    </w:lvl>
  </w:abstractNum>
  <w:abstractNum w:abstractNumId="11">
    <w:nsid w:val="311B07F2"/>
    <w:multiLevelType w:val="hybridMultilevel"/>
    <w:tmpl w:val="13C48E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B2E19AC"/>
    <w:multiLevelType w:val="singleLevel"/>
    <w:tmpl w:val="032CEB48"/>
    <w:lvl w:ilvl="0">
      <w:start w:val="1"/>
      <w:numFmt w:val="lowerLetter"/>
      <w:lvlRestart w:val="0"/>
      <w:pStyle w:val="ChartandTableFootnoteAlpha"/>
      <w:lvlText w:val="(%1)"/>
      <w:lvlJc w:val="left"/>
      <w:pPr>
        <w:tabs>
          <w:tab w:val="num" w:pos="284"/>
        </w:tabs>
        <w:ind w:left="284" w:hanging="284"/>
      </w:pPr>
      <w:rPr>
        <w:rFonts w:ascii="Times New Roman" w:hAnsi="Times New Roman" w:cs="Times New Roman" w:hint="default"/>
        <w:b w:val="0"/>
        <w:i w:val="0"/>
        <w:color w:val="000000"/>
        <w:sz w:val="18"/>
        <w:szCs w:val="18"/>
      </w:rPr>
    </w:lvl>
  </w:abstractNum>
  <w:abstractNum w:abstractNumId="13">
    <w:nsid w:val="448C03EB"/>
    <w:multiLevelType w:val="hybridMultilevel"/>
    <w:tmpl w:val="47002242"/>
    <w:lvl w:ilvl="0" w:tplc="6EEE3B98">
      <w:start w:val="5"/>
      <w:numFmt w:val="bullet"/>
      <w:lvlText w:val="-"/>
      <w:lvlJc w:val="left"/>
      <w:pPr>
        <w:ind w:left="720" w:hanging="360"/>
      </w:pPr>
      <w:rPr>
        <w:rFonts w:ascii="Calibri" w:eastAsiaTheme="minorHAns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F9F7709"/>
    <w:multiLevelType w:val="hybridMultilevel"/>
    <w:tmpl w:val="D3A64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6">
    <w:nsid w:val="74E70534"/>
    <w:multiLevelType w:val="multilevel"/>
    <w:tmpl w:val="24983E42"/>
    <w:lvl w:ilvl="0">
      <w:numFmt w:val="bullet"/>
      <w:lvlText w:val="•"/>
      <w:lvlJc w:val="left"/>
      <w:pPr>
        <w:ind w:left="360" w:hanging="360"/>
      </w:pPr>
      <w:rPr>
        <w:rFonts w:ascii="SymbolMT" w:eastAsiaTheme="minorHAnsi" w:hAnsi="SymbolMT" w:cs="SymbolMT"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79EA63D9"/>
    <w:multiLevelType w:val="hybridMultilevel"/>
    <w:tmpl w:val="7ADA6986"/>
    <w:lvl w:ilvl="0" w:tplc="7F6A985C">
      <w:start w:val="1"/>
      <w:numFmt w:val="lowerLetter"/>
      <w:lvlText w:val="(%1)"/>
      <w:lvlJc w:val="left"/>
      <w:pPr>
        <w:ind w:left="360" w:hanging="360"/>
      </w:pPr>
    </w:lvl>
    <w:lvl w:ilvl="1" w:tplc="0C090019">
      <w:start w:val="1"/>
      <w:numFmt w:val="lowerLetter"/>
      <w:lvlText w:val="%2."/>
      <w:lvlJc w:val="left"/>
      <w:pPr>
        <w:ind w:left="967" w:hanging="360"/>
      </w:pPr>
    </w:lvl>
    <w:lvl w:ilvl="2" w:tplc="0C09001B">
      <w:start w:val="1"/>
      <w:numFmt w:val="lowerRoman"/>
      <w:lvlText w:val="%3."/>
      <w:lvlJc w:val="right"/>
      <w:pPr>
        <w:ind w:left="1687" w:hanging="180"/>
      </w:pPr>
    </w:lvl>
    <w:lvl w:ilvl="3" w:tplc="0C09000F">
      <w:start w:val="1"/>
      <w:numFmt w:val="decimal"/>
      <w:lvlText w:val="%4."/>
      <w:lvlJc w:val="left"/>
      <w:pPr>
        <w:ind w:left="2407" w:hanging="360"/>
      </w:pPr>
    </w:lvl>
    <w:lvl w:ilvl="4" w:tplc="0C090019">
      <w:start w:val="1"/>
      <w:numFmt w:val="lowerLetter"/>
      <w:lvlText w:val="%5."/>
      <w:lvlJc w:val="left"/>
      <w:pPr>
        <w:ind w:left="3127" w:hanging="360"/>
      </w:pPr>
    </w:lvl>
    <w:lvl w:ilvl="5" w:tplc="0C09001B">
      <w:start w:val="1"/>
      <w:numFmt w:val="lowerRoman"/>
      <w:lvlText w:val="%6."/>
      <w:lvlJc w:val="right"/>
      <w:pPr>
        <w:ind w:left="3847" w:hanging="180"/>
      </w:pPr>
    </w:lvl>
    <w:lvl w:ilvl="6" w:tplc="0C09000F">
      <w:start w:val="1"/>
      <w:numFmt w:val="decimal"/>
      <w:lvlText w:val="%7."/>
      <w:lvlJc w:val="left"/>
      <w:pPr>
        <w:ind w:left="4567" w:hanging="360"/>
      </w:pPr>
    </w:lvl>
    <w:lvl w:ilvl="7" w:tplc="0C090019">
      <w:start w:val="1"/>
      <w:numFmt w:val="lowerLetter"/>
      <w:lvlText w:val="%8."/>
      <w:lvlJc w:val="left"/>
      <w:pPr>
        <w:ind w:left="5287" w:hanging="360"/>
      </w:pPr>
    </w:lvl>
    <w:lvl w:ilvl="8" w:tplc="0C09001B">
      <w:start w:val="1"/>
      <w:numFmt w:val="lowerRoman"/>
      <w:lvlText w:val="%9."/>
      <w:lvlJc w:val="right"/>
      <w:pPr>
        <w:ind w:left="6007" w:hanging="180"/>
      </w:pPr>
    </w:lvl>
  </w:abstractNum>
  <w:abstractNum w:abstractNumId="18">
    <w:nsid w:val="7C9B1DB2"/>
    <w:multiLevelType w:val="hybridMultilevel"/>
    <w:tmpl w:val="DA1E46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7FE96970"/>
    <w:multiLevelType w:val="multilevel"/>
    <w:tmpl w:val="24983E42"/>
    <w:lvl w:ilvl="0">
      <w:numFmt w:val="bullet"/>
      <w:lvlText w:val="•"/>
      <w:lvlJc w:val="left"/>
      <w:pPr>
        <w:ind w:left="360" w:hanging="360"/>
      </w:pPr>
      <w:rPr>
        <w:rFonts w:ascii="SymbolMT" w:eastAsiaTheme="minorHAnsi" w:hAnsi="SymbolMT" w:cs="SymbolMT"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7"/>
  </w:num>
  <w:num w:numId="4">
    <w:abstractNumId w:val="8"/>
  </w:num>
  <w:num w:numId="5">
    <w:abstractNumId w:val="15"/>
  </w:num>
  <w:num w:numId="6">
    <w:abstractNumId w:val="10"/>
  </w:num>
  <w:num w:numId="7">
    <w:abstractNumId w:val="10"/>
    <w:lvlOverride w:ilvl="0">
      <w:startOverride w:val="1"/>
    </w:lvlOverride>
  </w:num>
  <w:num w:numId="8">
    <w:abstractNumId w:val="10"/>
    <w:lvlOverride w:ilvl="0">
      <w:startOverride w:val="1"/>
    </w:lvlOverride>
  </w:num>
  <w:num w:numId="9">
    <w:abstractNumId w:val="10"/>
  </w:num>
  <w:num w:numId="10">
    <w:abstractNumId w:val="10"/>
    <w:lvlOverride w:ilvl="0">
      <w:startOverride w:val="1"/>
    </w:lvlOverride>
  </w:num>
  <w:num w:numId="11">
    <w:abstractNumId w:val="2"/>
  </w:num>
  <w:num w:numId="12">
    <w:abstractNumId w:val="0"/>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1"/>
  </w:num>
  <w:num w:numId="17">
    <w:abstractNumId w:val="18"/>
  </w:num>
  <w:num w:numId="18">
    <w:abstractNumId w:val="5"/>
  </w:num>
  <w:num w:numId="19">
    <w:abstractNumId w:val="14"/>
  </w:num>
  <w:num w:numId="20">
    <w:abstractNumId w:val="4"/>
  </w:num>
  <w:num w:numId="21">
    <w:abstractNumId w:val="1"/>
  </w:num>
  <w:num w:numId="22">
    <w:abstractNumId w:val="3"/>
  </w:num>
  <w:num w:numId="23">
    <w:abstractNumId w:val="13"/>
  </w:num>
  <w:num w:numId="24">
    <w:abstractNumId w:val="16"/>
  </w:num>
  <w:num w:numId="25">
    <w:abstractNumId w:val="19"/>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num>
  <w:num w:numId="31">
    <w:abstractNumId w:val="10"/>
    <w:lvlOverride w:ilvl="0">
      <w:startOverride w:val="1"/>
    </w:lvlOverride>
  </w:num>
  <w:num w:numId="32">
    <w:abstractNumId w:val="12"/>
    <w:lvlOverride w:ilvl="0">
      <w:startOverride w:val="1"/>
    </w:lvlOverride>
  </w:num>
  <w:num w:numId="3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hideGrammaticalErrors/>
  <w:proofState w:spelling="clean" w:grammar="clean"/>
  <w:attachedTemplate r:id="rId1"/>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7E8"/>
    <w:rsid w:val="00002D5D"/>
    <w:rsid w:val="00015FB2"/>
    <w:rsid w:val="000162C7"/>
    <w:rsid w:val="000223E4"/>
    <w:rsid w:val="00025F4A"/>
    <w:rsid w:val="00032898"/>
    <w:rsid w:val="0003384C"/>
    <w:rsid w:val="00040957"/>
    <w:rsid w:val="00040DCE"/>
    <w:rsid w:val="00054B38"/>
    <w:rsid w:val="00074888"/>
    <w:rsid w:val="00086F5E"/>
    <w:rsid w:val="00096F3A"/>
    <w:rsid w:val="000C1A75"/>
    <w:rsid w:val="000F137E"/>
    <w:rsid w:val="000F5C97"/>
    <w:rsid w:val="0012044B"/>
    <w:rsid w:val="001278D0"/>
    <w:rsid w:val="00142055"/>
    <w:rsid w:val="0014239B"/>
    <w:rsid w:val="00156218"/>
    <w:rsid w:val="0017662A"/>
    <w:rsid w:val="00182685"/>
    <w:rsid w:val="001972F0"/>
    <w:rsid w:val="001A02D1"/>
    <w:rsid w:val="001A0EBD"/>
    <w:rsid w:val="001A5192"/>
    <w:rsid w:val="001E090C"/>
    <w:rsid w:val="001E5ECD"/>
    <w:rsid w:val="002132CF"/>
    <w:rsid w:val="00220BE5"/>
    <w:rsid w:val="002300D0"/>
    <w:rsid w:val="0023287E"/>
    <w:rsid w:val="002422A3"/>
    <w:rsid w:val="00251DFC"/>
    <w:rsid w:val="0025605A"/>
    <w:rsid w:val="00263A42"/>
    <w:rsid w:val="002644BE"/>
    <w:rsid w:val="00264CF0"/>
    <w:rsid w:val="00274DB9"/>
    <w:rsid w:val="00277076"/>
    <w:rsid w:val="002870C7"/>
    <w:rsid w:val="002A16A6"/>
    <w:rsid w:val="002E7A99"/>
    <w:rsid w:val="002F5AE7"/>
    <w:rsid w:val="002F6A2C"/>
    <w:rsid w:val="00315E34"/>
    <w:rsid w:val="003171E9"/>
    <w:rsid w:val="00326DE2"/>
    <w:rsid w:val="00384397"/>
    <w:rsid w:val="003A5B7E"/>
    <w:rsid w:val="003C222D"/>
    <w:rsid w:val="003D7744"/>
    <w:rsid w:val="003E4F5F"/>
    <w:rsid w:val="003F2C9F"/>
    <w:rsid w:val="003F73CA"/>
    <w:rsid w:val="003F7A93"/>
    <w:rsid w:val="004045BE"/>
    <w:rsid w:val="00440E32"/>
    <w:rsid w:val="0044171B"/>
    <w:rsid w:val="00461597"/>
    <w:rsid w:val="00464C68"/>
    <w:rsid w:val="00473AD3"/>
    <w:rsid w:val="00485374"/>
    <w:rsid w:val="0048664F"/>
    <w:rsid w:val="00492F4F"/>
    <w:rsid w:val="004953B5"/>
    <w:rsid w:val="004A5B2B"/>
    <w:rsid w:val="004A70A7"/>
    <w:rsid w:val="004C283B"/>
    <w:rsid w:val="004D13ED"/>
    <w:rsid w:val="004D5525"/>
    <w:rsid w:val="005035DA"/>
    <w:rsid w:val="00507897"/>
    <w:rsid w:val="00515A85"/>
    <w:rsid w:val="005223BE"/>
    <w:rsid w:val="005409CF"/>
    <w:rsid w:val="00545F24"/>
    <w:rsid w:val="005472C8"/>
    <w:rsid w:val="0055581F"/>
    <w:rsid w:val="00556904"/>
    <w:rsid w:val="0056229A"/>
    <w:rsid w:val="00570154"/>
    <w:rsid w:val="00570B5A"/>
    <w:rsid w:val="00571EDB"/>
    <w:rsid w:val="00587422"/>
    <w:rsid w:val="005A0FC8"/>
    <w:rsid w:val="005B1A4A"/>
    <w:rsid w:val="005B4A0D"/>
    <w:rsid w:val="005C5C93"/>
    <w:rsid w:val="005C5FF5"/>
    <w:rsid w:val="005C6967"/>
    <w:rsid w:val="005D0A3D"/>
    <w:rsid w:val="005E3562"/>
    <w:rsid w:val="005F7DE0"/>
    <w:rsid w:val="006029DC"/>
    <w:rsid w:val="00622B3F"/>
    <w:rsid w:val="00640346"/>
    <w:rsid w:val="006569A9"/>
    <w:rsid w:val="00656DA8"/>
    <w:rsid w:val="00660385"/>
    <w:rsid w:val="00662E65"/>
    <w:rsid w:val="0066665A"/>
    <w:rsid w:val="00692DD8"/>
    <w:rsid w:val="0069722C"/>
    <w:rsid w:val="006B05BD"/>
    <w:rsid w:val="006B57F4"/>
    <w:rsid w:val="006F0246"/>
    <w:rsid w:val="006F0880"/>
    <w:rsid w:val="006F0CE9"/>
    <w:rsid w:val="007118AD"/>
    <w:rsid w:val="007202A8"/>
    <w:rsid w:val="007229A9"/>
    <w:rsid w:val="007463C0"/>
    <w:rsid w:val="00747510"/>
    <w:rsid w:val="00753442"/>
    <w:rsid w:val="00753852"/>
    <w:rsid w:val="00763544"/>
    <w:rsid w:val="007752B0"/>
    <w:rsid w:val="007A065F"/>
    <w:rsid w:val="007B029A"/>
    <w:rsid w:val="007D33AA"/>
    <w:rsid w:val="007D3577"/>
    <w:rsid w:val="007E664D"/>
    <w:rsid w:val="007F7BCF"/>
    <w:rsid w:val="008030EC"/>
    <w:rsid w:val="00811D6D"/>
    <w:rsid w:val="0081614F"/>
    <w:rsid w:val="00817E8E"/>
    <w:rsid w:val="008316EB"/>
    <w:rsid w:val="008343C5"/>
    <w:rsid w:val="00841C3A"/>
    <w:rsid w:val="00844776"/>
    <w:rsid w:val="00871489"/>
    <w:rsid w:val="00872806"/>
    <w:rsid w:val="008850D9"/>
    <w:rsid w:val="008927D2"/>
    <w:rsid w:val="00894246"/>
    <w:rsid w:val="008953E6"/>
    <w:rsid w:val="008A4578"/>
    <w:rsid w:val="008A7BBD"/>
    <w:rsid w:val="008C03C3"/>
    <w:rsid w:val="008D3909"/>
    <w:rsid w:val="008D6ECA"/>
    <w:rsid w:val="008E3CE4"/>
    <w:rsid w:val="008F588A"/>
    <w:rsid w:val="00902D2D"/>
    <w:rsid w:val="00906146"/>
    <w:rsid w:val="009133AA"/>
    <w:rsid w:val="00915804"/>
    <w:rsid w:val="0091594D"/>
    <w:rsid w:val="009367E8"/>
    <w:rsid w:val="00957285"/>
    <w:rsid w:val="009573AF"/>
    <w:rsid w:val="00985903"/>
    <w:rsid w:val="00995FA1"/>
    <w:rsid w:val="009963ED"/>
    <w:rsid w:val="009A2755"/>
    <w:rsid w:val="009A3966"/>
    <w:rsid w:val="009D2DD1"/>
    <w:rsid w:val="009D4063"/>
    <w:rsid w:val="009F5501"/>
    <w:rsid w:val="009F56BA"/>
    <w:rsid w:val="009F5DE8"/>
    <w:rsid w:val="00A04DD9"/>
    <w:rsid w:val="00A2306D"/>
    <w:rsid w:val="00A24324"/>
    <w:rsid w:val="00A302D8"/>
    <w:rsid w:val="00A41BD3"/>
    <w:rsid w:val="00A41CDA"/>
    <w:rsid w:val="00A449C2"/>
    <w:rsid w:val="00A476D9"/>
    <w:rsid w:val="00A65EA3"/>
    <w:rsid w:val="00A7799C"/>
    <w:rsid w:val="00A85B48"/>
    <w:rsid w:val="00A91F06"/>
    <w:rsid w:val="00AA3D6F"/>
    <w:rsid w:val="00AA4776"/>
    <w:rsid w:val="00AA53FF"/>
    <w:rsid w:val="00AA6D4B"/>
    <w:rsid w:val="00AB55AE"/>
    <w:rsid w:val="00AB6F7D"/>
    <w:rsid w:val="00AC7878"/>
    <w:rsid w:val="00AD493E"/>
    <w:rsid w:val="00AE0D1C"/>
    <w:rsid w:val="00AE118C"/>
    <w:rsid w:val="00AE30B5"/>
    <w:rsid w:val="00AE5755"/>
    <w:rsid w:val="00B06055"/>
    <w:rsid w:val="00B101F7"/>
    <w:rsid w:val="00B15053"/>
    <w:rsid w:val="00B24171"/>
    <w:rsid w:val="00B3033B"/>
    <w:rsid w:val="00B3671F"/>
    <w:rsid w:val="00B44D8A"/>
    <w:rsid w:val="00B6115F"/>
    <w:rsid w:val="00B6737F"/>
    <w:rsid w:val="00B73AC8"/>
    <w:rsid w:val="00B747A7"/>
    <w:rsid w:val="00B80789"/>
    <w:rsid w:val="00B8743C"/>
    <w:rsid w:val="00BA2BBF"/>
    <w:rsid w:val="00BB2959"/>
    <w:rsid w:val="00BB450C"/>
    <w:rsid w:val="00BB4BF7"/>
    <w:rsid w:val="00BC559C"/>
    <w:rsid w:val="00BC797D"/>
    <w:rsid w:val="00BD70D5"/>
    <w:rsid w:val="00BE7981"/>
    <w:rsid w:val="00BF261A"/>
    <w:rsid w:val="00C17112"/>
    <w:rsid w:val="00C24267"/>
    <w:rsid w:val="00C53895"/>
    <w:rsid w:val="00C614A7"/>
    <w:rsid w:val="00C6748D"/>
    <w:rsid w:val="00C74610"/>
    <w:rsid w:val="00C8195C"/>
    <w:rsid w:val="00C847A0"/>
    <w:rsid w:val="00CA2D7C"/>
    <w:rsid w:val="00CA5D42"/>
    <w:rsid w:val="00CA72E8"/>
    <w:rsid w:val="00CB40E1"/>
    <w:rsid w:val="00CC0DD4"/>
    <w:rsid w:val="00CD293F"/>
    <w:rsid w:val="00CF6DB6"/>
    <w:rsid w:val="00D03F80"/>
    <w:rsid w:val="00D134CA"/>
    <w:rsid w:val="00D27BBB"/>
    <w:rsid w:val="00D52D5F"/>
    <w:rsid w:val="00D949A3"/>
    <w:rsid w:val="00DA1C8A"/>
    <w:rsid w:val="00DA5676"/>
    <w:rsid w:val="00DB44F0"/>
    <w:rsid w:val="00DC54DF"/>
    <w:rsid w:val="00DC766E"/>
    <w:rsid w:val="00DD109E"/>
    <w:rsid w:val="00DD3E18"/>
    <w:rsid w:val="00DF0D97"/>
    <w:rsid w:val="00E12103"/>
    <w:rsid w:val="00E15AAE"/>
    <w:rsid w:val="00E21184"/>
    <w:rsid w:val="00E21341"/>
    <w:rsid w:val="00E21D00"/>
    <w:rsid w:val="00E22EFC"/>
    <w:rsid w:val="00E36E6E"/>
    <w:rsid w:val="00E40B8B"/>
    <w:rsid w:val="00E509CD"/>
    <w:rsid w:val="00E52A39"/>
    <w:rsid w:val="00E5742E"/>
    <w:rsid w:val="00E6362C"/>
    <w:rsid w:val="00E83BFF"/>
    <w:rsid w:val="00E83CA9"/>
    <w:rsid w:val="00E875A3"/>
    <w:rsid w:val="00EA137C"/>
    <w:rsid w:val="00EA265F"/>
    <w:rsid w:val="00EA5685"/>
    <w:rsid w:val="00EB16A6"/>
    <w:rsid w:val="00EB1EFA"/>
    <w:rsid w:val="00EB5D20"/>
    <w:rsid w:val="00EC59CB"/>
    <w:rsid w:val="00ED43FF"/>
    <w:rsid w:val="00ED4D0C"/>
    <w:rsid w:val="00EE2282"/>
    <w:rsid w:val="00EE504C"/>
    <w:rsid w:val="00EE556B"/>
    <w:rsid w:val="00EE6600"/>
    <w:rsid w:val="00EF1D6A"/>
    <w:rsid w:val="00EF2E51"/>
    <w:rsid w:val="00EF7D74"/>
    <w:rsid w:val="00F075F6"/>
    <w:rsid w:val="00F101BC"/>
    <w:rsid w:val="00F13884"/>
    <w:rsid w:val="00F215DC"/>
    <w:rsid w:val="00F31E24"/>
    <w:rsid w:val="00F50472"/>
    <w:rsid w:val="00F52474"/>
    <w:rsid w:val="00F5529D"/>
    <w:rsid w:val="00F5669E"/>
    <w:rsid w:val="00F75D33"/>
    <w:rsid w:val="00F8669B"/>
    <w:rsid w:val="00F91141"/>
    <w:rsid w:val="00F94A2C"/>
    <w:rsid w:val="00F954CF"/>
    <w:rsid w:val="00F97DFF"/>
    <w:rsid w:val="00FC6579"/>
    <w:rsid w:val="00FD3FB3"/>
    <w:rsid w:val="00FE1053"/>
    <w:rsid w:val="00FE1FAC"/>
    <w:rsid w:val="00FE689F"/>
    <w:rsid w:val="00FE6904"/>
    <w:rsid w:val="00FF29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AE5755"/>
    <w:pPr>
      <w:spacing w:before="70" w:after="70" w:line="260" w:lineRule="atLeast"/>
      <w:ind w:left="113" w:right="113"/>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E83BFF"/>
    <w:rPr>
      <w:rFonts w:eastAsia="Times New Roman" w:cs="Times New Roman"/>
      <w:spacing w:val="0"/>
      <w:lang w:eastAsia="en-AU"/>
    </w:rPr>
  </w:style>
  <w:style w:type="paragraph" w:customStyle="1" w:styleId="Bullet2">
    <w:name w:val="Bullet 2"/>
    <w:basedOn w:val="ListBullet2"/>
    <w:link w:val="Bullet2Char"/>
    <w:qFormat/>
    <w:rsid w:val="00E83BFF"/>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E83BFF"/>
    <w:rPr>
      <w:rFonts w:eastAsia="Times New Roman" w:cs="Times New Roman"/>
      <w:sz w:val="20"/>
      <w:lang w:eastAsia="en-AU"/>
    </w:rPr>
  </w:style>
  <w:style w:type="paragraph" w:customStyle="1" w:styleId="Bullet3">
    <w:name w:val="Bullet 3"/>
    <w:basedOn w:val="TableTextBullet3"/>
    <w:link w:val="Bullet3Char"/>
    <w:qFormat/>
    <w:rsid w:val="00E83BFF"/>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E83BFF"/>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E83BFF"/>
    <w:rPr>
      <w:rFonts w:cs="Times New Roman"/>
      <w:bCs w:val="0"/>
      <w:sz w:val="20"/>
    </w:rPr>
  </w:style>
  <w:style w:type="paragraph" w:customStyle="1" w:styleId="Footnotes">
    <w:name w:val="Footnotes"/>
    <w:basedOn w:val="ListParagraph"/>
    <w:link w:val="FootnotesChar"/>
    <w:qFormat/>
    <w:rsid w:val="001278D0"/>
    <w:pPr>
      <w:numPr>
        <w:numId w:val="9"/>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customStyle="1" w:styleId="Default">
    <w:name w:val="Default"/>
    <w:rsid w:val="0023287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B4A0D"/>
    <w:rPr>
      <w:sz w:val="16"/>
      <w:szCs w:val="16"/>
    </w:rPr>
  </w:style>
  <w:style w:type="paragraph" w:styleId="CommentText">
    <w:name w:val="annotation text"/>
    <w:basedOn w:val="Normal"/>
    <w:link w:val="CommentTextChar"/>
    <w:uiPriority w:val="99"/>
    <w:semiHidden/>
    <w:unhideWhenUsed/>
    <w:rsid w:val="005B4A0D"/>
    <w:pPr>
      <w:spacing w:line="240" w:lineRule="auto"/>
    </w:pPr>
    <w:rPr>
      <w:sz w:val="20"/>
      <w:szCs w:val="20"/>
    </w:rPr>
  </w:style>
  <w:style w:type="character" w:customStyle="1" w:styleId="CommentTextChar">
    <w:name w:val="Comment Text Char"/>
    <w:basedOn w:val="DefaultParagraphFont"/>
    <w:link w:val="CommentText"/>
    <w:uiPriority w:val="99"/>
    <w:semiHidden/>
    <w:rsid w:val="005B4A0D"/>
    <w:rPr>
      <w:sz w:val="20"/>
      <w:szCs w:val="20"/>
    </w:rPr>
  </w:style>
  <w:style w:type="paragraph" w:styleId="CommentSubject">
    <w:name w:val="annotation subject"/>
    <w:basedOn w:val="CommentText"/>
    <w:next w:val="CommentText"/>
    <w:link w:val="CommentSubjectChar"/>
    <w:uiPriority w:val="99"/>
    <w:semiHidden/>
    <w:unhideWhenUsed/>
    <w:rsid w:val="005B4A0D"/>
    <w:rPr>
      <w:b/>
      <w:bCs/>
    </w:rPr>
  </w:style>
  <w:style w:type="character" w:customStyle="1" w:styleId="CommentSubjectChar">
    <w:name w:val="Comment Subject Char"/>
    <w:basedOn w:val="CommentTextChar"/>
    <w:link w:val="CommentSubject"/>
    <w:uiPriority w:val="99"/>
    <w:semiHidden/>
    <w:rsid w:val="005B4A0D"/>
    <w:rPr>
      <w:b/>
      <w:bCs/>
      <w:sz w:val="20"/>
      <w:szCs w:val="20"/>
    </w:rPr>
  </w:style>
  <w:style w:type="paragraph" w:customStyle="1" w:styleId="ChartandTableFootnoteAlpha">
    <w:name w:val="Chart and Table Footnote Alpha"/>
    <w:basedOn w:val="Normal"/>
    <w:next w:val="Normal"/>
    <w:rsid w:val="008953E6"/>
    <w:pPr>
      <w:keepLines/>
      <w:numPr>
        <w:numId w:val="32"/>
      </w:numPr>
      <w:spacing w:before="240" w:after="0" w:line="240" w:lineRule="auto"/>
      <w:jc w:val="both"/>
    </w:pPr>
    <w:rPr>
      <w:rFonts w:ascii="Arial" w:eastAsia="Times New Roman" w:hAnsi="Arial" w:cs="Times New Roman"/>
      <w:sz w:val="16"/>
      <w:szCs w:val="20"/>
      <w:lang w:eastAsia="en-AU"/>
    </w:rPr>
  </w:style>
  <w:style w:type="paragraph" w:customStyle="1" w:styleId="Tablefootnote">
    <w:name w:val="Table footnote"/>
    <w:basedOn w:val="ChartandTableFootnoteAlpha"/>
    <w:link w:val="TablefootnoteChar"/>
    <w:qFormat/>
    <w:rsid w:val="008953E6"/>
  </w:style>
  <w:style w:type="character" w:customStyle="1" w:styleId="TablefootnoteChar">
    <w:name w:val="Table footnote Char"/>
    <w:basedOn w:val="DefaultParagraphFont"/>
    <w:link w:val="Tablefootnote"/>
    <w:rsid w:val="008953E6"/>
    <w:rPr>
      <w:rFonts w:ascii="Arial" w:eastAsia="Times New Roman" w:hAnsi="Arial" w:cs="Times New Roman"/>
      <w:sz w:val="16"/>
      <w:szCs w:val="20"/>
      <w:lang w:eastAsia="en-AU"/>
    </w:rPr>
  </w:style>
  <w:style w:type="paragraph" w:styleId="FootnoteText">
    <w:name w:val="footnote text"/>
    <w:basedOn w:val="Normal"/>
    <w:link w:val="FootnoteTextChar"/>
    <w:uiPriority w:val="99"/>
    <w:semiHidden/>
    <w:unhideWhenUsed/>
    <w:rsid w:val="00492F4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492F4F"/>
    <w:rPr>
      <w:sz w:val="20"/>
      <w:szCs w:val="20"/>
    </w:rPr>
  </w:style>
  <w:style w:type="character" w:styleId="FootnoteReference">
    <w:name w:val="footnote reference"/>
    <w:basedOn w:val="DefaultParagraphFont"/>
    <w:uiPriority w:val="99"/>
    <w:semiHidden/>
    <w:unhideWhenUsed/>
    <w:rsid w:val="00492F4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AE5755"/>
    <w:pPr>
      <w:spacing w:before="70" w:after="70" w:line="260" w:lineRule="atLeast"/>
      <w:ind w:left="113" w:right="113"/>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E83BFF"/>
    <w:rPr>
      <w:rFonts w:eastAsia="Times New Roman" w:cs="Times New Roman"/>
      <w:spacing w:val="0"/>
      <w:lang w:eastAsia="en-AU"/>
    </w:rPr>
  </w:style>
  <w:style w:type="paragraph" w:customStyle="1" w:styleId="Bullet2">
    <w:name w:val="Bullet 2"/>
    <w:basedOn w:val="ListBullet2"/>
    <w:link w:val="Bullet2Char"/>
    <w:qFormat/>
    <w:rsid w:val="00E83BFF"/>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E83BFF"/>
    <w:rPr>
      <w:rFonts w:eastAsia="Times New Roman" w:cs="Times New Roman"/>
      <w:sz w:val="20"/>
      <w:lang w:eastAsia="en-AU"/>
    </w:rPr>
  </w:style>
  <w:style w:type="paragraph" w:customStyle="1" w:styleId="Bullet3">
    <w:name w:val="Bullet 3"/>
    <w:basedOn w:val="TableTextBullet3"/>
    <w:link w:val="Bullet3Char"/>
    <w:qFormat/>
    <w:rsid w:val="00E83BFF"/>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E83BFF"/>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E83BFF"/>
    <w:rPr>
      <w:rFonts w:cs="Times New Roman"/>
      <w:bCs w:val="0"/>
      <w:sz w:val="20"/>
    </w:rPr>
  </w:style>
  <w:style w:type="paragraph" w:customStyle="1" w:styleId="Footnotes">
    <w:name w:val="Footnotes"/>
    <w:basedOn w:val="ListParagraph"/>
    <w:link w:val="FootnotesChar"/>
    <w:qFormat/>
    <w:rsid w:val="001278D0"/>
    <w:pPr>
      <w:numPr>
        <w:numId w:val="9"/>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customStyle="1" w:styleId="Default">
    <w:name w:val="Default"/>
    <w:rsid w:val="0023287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B4A0D"/>
    <w:rPr>
      <w:sz w:val="16"/>
      <w:szCs w:val="16"/>
    </w:rPr>
  </w:style>
  <w:style w:type="paragraph" w:styleId="CommentText">
    <w:name w:val="annotation text"/>
    <w:basedOn w:val="Normal"/>
    <w:link w:val="CommentTextChar"/>
    <w:uiPriority w:val="99"/>
    <w:semiHidden/>
    <w:unhideWhenUsed/>
    <w:rsid w:val="005B4A0D"/>
    <w:pPr>
      <w:spacing w:line="240" w:lineRule="auto"/>
    </w:pPr>
    <w:rPr>
      <w:sz w:val="20"/>
      <w:szCs w:val="20"/>
    </w:rPr>
  </w:style>
  <w:style w:type="character" w:customStyle="1" w:styleId="CommentTextChar">
    <w:name w:val="Comment Text Char"/>
    <w:basedOn w:val="DefaultParagraphFont"/>
    <w:link w:val="CommentText"/>
    <w:uiPriority w:val="99"/>
    <w:semiHidden/>
    <w:rsid w:val="005B4A0D"/>
    <w:rPr>
      <w:sz w:val="20"/>
      <w:szCs w:val="20"/>
    </w:rPr>
  </w:style>
  <w:style w:type="paragraph" w:styleId="CommentSubject">
    <w:name w:val="annotation subject"/>
    <w:basedOn w:val="CommentText"/>
    <w:next w:val="CommentText"/>
    <w:link w:val="CommentSubjectChar"/>
    <w:uiPriority w:val="99"/>
    <w:semiHidden/>
    <w:unhideWhenUsed/>
    <w:rsid w:val="005B4A0D"/>
    <w:rPr>
      <w:b/>
      <w:bCs/>
    </w:rPr>
  </w:style>
  <w:style w:type="character" w:customStyle="1" w:styleId="CommentSubjectChar">
    <w:name w:val="Comment Subject Char"/>
    <w:basedOn w:val="CommentTextChar"/>
    <w:link w:val="CommentSubject"/>
    <w:uiPriority w:val="99"/>
    <w:semiHidden/>
    <w:rsid w:val="005B4A0D"/>
    <w:rPr>
      <w:b/>
      <w:bCs/>
      <w:sz w:val="20"/>
      <w:szCs w:val="20"/>
    </w:rPr>
  </w:style>
  <w:style w:type="paragraph" w:customStyle="1" w:styleId="ChartandTableFootnoteAlpha">
    <w:name w:val="Chart and Table Footnote Alpha"/>
    <w:basedOn w:val="Normal"/>
    <w:next w:val="Normal"/>
    <w:rsid w:val="008953E6"/>
    <w:pPr>
      <w:keepLines/>
      <w:numPr>
        <w:numId w:val="32"/>
      </w:numPr>
      <w:spacing w:before="240" w:after="0" w:line="240" w:lineRule="auto"/>
      <w:jc w:val="both"/>
    </w:pPr>
    <w:rPr>
      <w:rFonts w:ascii="Arial" w:eastAsia="Times New Roman" w:hAnsi="Arial" w:cs="Times New Roman"/>
      <w:sz w:val="16"/>
      <w:szCs w:val="20"/>
      <w:lang w:eastAsia="en-AU"/>
    </w:rPr>
  </w:style>
  <w:style w:type="paragraph" w:customStyle="1" w:styleId="Tablefootnote">
    <w:name w:val="Table footnote"/>
    <w:basedOn w:val="ChartandTableFootnoteAlpha"/>
    <w:link w:val="TablefootnoteChar"/>
    <w:qFormat/>
    <w:rsid w:val="008953E6"/>
  </w:style>
  <w:style w:type="character" w:customStyle="1" w:styleId="TablefootnoteChar">
    <w:name w:val="Table footnote Char"/>
    <w:basedOn w:val="DefaultParagraphFont"/>
    <w:link w:val="Tablefootnote"/>
    <w:rsid w:val="008953E6"/>
    <w:rPr>
      <w:rFonts w:ascii="Arial" w:eastAsia="Times New Roman" w:hAnsi="Arial" w:cs="Times New Roman"/>
      <w:sz w:val="16"/>
      <w:szCs w:val="20"/>
      <w:lang w:eastAsia="en-AU"/>
    </w:rPr>
  </w:style>
  <w:style w:type="paragraph" w:styleId="FootnoteText">
    <w:name w:val="footnote text"/>
    <w:basedOn w:val="Normal"/>
    <w:link w:val="FootnoteTextChar"/>
    <w:uiPriority w:val="99"/>
    <w:semiHidden/>
    <w:unhideWhenUsed/>
    <w:rsid w:val="00492F4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492F4F"/>
    <w:rPr>
      <w:sz w:val="20"/>
      <w:szCs w:val="20"/>
    </w:rPr>
  </w:style>
  <w:style w:type="character" w:styleId="FootnoteReference">
    <w:name w:val="footnote reference"/>
    <w:basedOn w:val="DefaultParagraphFont"/>
    <w:uiPriority w:val="99"/>
    <w:semiHidden/>
    <w:unhideWhenUsed/>
    <w:rsid w:val="00492F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04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eens.org.au/news/vic/australian-greens-pledge-implement-paris-agree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M%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B1057BF-02C5-4B15-8FB3-AAC2FBCE8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 - Caretaker.dotm</Template>
  <TotalTime>0</TotalTime>
  <Pages>7</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Policy costing minute—during the caretaker period for a general election</vt:lpstr>
    </vt:vector>
  </TitlesOfParts>
  <Company>Parliament of Australia</Company>
  <LinksUpToDate>false</LinksUpToDate>
  <CharactersWithSpaces>11333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costing minute—during the caretaker period for a general election</dc:title>
  <dc:creator>PBO@pbo.gov.au</dc:creator>
  <cp:lastModifiedBy>Milligan, Louise (PBO)</cp:lastModifiedBy>
  <cp:revision>6</cp:revision>
  <cp:lastPrinted>2016-06-25T05:10:00Z</cp:lastPrinted>
  <dcterms:created xsi:type="dcterms:W3CDTF">2016-06-26T02:13:00Z</dcterms:created>
  <dcterms:modified xsi:type="dcterms:W3CDTF">2016-06-27T01:38:00Z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