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7E7C39" w:rsidP="00C17112">
      <w:pPr>
        <w:spacing w:before="1560" w:after="0" w:line="240" w:lineRule="auto"/>
        <w:rPr>
          <w:rFonts w:ascii="Times New Roman" w:hAnsi="Times New Roman" w:cs="Times New Roman"/>
          <w:sz w:val="24"/>
          <w:szCs w:val="24"/>
        </w:rPr>
      </w:pPr>
      <w:r>
        <w:rPr>
          <w:rFonts w:ascii="Times New Roman" w:hAnsi="Times New Roman" w:cs="Times New Roman"/>
          <w:sz w:val="24"/>
          <w:szCs w:val="24"/>
        </w:rPr>
        <w:t>Senator Richard Di Natale</w:t>
      </w:r>
    </w:p>
    <w:p w:rsidR="00040DCE" w:rsidRPr="00002D5D" w:rsidRDefault="007E7C39"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7E7C39">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proofErr w:type="gramStart"/>
      <w:r w:rsidR="007E7C39">
        <w:rPr>
          <w:i/>
        </w:rPr>
        <w:t>A</w:t>
      </w:r>
      <w:proofErr w:type="gramEnd"/>
      <w:r w:rsidR="007E7C39">
        <w:rPr>
          <w:i/>
        </w:rPr>
        <w:t xml:space="preserve"> progressive superannuation system</w:t>
      </w:r>
      <w:r w:rsidRPr="00002D5D">
        <w:t xml:space="preserve"> (letter of </w:t>
      </w:r>
      <w:r w:rsidR="007E7C39">
        <w:t>23 June</w:t>
      </w:r>
      <w:r w:rsidRPr="00002D5D">
        <w:t xml:space="preserve"> 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854365" w:rsidP="00854365">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24 </w:t>
      </w:r>
      <w:bookmarkStart w:id="0" w:name="_GoBack"/>
      <w:bookmarkEnd w:id="0"/>
      <w:r w:rsidR="007E7C39">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headerReference w:type="default" r:id="rId10"/>
          <w:footerReference w:type="default" r:id="rId11"/>
          <w:headerReference w:type="first" r:id="rId12"/>
          <w:footerReference w:type="first" r:id="rId13"/>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Default="004D5525" w:rsidP="004D5525">
            <w:pPr>
              <w:pStyle w:val="BodyText"/>
            </w:pPr>
            <w:r>
              <w:t>Name of proposal:</w:t>
            </w:r>
          </w:p>
        </w:tc>
        <w:tc>
          <w:tcPr>
            <w:tcW w:w="5335" w:type="dxa"/>
          </w:tcPr>
          <w:p w:rsidR="004D5525" w:rsidRDefault="005E3CDE" w:rsidP="002730FD">
            <w:pPr>
              <w:pStyle w:val="BodyText"/>
            </w:pPr>
            <w:r>
              <w:t>A progressive superannuation system</w:t>
            </w:r>
          </w:p>
        </w:tc>
      </w:tr>
      <w:tr w:rsidR="004D5525" w:rsidTr="00D52D5F">
        <w:tc>
          <w:tcPr>
            <w:tcW w:w="3005" w:type="dxa"/>
          </w:tcPr>
          <w:p w:rsidR="004D5525" w:rsidRDefault="004D5525" w:rsidP="004D5525">
            <w:pPr>
              <w:pStyle w:val="BodyText"/>
            </w:pPr>
            <w:r>
              <w:t>Summary of proposal:</w:t>
            </w:r>
          </w:p>
        </w:tc>
        <w:tc>
          <w:tcPr>
            <w:tcW w:w="5335" w:type="dxa"/>
          </w:tcPr>
          <w:p w:rsidR="005E3CDE" w:rsidRDefault="005E3CDE" w:rsidP="005E3CDE">
            <w:pPr>
              <w:spacing w:before="120" w:after="120"/>
            </w:pPr>
            <w:r>
              <w:t>The proposal would apply progressive tax rates on superannuation cont</w:t>
            </w:r>
            <w:r w:rsidR="00AA7FC1">
              <w:t>ributions with a 15 per cent co</w:t>
            </w:r>
            <w:r w:rsidR="00AA7FC1">
              <w:noBreakHyphen/>
            </w:r>
            <w:r>
              <w:t xml:space="preserve">contribution for those </w:t>
            </w:r>
            <w:r w:rsidR="00DD643E">
              <w:t xml:space="preserve">with total income </w:t>
            </w:r>
            <w:r>
              <w:t xml:space="preserve">less than </w:t>
            </w:r>
            <w:r w:rsidR="005152FD">
              <w:t xml:space="preserve">the </w:t>
            </w:r>
            <w:r w:rsidR="004926C5">
              <w:t>tax</w:t>
            </w:r>
            <w:r w:rsidR="004926C5">
              <w:noBreakHyphen/>
              <w:t xml:space="preserve">free threshold (currently </w:t>
            </w:r>
            <w:r>
              <w:t>$18,200</w:t>
            </w:r>
            <w:r w:rsidR="004926C5">
              <w:t>)</w:t>
            </w:r>
            <w:r>
              <w:t>.</w:t>
            </w:r>
          </w:p>
          <w:p w:rsidR="005E3CDE" w:rsidRDefault="005E3CDE" w:rsidP="005E3CDE">
            <w:pPr>
              <w:spacing w:before="120" w:after="120"/>
            </w:pPr>
            <w:r>
              <w:t xml:space="preserve">The full detail of the proposal is provided at </w:t>
            </w:r>
            <w:r w:rsidRPr="008C67D2">
              <w:rPr>
                <w:u w:val="single"/>
              </w:rPr>
              <w:t>Attachment A</w:t>
            </w:r>
            <w:r>
              <w:t>.</w:t>
            </w:r>
          </w:p>
          <w:p w:rsidR="004D5525" w:rsidRDefault="005E3CDE" w:rsidP="002730FD">
            <w:pPr>
              <w:pStyle w:val="BodyText"/>
            </w:pPr>
            <w:r w:rsidRPr="00504331">
              <w:t xml:space="preserve">The </w:t>
            </w:r>
            <w:r w:rsidRPr="00796DB1">
              <w:t>proposal would have effect from 1 July 2016.</w:t>
            </w:r>
          </w:p>
        </w:tc>
      </w:tr>
      <w:tr w:rsidR="004D5525" w:rsidTr="00D52D5F">
        <w:tc>
          <w:tcPr>
            <w:tcW w:w="3005" w:type="dxa"/>
          </w:tcPr>
          <w:p w:rsidR="004D5525" w:rsidRDefault="004D5525" w:rsidP="004D5525">
            <w:pPr>
              <w:pStyle w:val="BodyText"/>
            </w:pPr>
            <w:r>
              <w:t>Person/party requesting costing:</w:t>
            </w:r>
          </w:p>
        </w:tc>
        <w:tc>
          <w:tcPr>
            <w:tcW w:w="5335" w:type="dxa"/>
          </w:tcPr>
          <w:p w:rsidR="004D5525" w:rsidRDefault="005E3CDE" w:rsidP="004D5525">
            <w:pPr>
              <w:pStyle w:val="BodyText"/>
            </w:pPr>
            <w:r w:rsidRPr="000A678C">
              <w:t>Senator Richard Di Natale, Australian Greens</w:t>
            </w:r>
          </w:p>
        </w:tc>
      </w:tr>
      <w:tr w:rsidR="007D3577" w:rsidTr="005E3CDE">
        <w:tc>
          <w:tcPr>
            <w:tcW w:w="3005" w:type="dxa"/>
          </w:tcPr>
          <w:p w:rsidR="007D3577" w:rsidRDefault="007D3577" w:rsidP="005E3CDE">
            <w:pPr>
              <w:pStyle w:val="BodyText"/>
            </w:pPr>
            <w:r>
              <w:t>Date of public release of policy:</w:t>
            </w:r>
          </w:p>
        </w:tc>
        <w:tc>
          <w:tcPr>
            <w:tcW w:w="5335" w:type="dxa"/>
          </w:tcPr>
          <w:p w:rsidR="007D3577" w:rsidRDefault="00796DB1" w:rsidP="005E3CDE">
            <w:pPr>
              <w:pStyle w:val="BodyText"/>
            </w:pPr>
            <w:r>
              <w:t>1 June 2016</w:t>
            </w:r>
          </w:p>
          <w:p w:rsidR="008E04DE" w:rsidRPr="00C17112" w:rsidRDefault="00E82F6B" w:rsidP="005E3CDE">
            <w:pPr>
              <w:pStyle w:val="BodyText"/>
            </w:pPr>
            <w:hyperlink r:id="rId14" w:history="1">
              <w:r w:rsidR="008E04DE" w:rsidRPr="00593668">
                <w:rPr>
                  <w:rStyle w:val="Hyperlink"/>
                </w:rPr>
                <w:t>http://greens.org.au/progressive-superannuation</w:t>
              </w:r>
            </w:hyperlink>
          </w:p>
        </w:tc>
      </w:tr>
      <w:tr w:rsidR="004D5525" w:rsidTr="00D52D5F">
        <w:tc>
          <w:tcPr>
            <w:tcW w:w="3005" w:type="dxa"/>
          </w:tcPr>
          <w:p w:rsidR="004D5525" w:rsidRDefault="004D5525" w:rsidP="004D5525">
            <w:pPr>
              <w:pStyle w:val="BodyText"/>
            </w:pPr>
            <w:r>
              <w:t>Date costing request received:</w:t>
            </w:r>
          </w:p>
        </w:tc>
        <w:tc>
          <w:tcPr>
            <w:tcW w:w="5335" w:type="dxa"/>
          </w:tcPr>
          <w:p w:rsidR="004D5525" w:rsidRDefault="005E3CDE" w:rsidP="004D5525">
            <w:pPr>
              <w:pStyle w:val="BodyText"/>
            </w:pPr>
            <w:r>
              <w:t>23 June 2016</w:t>
            </w:r>
          </w:p>
        </w:tc>
      </w:tr>
      <w:tr w:rsidR="004D5525" w:rsidTr="00D52D5F">
        <w:tc>
          <w:tcPr>
            <w:tcW w:w="3005" w:type="dxa"/>
          </w:tcPr>
          <w:p w:rsidR="004D5525" w:rsidRDefault="004D5525" w:rsidP="004D5525">
            <w:pPr>
              <w:pStyle w:val="BodyText"/>
            </w:pPr>
            <w:r>
              <w:t>Date costing completed</w:t>
            </w:r>
          </w:p>
        </w:tc>
        <w:tc>
          <w:tcPr>
            <w:tcW w:w="5335" w:type="dxa"/>
          </w:tcPr>
          <w:p w:rsidR="004D5525" w:rsidRPr="00C17112" w:rsidRDefault="00BC769A" w:rsidP="004D5525">
            <w:pPr>
              <w:pStyle w:val="BodyText"/>
            </w:pPr>
            <w:r>
              <w:t>24 June 2016</w:t>
            </w:r>
          </w:p>
        </w:tc>
      </w:tr>
      <w:tr w:rsidR="004D5525" w:rsidTr="00D52D5F">
        <w:tc>
          <w:tcPr>
            <w:tcW w:w="3005" w:type="dxa"/>
          </w:tcPr>
          <w:p w:rsidR="004D5525" w:rsidRDefault="004D5525" w:rsidP="004D5525">
            <w:pPr>
              <w:pStyle w:val="BodyText"/>
            </w:pPr>
            <w:r>
              <w:t>Additional information received (including date):</w:t>
            </w:r>
          </w:p>
        </w:tc>
        <w:tc>
          <w:tcPr>
            <w:tcW w:w="5335" w:type="dxa"/>
          </w:tcPr>
          <w:p w:rsidR="008E6F7A" w:rsidRDefault="00F30DDC" w:rsidP="008766E5">
            <w:pPr>
              <w:pStyle w:val="BodyText"/>
            </w:pPr>
            <w:r>
              <w:t xml:space="preserve">On 23 June 2016, the office of Senator Di Natale </w:t>
            </w:r>
            <w:r w:rsidR="00C77B18">
              <w:t xml:space="preserve">advised </w:t>
            </w:r>
            <w:r>
              <w:t>that</w:t>
            </w:r>
            <w:r w:rsidR="008E6F7A">
              <w:t xml:space="preserve"> the:</w:t>
            </w:r>
          </w:p>
          <w:p w:rsidR="008E6F7A" w:rsidRDefault="006E4B08" w:rsidP="007961A0">
            <w:pPr>
              <w:pStyle w:val="Bullet1"/>
            </w:pPr>
            <w:r>
              <w:t>s</w:t>
            </w:r>
            <w:r w:rsidR="000442EC">
              <w:t>tart date would be 1 July </w:t>
            </w:r>
            <w:r w:rsidR="00F30DDC">
              <w:t>2016</w:t>
            </w:r>
            <w:r w:rsidR="00C77B18">
              <w:t xml:space="preserve"> </w:t>
            </w:r>
          </w:p>
          <w:p w:rsidR="008E6F7A" w:rsidRDefault="006E4B08" w:rsidP="007961A0">
            <w:pPr>
              <w:pStyle w:val="Bullet1"/>
            </w:pPr>
            <w:r>
              <w:t>c</w:t>
            </w:r>
            <w:r w:rsidR="00C77B18">
              <w:t xml:space="preserve">hanges would not apply to members of </w:t>
            </w:r>
            <w:r w:rsidR="002A0295">
              <w:t xml:space="preserve">unfunded </w:t>
            </w:r>
            <w:r w:rsidR="00F30DDC">
              <w:t xml:space="preserve">defined benefits </w:t>
            </w:r>
            <w:r w:rsidR="00BC769A">
              <w:t xml:space="preserve">superannuation </w:t>
            </w:r>
            <w:r w:rsidR="00F30DDC">
              <w:t>schemes</w:t>
            </w:r>
          </w:p>
          <w:p w:rsidR="008E6F7A" w:rsidRPr="00FA2B80" w:rsidRDefault="008A6E8F" w:rsidP="00E32E7D">
            <w:pPr>
              <w:pStyle w:val="Bullet1"/>
            </w:pPr>
            <w:r>
              <w:t xml:space="preserve">income definitions would be as set out in </w:t>
            </w:r>
            <w:r>
              <w:rPr>
                <w:u w:val="single"/>
              </w:rPr>
              <w:t>Attachment A</w:t>
            </w:r>
            <w:r w:rsidRPr="005A3BBA">
              <w:t>.</w:t>
            </w:r>
          </w:p>
        </w:tc>
      </w:tr>
      <w:tr w:rsidR="004D5525" w:rsidTr="00D52D5F">
        <w:tc>
          <w:tcPr>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F04B23" w:rsidP="00220BE5">
            <w:pPr>
              <w:pStyle w:val="BodyText"/>
            </w:pPr>
            <w:r w:rsidRPr="00F04B23">
              <w:t>Release of the next economic and fiscal outlook report</w:t>
            </w:r>
          </w:p>
        </w:tc>
      </w:tr>
    </w:tbl>
    <w:p w:rsidR="0055581F" w:rsidRPr="00002D5D" w:rsidRDefault="008030EC" w:rsidP="00FC6579">
      <w:pPr>
        <w:pStyle w:val="Heading2"/>
      </w:pPr>
      <w:r w:rsidRPr="00002D5D">
        <w:t>Costing overview</w:t>
      </w:r>
    </w:p>
    <w:p w:rsidR="005E3CDE" w:rsidRDefault="005E3CDE" w:rsidP="005E3CDE">
      <w:r w:rsidRPr="00FA4401">
        <w:t xml:space="preserve">This proposal </w:t>
      </w:r>
      <w:r>
        <w:t>would be</w:t>
      </w:r>
      <w:r w:rsidRPr="00FA4401">
        <w:t xml:space="preserve"> expected to increase the </w:t>
      </w:r>
      <w:r>
        <w:t>fiscal</w:t>
      </w:r>
      <w:r w:rsidRPr="00FA4401">
        <w:t xml:space="preserve"> balance </w:t>
      </w:r>
      <w:r w:rsidRPr="00977698">
        <w:t>by $</w:t>
      </w:r>
      <w:r>
        <w:t>1</w:t>
      </w:r>
      <w:r w:rsidR="006F1DAB">
        <w:t>0</w:t>
      </w:r>
      <w:r w:rsidRPr="00977698">
        <w:t>,</w:t>
      </w:r>
      <w:r w:rsidR="008E2969">
        <w:t>850</w:t>
      </w:r>
      <w:r>
        <w:t> m</w:t>
      </w:r>
      <w:r w:rsidRPr="00FA4401">
        <w:t xml:space="preserve">illion and increase the </w:t>
      </w:r>
      <w:r>
        <w:t>underlying cash</w:t>
      </w:r>
      <w:r w:rsidRPr="00FA4401">
        <w:t xml:space="preserve"> balan</w:t>
      </w:r>
      <w:r w:rsidRPr="00977698">
        <w:t>ce by $</w:t>
      </w:r>
      <w:r w:rsidR="008E2969">
        <w:t>11,070</w:t>
      </w:r>
      <w:r>
        <w:t> m</w:t>
      </w:r>
      <w:r w:rsidRPr="00FA4401">
        <w:t>illion over the 201</w:t>
      </w:r>
      <w:r>
        <w:t>6</w:t>
      </w:r>
      <w:r w:rsidRPr="00FA4401">
        <w:noBreakHyphen/>
        <w:t>1</w:t>
      </w:r>
      <w:r>
        <w:t>7</w:t>
      </w:r>
      <w:r w:rsidRPr="00FA4401">
        <w:t xml:space="preserve"> Budget forward estimates period.</w:t>
      </w:r>
      <w:r>
        <w:t xml:space="preserve"> </w:t>
      </w:r>
      <w:r w:rsidRPr="00FA4401">
        <w:t xml:space="preserve"> On a fiscal balance basis, the impact reflects an i</w:t>
      </w:r>
      <w:r>
        <w:t xml:space="preserve">ncrease in revenue of </w:t>
      </w:r>
      <w:r w:rsidRPr="00977698">
        <w:t>$</w:t>
      </w:r>
      <w:r w:rsidRPr="00B060B2">
        <w:t>1</w:t>
      </w:r>
      <w:r w:rsidR="00AD5379">
        <w:t>0,</w:t>
      </w:r>
      <w:r w:rsidR="008E2969">
        <w:t>10</w:t>
      </w:r>
      <w:r w:rsidR="008E2969" w:rsidRPr="00B060B2">
        <w:t>0</w:t>
      </w:r>
      <w:r>
        <w:t> m</w:t>
      </w:r>
      <w:r w:rsidRPr="00FA4401">
        <w:t>illion, a</w:t>
      </w:r>
      <w:r>
        <w:t xml:space="preserve"> decrease in administered exp</w:t>
      </w:r>
      <w:r w:rsidR="009D26CE">
        <w:t>enditure</w:t>
      </w:r>
      <w:r>
        <w:t xml:space="preserve"> of $</w:t>
      </w:r>
      <w:r w:rsidR="00AD5379">
        <w:t>850</w:t>
      </w:r>
      <w:r>
        <w:t> </w:t>
      </w:r>
      <w:r w:rsidRPr="00FA4401">
        <w:t>million and an increase</w:t>
      </w:r>
      <w:r>
        <w:t xml:space="preserve"> in departmental </w:t>
      </w:r>
      <w:r w:rsidR="008363F4">
        <w:t xml:space="preserve">expenditure </w:t>
      </w:r>
      <w:r>
        <w:t>of $</w:t>
      </w:r>
      <w:r w:rsidRPr="00977698">
        <w:t>1</w:t>
      </w:r>
      <w:r w:rsidR="006F1DAB">
        <w:t>0</w:t>
      </w:r>
      <w:r w:rsidR="00A22988">
        <w:t>0</w:t>
      </w:r>
      <w:r>
        <w:t> </w:t>
      </w:r>
      <w:r w:rsidRPr="00FA4401">
        <w:t>million over this period.</w:t>
      </w:r>
      <w:r>
        <w:t xml:space="preserve">  </w:t>
      </w:r>
    </w:p>
    <w:p w:rsidR="006E4B08" w:rsidRDefault="006E4B08" w:rsidP="006E4B08">
      <w:r>
        <w:lastRenderedPageBreak/>
        <w:t>The fiscal balance impact of this proposal differs from the underlying cash</w:t>
      </w:r>
      <w:r w:rsidDel="00264B0B">
        <w:t xml:space="preserve"> </w:t>
      </w:r>
      <w:r>
        <w:t>balance impact due to differences in the timing of accrual and payment of the following tax liabilities/rebates:</w:t>
      </w:r>
    </w:p>
    <w:p w:rsidR="006E4B08" w:rsidRDefault="006E4B08" w:rsidP="006E4B08">
      <w:pPr>
        <w:pStyle w:val="Bullet1"/>
      </w:pPr>
      <w:r>
        <w:t>The introduction of the Government superannuation contribution for individuals with total income below $18,200.</w:t>
      </w:r>
    </w:p>
    <w:p w:rsidR="006E4B08" w:rsidRDefault="006E4B08" w:rsidP="006E4B08">
      <w:pPr>
        <w:pStyle w:val="Bullet1"/>
      </w:pPr>
      <w:r>
        <w:t>The abolition of the low income superannuation contribution (LISC).</w:t>
      </w:r>
    </w:p>
    <w:p w:rsidR="006E4B08" w:rsidRDefault="006E4B08" w:rsidP="006E4B08">
      <w:pPr>
        <w:pStyle w:val="Bullet1"/>
      </w:pPr>
      <w:r>
        <w:t>The abolition of the Division 293 tax on superannuation contributions for high income individuals.</w:t>
      </w:r>
    </w:p>
    <w:p w:rsidR="006E4B08" w:rsidRDefault="006E4B08" w:rsidP="006E4B08">
      <w:pPr>
        <w:pStyle w:val="Bullet1"/>
      </w:pPr>
      <w:r>
        <w:t>The reversal of the 2016</w:t>
      </w:r>
      <w:r>
        <w:noBreakHyphen/>
        <w:t xml:space="preserve">17 Budget measure, </w:t>
      </w:r>
      <w:r w:rsidRPr="00796DB1">
        <w:rPr>
          <w:i/>
        </w:rPr>
        <w:t>Superannuation Reform Package - introducing a Low Income Superannuation Tax Offset (LISTO)</w:t>
      </w:r>
      <w:r>
        <w:t>.</w:t>
      </w:r>
    </w:p>
    <w:p w:rsidR="006E4B08" w:rsidRDefault="006E4B08" w:rsidP="009515BE">
      <w:r>
        <w:t>The fiscal balance impact of the proposal falls in 2017</w:t>
      </w:r>
      <w:r>
        <w:noBreakHyphen/>
        <w:t>18, primarily reflecting the abolition of both the LIS</w:t>
      </w:r>
      <w:r w:rsidR="00A71EEC">
        <w:t>C</w:t>
      </w:r>
      <w:r>
        <w:t xml:space="preserve"> and the LIS</w:t>
      </w:r>
      <w:r w:rsidR="00A71EEC">
        <w:t>TO</w:t>
      </w:r>
      <w:r>
        <w:t>.</w:t>
      </w:r>
    </w:p>
    <w:p w:rsidR="006E4B08" w:rsidRDefault="006E4B08" w:rsidP="009515BE">
      <w:r>
        <w:t>The proposal would be expected to increase superannuation contributions tax and personal income tax.</w:t>
      </w:r>
    </w:p>
    <w:p w:rsidR="006E4B08" w:rsidRPr="009515BE" w:rsidRDefault="006E4B08" w:rsidP="009515BE">
      <w:pPr>
        <w:pStyle w:val="Bullet1"/>
      </w:pPr>
      <w:r w:rsidRPr="009515BE">
        <w:t>The introduction of a progressive superannuation contributions tax would be expected to result in an increase in superannuation contributions tax revenue as the majority of concessional contributions would be taxed at a higher or equal rate.</w:t>
      </w:r>
    </w:p>
    <w:p w:rsidR="006E4B08" w:rsidRPr="009515BE" w:rsidRDefault="006E4B08" w:rsidP="009515BE">
      <w:pPr>
        <w:pStyle w:val="Bullet1"/>
      </w:pPr>
      <w:r w:rsidRPr="009515BE">
        <w:t>This would also be expected to increase taxable incomes due to a reduction in voluntary concessional contributions, resulting in increased collections from personal income tax (and less earnings tax in the accumulation phase).</w:t>
      </w:r>
    </w:p>
    <w:p w:rsidR="00A71EEC" w:rsidRDefault="00A71EEC" w:rsidP="009515BE">
      <w:r w:rsidRPr="009515BE">
        <w:t xml:space="preserve">This costing is considered to be of low to medium reliability. </w:t>
      </w:r>
      <w:r>
        <w:t xml:space="preserve"> </w:t>
      </w:r>
      <w:r w:rsidRPr="009515BE">
        <w:t>The costing is largely based on detailed administrative data, but is sensitive to behavioural responses which are uncertain.</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D461E6">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9515BE">
            <w:pPr>
              <w:pStyle w:val="TableText"/>
              <w:keepNext/>
              <w:keepLines/>
              <w:ind w:left="57" w:right="57"/>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9515BE">
            <w:pPr>
              <w:keepNext/>
              <w:keepLines/>
              <w:spacing w:before="70" w:after="70" w:line="260" w:lineRule="atLeast"/>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9515BE">
            <w:pPr>
              <w:keepNext/>
              <w:keepLines/>
              <w:spacing w:before="70" w:after="70" w:line="260" w:lineRule="atLeast"/>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9515BE">
            <w:pPr>
              <w:keepNext/>
              <w:keepLines/>
              <w:spacing w:before="70" w:after="70" w:line="260" w:lineRule="atLeast"/>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9515BE">
            <w:pPr>
              <w:keepNext/>
              <w:keepLines/>
              <w:spacing w:before="70" w:after="70" w:line="260" w:lineRule="atLeast"/>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F97DFF" w:rsidRDefault="00CA5D42" w:rsidP="009515BE">
            <w:pPr>
              <w:keepNext/>
              <w:keepLines/>
              <w:spacing w:before="70" w:after="70" w:line="260" w:lineRule="atLeast"/>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8E2969" w:rsidRPr="00B73AC8" w:rsidTr="00221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8E2969" w:rsidRPr="00B73AC8" w:rsidRDefault="008E2969" w:rsidP="009515BE">
            <w:pPr>
              <w:pStyle w:val="TableTextCentred"/>
              <w:keepNext/>
              <w:keepLines/>
              <w:ind w:left="57" w:right="57"/>
              <w:jc w:val="left"/>
              <w:rPr>
                <w:szCs w:val="20"/>
              </w:rPr>
            </w:pPr>
            <w:r w:rsidRPr="00B73AC8">
              <w:rPr>
                <w:szCs w:val="20"/>
              </w:rPr>
              <w:t>Fiscal balance</w:t>
            </w:r>
          </w:p>
        </w:tc>
        <w:tc>
          <w:tcPr>
            <w:tcW w:w="682" w:type="pct"/>
            <w:vAlign w:val="bottom"/>
          </w:tcPr>
          <w:p w:rsidR="008E2969" w:rsidRPr="003F7722" w:rsidRDefault="008E2969"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pPr>
            <w:r>
              <w:rPr>
                <w:color w:val="000000"/>
              </w:rPr>
              <w:t>3,080.0</w:t>
            </w:r>
          </w:p>
        </w:tc>
        <w:tc>
          <w:tcPr>
            <w:tcW w:w="682" w:type="pct"/>
            <w:vAlign w:val="bottom"/>
          </w:tcPr>
          <w:p w:rsidR="008E2969" w:rsidRPr="003F7722" w:rsidRDefault="008E2969"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pPr>
            <w:r>
              <w:rPr>
                <w:color w:val="000000"/>
              </w:rPr>
              <w:t>2,450.0</w:t>
            </w:r>
          </w:p>
        </w:tc>
        <w:tc>
          <w:tcPr>
            <w:tcW w:w="682" w:type="pct"/>
            <w:vAlign w:val="bottom"/>
          </w:tcPr>
          <w:p w:rsidR="008E2969" w:rsidRPr="003F7722" w:rsidRDefault="008E2969"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pPr>
            <w:r>
              <w:rPr>
                <w:color w:val="000000"/>
              </w:rPr>
              <w:t>2,640.0</w:t>
            </w:r>
          </w:p>
        </w:tc>
        <w:tc>
          <w:tcPr>
            <w:tcW w:w="682" w:type="pct"/>
            <w:vAlign w:val="bottom"/>
          </w:tcPr>
          <w:p w:rsidR="008E2969" w:rsidRPr="003F7722" w:rsidRDefault="005152F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pPr>
            <w:r>
              <w:rPr>
                <w:color w:val="000000"/>
              </w:rPr>
              <w:t>2,680.0</w:t>
            </w:r>
          </w:p>
        </w:tc>
        <w:tc>
          <w:tcPr>
            <w:tcW w:w="681" w:type="pct"/>
            <w:vAlign w:val="bottom"/>
          </w:tcPr>
          <w:p w:rsidR="008E2969" w:rsidRPr="00221AEB" w:rsidRDefault="008E2969"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color w:val="000000"/>
              </w:rPr>
              <w:t>10,850.0</w:t>
            </w:r>
          </w:p>
        </w:tc>
      </w:tr>
      <w:tr w:rsidR="008E2969" w:rsidRPr="00B73AC8" w:rsidTr="00221AEB">
        <w:tc>
          <w:tcPr>
            <w:cnfStyle w:val="001000000000" w:firstRow="0" w:lastRow="0" w:firstColumn="1" w:lastColumn="0" w:oddVBand="0" w:evenVBand="0" w:oddHBand="0" w:evenHBand="0" w:firstRowFirstColumn="0" w:firstRowLastColumn="0" w:lastRowFirstColumn="0" w:lastRowLastColumn="0"/>
            <w:tcW w:w="1591" w:type="pct"/>
          </w:tcPr>
          <w:p w:rsidR="008E2969" w:rsidRPr="00B73AC8" w:rsidRDefault="008E2969" w:rsidP="009515BE">
            <w:pPr>
              <w:pStyle w:val="TableTextCentred"/>
              <w:keepNext/>
              <w:keepLines/>
              <w:ind w:left="57" w:right="57"/>
              <w:jc w:val="left"/>
              <w:rPr>
                <w:szCs w:val="20"/>
              </w:rPr>
            </w:pPr>
            <w:r w:rsidRPr="00B73AC8">
              <w:rPr>
                <w:szCs w:val="20"/>
              </w:rPr>
              <w:t>Underlying cash balance</w:t>
            </w:r>
          </w:p>
        </w:tc>
        <w:tc>
          <w:tcPr>
            <w:tcW w:w="682" w:type="pct"/>
            <w:vAlign w:val="bottom"/>
          </w:tcPr>
          <w:p w:rsidR="008E2969" w:rsidRPr="003F7722" w:rsidRDefault="008E2969"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pPr>
            <w:r>
              <w:rPr>
                <w:color w:val="000000"/>
              </w:rPr>
              <w:t>2,430.0</w:t>
            </w:r>
          </w:p>
        </w:tc>
        <w:tc>
          <w:tcPr>
            <w:tcW w:w="682" w:type="pct"/>
            <w:vAlign w:val="bottom"/>
          </w:tcPr>
          <w:p w:rsidR="008E2969" w:rsidRPr="003F7722" w:rsidRDefault="008E2969"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pPr>
            <w:r>
              <w:rPr>
                <w:color w:val="000000"/>
              </w:rPr>
              <w:t>2,970.0</w:t>
            </w:r>
          </w:p>
        </w:tc>
        <w:tc>
          <w:tcPr>
            <w:tcW w:w="682" w:type="pct"/>
            <w:vAlign w:val="bottom"/>
          </w:tcPr>
          <w:p w:rsidR="008E2969" w:rsidRPr="003F7722" w:rsidRDefault="008E2969"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pPr>
            <w:r>
              <w:rPr>
                <w:color w:val="000000"/>
              </w:rPr>
              <w:t>2,820.0</w:t>
            </w:r>
          </w:p>
        </w:tc>
        <w:tc>
          <w:tcPr>
            <w:tcW w:w="682" w:type="pct"/>
            <w:vAlign w:val="bottom"/>
          </w:tcPr>
          <w:p w:rsidR="008E2969" w:rsidRPr="003F7722" w:rsidRDefault="008E2969"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pPr>
            <w:r>
              <w:rPr>
                <w:color w:val="000000"/>
              </w:rPr>
              <w:t>2,850.0</w:t>
            </w:r>
          </w:p>
        </w:tc>
        <w:tc>
          <w:tcPr>
            <w:tcW w:w="681" w:type="pct"/>
            <w:vAlign w:val="bottom"/>
          </w:tcPr>
          <w:p w:rsidR="008E2969" w:rsidRPr="00221AEB" w:rsidRDefault="008E2969"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rPr>
                <w:b/>
              </w:rPr>
            </w:pPr>
            <w:r w:rsidRPr="00221AEB">
              <w:rPr>
                <w:b/>
                <w:color w:val="000000"/>
              </w:rPr>
              <w:t>11,070.0</w:t>
            </w:r>
          </w:p>
        </w:tc>
      </w:tr>
    </w:tbl>
    <w:p w:rsidR="00D461E6" w:rsidRDefault="007961A0" w:rsidP="007961A0">
      <w:pPr>
        <w:pStyle w:val="Footnotes"/>
        <w:keepNext/>
        <w:keepLines/>
        <w:numPr>
          <w:ilvl w:val="0"/>
          <w:numId w:val="7"/>
        </w:numPr>
      </w:pPr>
      <w:r w:rsidRPr="007961A0">
        <w:t xml:space="preserve">A positive number represents an increase in the relevant budget </w:t>
      </w:r>
      <w:proofErr w:type="gramStart"/>
      <w:r w:rsidRPr="007961A0">
        <w:t>balance,</w:t>
      </w:r>
      <w:proofErr w:type="gramEnd"/>
      <w:r w:rsidRPr="007961A0">
        <w:t xml:space="preserve"> a negative number represents a decrease</w:t>
      </w:r>
      <w:r w:rsidR="00221AEB">
        <w:t>.</w:t>
      </w:r>
    </w:p>
    <w:p w:rsidR="009D4063" w:rsidRDefault="0064050F" w:rsidP="009D4063">
      <w:pPr>
        <w:pStyle w:val="Footnotes"/>
        <w:keepNext/>
        <w:keepLines/>
        <w:numPr>
          <w:ilvl w:val="0"/>
          <w:numId w:val="7"/>
        </w:numPr>
        <w:ind w:left="284" w:hanging="284"/>
      </w:pPr>
      <w:r>
        <w:t xml:space="preserve">  Figures may not sum to totals due to rounding.</w:t>
      </w:r>
    </w:p>
    <w:p w:rsidR="00E048C8" w:rsidRDefault="00E048C8" w:rsidP="009515BE">
      <w:pPr>
        <w:spacing w:before="340"/>
      </w:pPr>
      <w:r>
        <w:t xml:space="preserve">Estimates of the detailed financial implications of the individual components are provided at </w:t>
      </w:r>
      <w:r w:rsidRPr="003A4675">
        <w:rPr>
          <w:u w:val="single"/>
        </w:rPr>
        <w:t xml:space="preserve">Attachment </w:t>
      </w:r>
      <w:r>
        <w:rPr>
          <w:u w:val="single"/>
        </w:rPr>
        <w:t>B</w:t>
      </w:r>
      <w:r w:rsidRPr="00840240">
        <w:t>.</w:t>
      </w:r>
    </w:p>
    <w:p w:rsidR="008D3909" w:rsidRPr="00FC6579" w:rsidRDefault="005E3562" w:rsidP="00E40B8B">
      <w:pPr>
        <w:pStyle w:val="Heading2"/>
      </w:pPr>
      <w:r w:rsidRPr="00FC6579">
        <w:lastRenderedPageBreak/>
        <w:t>Key assumptions</w:t>
      </w:r>
    </w:p>
    <w:p w:rsidR="008A6E8F" w:rsidRDefault="008A6E8F" w:rsidP="00B3517E">
      <w:pPr>
        <w:pStyle w:val="Bullet1"/>
      </w:pPr>
      <w:r>
        <w:t>It is assumed that individuals with taxable income and concessional superannuation contributions between $150,000 and the Division 293 threshold ($300,000 in 2016</w:t>
      </w:r>
      <w:r>
        <w:noBreakHyphen/>
        <w:t>17; $250,000 thereafter) would respond to the policy by reducing their voluntary concessional superannuation contributions, as the proposal makes superannuation less concessional for these people.</w:t>
      </w:r>
    </w:p>
    <w:p w:rsidR="008A6E8F" w:rsidRDefault="008A6E8F" w:rsidP="008A6E8F">
      <w:pPr>
        <w:pStyle w:val="Bullet2"/>
      </w:pPr>
      <w:r>
        <w:t xml:space="preserve">While concessional superannuation would still provide a tax concession for these individuals, this would be balanced against the fact that money contributed to superannuation is not readily accessible.  </w:t>
      </w:r>
    </w:p>
    <w:p w:rsidR="008A6E8F" w:rsidRDefault="008A6E8F" w:rsidP="008A6E8F">
      <w:pPr>
        <w:pStyle w:val="Bullet2"/>
      </w:pPr>
      <w:r>
        <w:t xml:space="preserve">The reduction in concessional superannuation contributions is assumed to result in increased taxable incomes of individuals.  However, taxable incomes would not increase by the full amount of the reduction in concessional superannuation contributions due to the ability of some taxpayers to utilise other tax concessions.  </w:t>
      </w:r>
    </w:p>
    <w:p w:rsidR="008A6E8F" w:rsidRDefault="008A6E8F" w:rsidP="008A6E8F">
      <w:pPr>
        <w:pStyle w:val="Bullet2"/>
      </w:pPr>
      <w:r>
        <w:t>Those with income above the Division 293 threshold currently face an effective tax rate of 30 per cent on their concessional superannuation contributions, and would have a relatively small change (2 percentage points) to their effective tax rate.  They would not be expected to have a significant behavioural change in response to the proposed policy.</w:t>
      </w:r>
    </w:p>
    <w:p w:rsidR="008A6E8F" w:rsidRDefault="008A6E8F" w:rsidP="008A6E8F">
      <w:pPr>
        <w:pStyle w:val="Bullet1"/>
      </w:pPr>
      <w:r>
        <w:t>It is assumed that superannuation funds would pay contributions tax instalments at a rate based on expected annual income of their members.  Reconciliation would be required following tax assessment to ensure the correct amount of tax had been paid.  Depending on the administrative method used to assess annual income, there may be timing differences in the collection of tax revenue over the forward estimates.</w:t>
      </w:r>
    </w:p>
    <w:p w:rsidR="008A6E8F" w:rsidRDefault="008A6E8F" w:rsidP="008A6E8F">
      <w:pPr>
        <w:pStyle w:val="Bullet2"/>
      </w:pPr>
      <w:r>
        <w:t>For the purposes of this costing, it is assumed that, on average, the monthly instalments would collect the correct amount of tax.  That is, the reconciliation would have zero revenue impact.</w:t>
      </w:r>
    </w:p>
    <w:p w:rsidR="008A6E8F" w:rsidRDefault="008A6E8F" w:rsidP="008A6E8F">
      <w:pPr>
        <w:pStyle w:val="Bullet1"/>
      </w:pPr>
      <w:r>
        <w:t xml:space="preserve">It is assumed that </w:t>
      </w:r>
      <w:r w:rsidR="005A3BBA">
        <w:t>the proposed superannuation contribution for individuals with total</w:t>
      </w:r>
      <w:r w:rsidR="005A3BBA" w:rsidRPr="00E963C3">
        <w:t xml:space="preserve"> income below the tax-free threshold</w:t>
      </w:r>
      <w:r w:rsidR="005A3BBA">
        <w:t xml:space="preserve"> (in place of the LISC/LISTO)</w:t>
      </w:r>
      <w:r>
        <w:t xml:space="preserve"> would not </w:t>
      </w:r>
      <w:r w:rsidR="005A3BBA">
        <w:t>result in material</w:t>
      </w:r>
      <w:r>
        <w:t xml:space="preserve"> behavioural change.</w:t>
      </w:r>
    </w:p>
    <w:p w:rsidR="008A6E8F" w:rsidRDefault="008A6E8F" w:rsidP="008A6E8F">
      <w:pPr>
        <w:pStyle w:val="Bullet1"/>
      </w:pPr>
      <w:r>
        <w:t>Income for the purposes of the progressive contributions tax would be the sum of an individual’s taxable income and their concessional superannuation contributions.</w:t>
      </w:r>
    </w:p>
    <w:p w:rsidR="008A6E8F" w:rsidRDefault="008A6E8F" w:rsidP="005152FD">
      <w:pPr>
        <w:pStyle w:val="Bullet2"/>
      </w:pPr>
      <w:r>
        <w:t>If an individual has a taxable income below a threshold but adding concessional superannuation contributions takes them above a threshold, the higher contributions tax rate would only apply to the contributions above the threshold.  This approach is consistent with the current operation of the Division 293 tax.</w:t>
      </w:r>
    </w:p>
    <w:p w:rsidR="008A6E8F" w:rsidRPr="009515BE" w:rsidRDefault="008A6E8F" w:rsidP="009515BE">
      <w:pPr>
        <w:pStyle w:val="Bullet2"/>
        <w:keepLines w:val="0"/>
        <w:ind w:left="908" w:hanging="454"/>
      </w:pPr>
      <w:r w:rsidRPr="009515BE">
        <w:t>For example:</w:t>
      </w:r>
    </w:p>
    <w:p w:rsidR="008A6E8F" w:rsidRDefault="008A6E8F" w:rsidP="009515BE">
      <w:pPr>
        <w:pStyle w:val="Bullet3"/>
      </w:pPr>
      <w:r>
        <w:t>An individual with a taxable income of $34,000 and concessional superannuation contributions of $3,400 (that is a total of $37,400) would pay a tax rate of 15 per cent on $400 ($37,400 less the $37,000 threshold).  This would result in a progressive contributions tax liability of $60.</w:t>
      </w:r>
    </w:p>
    <w:p w:rsidR="008A6E8F" w:rsidRDefault="008A6E8F" w:rsidP="009515BE">
      <w:pPr>
        <w:pStyle w:val="Bullet3"/>
      </w:pPr>
      <w:r>
        <w:lastRenderedPageBreak/>
        <w:t>An individual with a taxable income of $140,000 and concessional superannuation contributions of $15,000 (that is a total of $155,000) would pay a tax rate of 22 per cent on $10,000 (the $150,000 threshold less $140,000) of their contributions and a tax rate of 32 per cent on the remaining $5,000 ($155,000 less the $150,000 threshold).  This would result in a progressive contributions tax liability of $3,800.</w:t>
      </w:r>
    </w:p>
    <w:p w:rsidR="005E3CDE" w:rsidRDefault="005E3CDE" w:rsidP="005E3CDE">
      <w:pPr>
        <w:pStyle w:val="Bullet1"/>
      </w:pPr>
      <w:r>
        <w:t xml:space="preserve">The </w:t>
      </w:r>
      <w:r w:rsidRPr="00796DB1">
        <w:t>enabling legislation would be implemented before 1 July 2017 (the</w:t>
      </w:r>
      <w:r>
        <w:t xml:space="preserve"> date from which tax returns for the 2016</w:t>
      </w:r>
      <w:r w:rsidR="002A0295">
        <w:noBreakHyphen/>
      </w:r>
      <w:r>
        <w:t>17 financial year can be submitted to the Australian Taxation Office (ATO)).</w:t>
      </w:r>
    </w:p>
    <w:p w:rsidR="005E3CDE" w:rsidRDefault="005E3CDE" w:rsidP="005E3CDE">
      <w:pPr>
        <w:pStyle w:val="Bullet1"/>
      </w:pPr>
      <w:r>
        <w:t>It is assumed that there would not be any labour supply response as a result of the proposal.</w:t>
      </w:r>
    </w:p>
    <w:p w:rsidR="005E3CDE" w:rsidRDefault="005E3CDE" w:rsidP="005E3CDE">
      <w:pPr>
        <w:pStyle w:val="Bullet1"/>
      </w:pPr>
      <w:r>
        <w:t>While the proposal could be expected to result in an increase in Age Pension payments over the longer term, the proposal is assumed not to have a material impact on Age Pens</w:t>
      </w:r>
      <w:r w:rsidR="005A3BBA">
        <w:t>ion payments over the 2016</w:t>
      </w:r>
      <w:r w:rsidR="005A3BBA">
        <w:noBreakHyphen/>
        <w:t>17 Budget forward estimates period.</w:t>
      </w:r>
    </w:p>
    <w:p w:rsidR="005E3562" w:rsidRPr="00FC6579" w:rsidRDefault="005E3562" w:rsidP="00E40B8B">
      <w:pPr>
        <w:pStyle w:val="Heading2"/>
      </w:pPr>
      <w:r w:rsidRPr="00FC6579">
        <w:t>Methodology</w:t>
      </w:r>
    </w:p>
    <w:p w:rsidR="00E963C3" w:rsidRPr="00E963C3" w:rsidRDefault="00E963C3" w:rsidP="00E963C3">
      <w:pPr>
        <w:pStyle w:val="Bullet1"/>
      </w:pPr>
      <w:r w:rsidRPr="00E963C3">
        <w:t>A de-identified 16 per cent sample of personal income and superannuation tax returns from the 2012</w:t>
      </w:r>
      <w:r w:rsidR="002A0295">
        <w:noBreakHyphen/>
      </w:r>
      <w:r w:rsidRPr="00E963C3">
        <w:t>13 tax year is used to estimate the budget impact of the contributions tax and personal income tax components of this costing.  Outcomes are estimated for each individual in the data under both current and proposed policy.</w:t>
      </w:r>
    </w:p>
    <w:p w:rsidR="00E963C3" w:rsidRPr="00E963C3" w:rsidRDefault="00E963C3" w:rsidP="00E963C3">
      <w:pPr>
        <w:pStyle w:val="Bullet1"/>
      </w:pPr>
      <w:r w:rsidRPr="00E963C3">
        <w:t>The modelling takes account of the timing of tax collections</w:t>
      </w:r>
      <w:r w:rsidR="002A5CBF">
        <w:t xml:space="preserve"> and payments</w:t>
      </w:r>
      <w:r w:rsidRPr="00E963C3">
        <w:t>.</w:t>
      </w:r>
    </w:p>
    <w:p w:rsidR="00E963C3" w:rsidRPr="00E963C3" w:rsidRDefault="00E963C3" w:rsidP="00E963C3">
      <w:pPr>
        <w:pStyle w:val="Bullet1"/>
      </w:pPr>
      <w:r w:rsidRPr="00E963C3">
        <w:t>Estimates of the revenue impact are rounded to the nearest $50 million, administrative expense estimates to the nearest $10 million, and departmental expenses to the nearest $1 million.</w:t>
      </w:r>
    </w:p>
    <w:p w:rsidR="005E3562" w:rsidRPr="00FC6579" w:rsidRDefault="005E3562" w:rsidP="00E40B8B">
      <w:pPr>
        <w:pStyle w:val="Heading2"/>
      </w:pPr>
      <w:r w:rsidRPr="00FC6579">
        <w:t>Data sources</w:t>
      </w:r>
    </w:p>
    <w:p w:rsidR="00E963C3" w:rsidRPr="00E963C3" w:rsidRDefault="00E963C3" w:rsidP="00E963C3">
      <w:pPr>
        <w:pStyle w:val="Bullet1"/>
      </w:pPr>
      <w:r w:rsidRPr="00E963C3">
        <w:t>ATO</w:t>
      </w:r>
      <w:r w:rsidR="00A71EEC">
        <w:t xml:space="preserve"> </w:t>
      </w:r>
      <w:r w:rsidRPr="00E963C3">
        <w:t>de-identified personal income tax records, superannuation member contribution statements and self-managed superannuation fund returns from 2012</w:t>
      </w:r>
      <w:r w:rsidR="002A0295">
        <w:noBreakHyphen/>
      </w:r>
      <w:r w:rsidRPr="00E963C3">
        <w:t>13.</w:t>
      </w:r>
    </w:p>
    <w:p w:rsidR="00E963C3" w:rsidRPr="00E963C3" w:rsidRDefault="002A0295" w:rsidP="00E963C3">
      <w:pPr>
        <w:pStyle w:val="Bullet1"/>
      </w:pPr>
      <w:r w:rsidRPr="00E963C3">
        <w:t>2016</w:t>
      </w:r>
      <w:r>
        <w:noBreakHyphen/>
      </w:r>
      <w:r w:rsidR="00E963C3" w:rsidRPr="00E963C3">
        <w:t xml:space="preserve">17 Budget measure, </w:t>
      </w:r>
      <w:r w:rsidR="00E963C3" w:rsidRPr="000B0BF1">
        <w:rPr>
          <w:i/>
        </w:rPr>
        <w:t>Superannuation Reform Package – introducing a Low Income Superannuation Tax Offset (LISTO).</w:t>
      </w:r>
    </w:p>
    <w:p w:rsidR="00CA5D42" w:rsidRPr="00FC6579" w:rsidRDefault="00CA5D42" w:rsidP="00FC6579">
      <w:pPr>
        <w:pStyle w:val="Bullet3"/>
        <w:rPr>
          <w:highlight w:val="yellow"/>
        </w:rPr>
        <w:sectPr w:rsidR="00CA5D42" w:rsidRPr="00FC6579" w:rsidSect="00002D5D">
          <w:headerReference w:type="first" r:id="rId15"/>
          <w:footerReference w:type="first" r:id="rId16"/>
          <w:pgSz w:w="11906" w:h="16838"/>
          <w:pgMar w:top="1361" w:right="1797" w:bottom="1474" w:left="1797" w:header="709" w:footer="709" w:gutter="0"/>
          <w:cols w:space="708"/>
          <w:titlePg/>
          <w:docGrid w:linePitch="360"/>
        </w:sectPr>
      </w:pPr>
    </w:p>
    <w:p w:rsidR="001A02D1" w:rsidRPr="00FC6579" w:rsidRDefault="001A02D1" w:rsidP="00E963C3">
      <w:pPr>
        <w:pStyle w:val="Heading1"/>
      </w:pPr>
      <w:r w:rsidRPr="00FC6579">
        <w:lastRenderedPageBreak/>
        <w:t>Attachment A:</w:t>
      </w:r>
      <w:r w:rsidR="00841C3A">
        <w:t xml:space="preserve"> </w:t>
      </w:r>
      <w:r w:rsidR="00E963C3">
        <w:t>Detailed policy specifications</w:t>
      </w:r>
    </w:p>
    <w:p w:rsidR="001A02D1" w:rsidRPr="00002D5D" w:rsidRDefault="00E963C3" w:rsidP="00E963C3">
      <w:r w:rsidRPr="00E963C3">
        <w:t>The proposal would replace the current 15 per cent flat tax</w:t>
      </w:r>
      <w:r w:rsidR="00474839">
        <w:t xml:space="preserve"> rate</w:t>
      </w:r>
      <w:r w:rsidRPr="00E963C3">
        <w:t xml:space="preserve"> on concessional superannuation contributions with a progressive marginal tax rate as follows:</w:t>
      </w:r>
    </w:p>
    <w:tbl>
      <w:tblPr>
        <w:tblStyle w:val="TableGrid"/>
        <w:tblW w:w="2555" w:type="pct"/>
        <w:jc w:val="center"/>
        <w:tblLook w:val="04A0" w:firstRow="1" w:lastRow="0" w:firstColumn="1" w:lastColumn="0" w:noHBand="0" w:noVBand="1"/>
      </w:tblPr>
      <w:tblGrid>
        <w:gridCol w:w="2269"/>
        <w:gridCol w:w="1984"/>
      </w:tblGrid>
      <w:tr w:rsidR="00E963C3" w:rsidRPr="00EF1D6A" w:rsidTr="009515B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667" w:type="pct"/>
            <w:vAlign w:val="center"/>
          </w:tcPr>
          <w:p w:rsidR="00E963C3" w:rsidRPr="00B3517E" w:rsidRDefault="00E963C3" w:rsidP="009515BE">
            <w:pPr>
              <w:pStyle w:val="TableText"/>
              <w:keepNext/>
              <w:keepLines/>
              <w:jc w:val="center"/>
              <w:rPr>
                <w:b/>
                <w:szCs w:val="20"/>
              </w:rPr>
            </w:pPr>
            <w:r w:rsidRPr="00E963C3">
              <w:rPr>
                <w:szCs w:val="20"/>
              </w:rPr>
              <w:t>Income th</w:t>
            </w:r>
            <w:r>
              <w:rPr>
                <w:szCs w:val="20"/>
              </w:rPr>
              <w:t xml:space="preserve">reshold </w:t>
            </w:r>
            <w:r w:rsidRPr="00A826A5">
              <w:rPr>
                <w:szCs w:val="20"/>
                <w:vertAlign w:val="superscript"/>
              </w:rPr>
              <w:t>(a)</w:t>
            </w:r>
            <w:r w:rsidR="00074686">
              <w:rPr>
                <w:szCs w:val="20"/>
                <w:vertAlign w:val="superscript"/>
              </w:rPr>
              <w:br/>
            </w:r>
            <w:r w:rsidR="00074686" w:rsidRPr="009515BE">
              <w:rPr>
                <w:szCs w:val="20"/>
              </w:rPr>
              <w:t>($)</w:t>
            </w:r>
          </w:p>
        </w:tc>
        <w:tc>
          <w:tcPr>
            <w:tcW w:w="2333" w:type="pct"/>
            <w:vAlign w:val="center"/>
          </w:tcPr>
          <w:p w:rsidR="00074686" w:rsidRPr="009515BE" w:rsidRDefault="00E963C3" w:rsidP="009515BE">
            <w:pPr>
              <w:pStyle w:val="TableHeadingCentred"/>
              <w:jc w:val="center"/>
              <w:cnfStyle w:val="100000000000" w:firstRow="1" w:lastRow="0" w:firstColumn="0" w:lastColumn="0" w:oddVBand="0" w:evenVBand="0" w:oddHBand="0" w:evenHBand="0" w:firstRowFirstColumn="0" w:firstRowLastColumn="0" w:lastRowFirstColumn="0" w:lastRowLastColumn="0"/>
            </w:pPr>
            <w:r w:rsidRPr="00E963C3">
              <w:t>Superannuation contributions tax rate</w:t>
            </w:r>
            <w:r w:rsidR="00074686">
              <w:t xml:space="preserve"> (%)</w:t>
            </w:r>
          </w:p>
        </w:tc>
      </w:tr>
      <w:tr w:rsidR="00E963C3" w:rsidRPr="0066665A" w:rsidTr="009515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7" w:type="pct"/>
          </w:tcPr>
          <w:p w:rsidR="00E963C3" w:rsidRPr="00A06B79" w:rsidRDefault="00E963C3" w:rsidP="009515BE">
            <w:pPr>
              <w:spacing w:before="70" w:after="70" w:line="260" w:lineRule="atLeast"/>
              <w:ind w:left="227"/>
            </w:pPr>
            <w:r w:rsidRPr="00A06B79">
              <w:t xml:space="preserve">0 – 37,000 </w:t>
            </w:r>
          </w:p>
        </w:tc>
        <w:tc>
          <w:tcPr>
            <w:tcW w:w="2333" w:type="pct"/>
          </w:tcPr>
          <w:p w:rsidR="00E963C3" w:rsidRPr="00A06B79" w:rsidRDefault="00E963C3" w:rsidP="009515BE">
            <w:pPr>
              <w:spacing w:before="70" w:after="70" w:line="260" w:lineRule="atLeast"/>
              <w:jc w:val="center"/>
              <w:cnfStyle w:val="000000100000" w:firstRow="0" w:lastRow="0" w:firstColumn="0" w:lastColumn="0" w:oddVBand="0" w:evenVBand="0" w:oddHBand="1" w:evenHBand="0" w:firstRowFirstColumn="0" w:firstRowLastColumn="0" w:lastRowFirstColumn="0" w:lastRowLastColumn="0"/>
            </w:pPr>
            <w:r w:rsidRPr="00A06B79">
              <w:t>0</w:t>
            </w:r>
          </w:p>
        </w:tc>
      </w:tr>
      <w:tr w:rsidR="00E963C3" w:rsidRPr="0066665A" w:rsidTr="009515BE">
        <w:trPr>
          <w:jc w:val="center"/>
        </w:trPr>
        <w:tc>
          <w:tcPr>
            <w:cnfStyle w:val="001000000000" w:firstRow="0" w:lastRow="0" w:firstColumn="1" w:lastColumn="0" w:oddVBand="0" w:evenVBand="0" w:oddHBand="0" w:evenHBand="0" w:firstRowFirstColumn="0" w:firstRowLastColumn="0" w:lastRowFirstColumn="0" w:lastRowLastColumn="0"/>
            <w:tcW w:w="2667" w:type="pct"/>
          </w:tcPr>
          <w:p w:rsidR="00E963C3" w:rsidRPr="00A06B79" w:rsidRDefault="00E963C3" w:rsidP="009515BE">
            <w:pPr>
              <w:spacing w:before="70" w:after="70" w:line="260" w:lineRule="atLeast"/>
              <w:ind w:left="227"/>
            </w:pPr>
            <w:r w:rsidRPr="00A06B79">
              <w:t>37,001 – 100,000</w:t>
            </w:r>
          </w:p>
        </w:tc>
        <w:tc>
          <w:tcPr>
            <w:tcW w:w="2333" w:type="pct"/>
          </w:tcPr>
          <w:p w:rsidR="00E963C3" w:rsidRPr="00A06B79" w:rsidRDefault="00E963C3" w:rsidP="009515BE">
            <w:pPr>
              <w:spacing w:before="70" w:after="70" w:line="260" w:lineRule="atLeast"/>
              <w:jc w:val="center"/>
              <w:cnfStyle w:val="000000000000" w:firstRow="0" w:lastRow="0" w:firstColumn="0" w:lastColumn="0" w:oddVBand="0" w:evenVBand="0" w:oddHBand="0" w:evenHBand="0" w:firstRowFirstColumn="0" w:firstRowLastColumn="0" w:lastRowFirstColumn="0" w:lastRowLastColumn="0"/>
            </w:pPr>
            <w:r w:rsidRPr="00A06B79">
              <w:t>15</w:t>
            </w:r>
          </w:p>
        </w:tc>
      </w:tr>
      <w:tr w:rsidR="00E963C3" w:rsidRPr="0066665A" w:rsidTr="009515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7" w:type="pct"/>
          </w:tcPr>
          <w:p w:rsidR="00E963C3" w:rsidRPr="00A06B79" w:rsidRDefault="00E963C3" w:rsidP="009515BE">
            <w:pPr>
              <w:spacing w:before="70" w:after="70" w:line="260" w:lineRule="atLeast"/>
              <w:ind w:left="227"/>
            </w:pPr>
            <w:r w:rsidRPr="00A06B79">
              <w:t>100,001 – 150,000</w:t>
            </w:r>
          </w:p>
        </w:tc>
        <w:tc>
          <w:tcPr>
            <w:tcW w:w="2333" w:type="pct"/>
          </w:tcPr>
          <w:p w:rsidR="00E963C3" w:rsidRPr="00A06B79" w:rsidRDefault="00E963C3" w:rsidP="009515BE">
            <w:pPr>
              <w:spacing w:before="70" w:after="70" w:line="260" w:lineRule="atLeast"/>
              <w:jc w:val="center"/>
              <w:cnfStyle w:val="000000100000" w:firstRow="0" w:lastRow="0" w:firstColumn="0" w:lastColumn="0" w:oddVBand="0" w:evenVBand="0" w:oddHBand="1" w:evenHBand="0" w:firstRowFirstColumn="0" w:firstRowLastColumn="0" w:lastRowFirstColumn="0" w:lastRowLastColumn="0"/>
            </w:pPr>
            <w:r w:rsidRPr="00A06B79">
              <w:t>22</w:t>
            </w:r>
          </w:p>
        </w:tc>
      </w:tr>
      <w:tr w:rsidR="00E963C3" w:rsidRPr="0066665A" w:rsidTr="009515BE">
        <w:trPr>
          <w:jc w:val="center"/>
        </w:trPr>
        <w:tc>
          <w:tcPr>
            <w:cnfStyle w:val="001000000000" w:firstRow="0" w:lastRow="0" w:firstColumn="1" w:lastColumn="0" w:oddVBand="0" w:evenVBand="0" w:oddHBand="0" w:evenHBand="0" w:firstRowFirstColumn="0" w:firstRowLastColumn="0" w:lastRowFirstColumn="0" w:lastRowLastColumn="0"/>
            <w:tcW w:w="2667" w:type="pct"/>
          </w:tcPr>
          <w:p w:rsidR="00E963C3" w:rsidRPr="00A06B79" w:rsidRDefault="00E963C3" w:rsidP="009515BE">
            <w:pPr>
              <w:spacing w:before="70" w:after="70" w:line="260" w:lineRule="atLeast"/>
              <w:ind w:left="227"/>
            </w:pPr>
            <w:r w:rsidRPr="00A06B79">
              <w:t>150,001 onwards</w:t>
            </w:r>
          </w:p>
        </w:tc>
        <w:tc>
          <w:tcPr>
            <w:tcW w:w="2333" w:type="pct"/>
          </w:tcPr>
          <w:p w:rsidR="00E963C3" w:rsidRDefault="00E963C3" w:rsidP="009515BE">
            <w:pPr>
              <w:spacing w:before="70" w:after="70" w:line="260" w:lineRule="atLeast"/>
              <w:jc w:val="center"/>
              <w:cnfStyle w:val="000000000000" w:firstRow="0" w:lastRow="0" w:firstColumn="0" w:lastColumn="0" w:oddVBand="0" w:evenVBand="0" w:oddHBand="0" w:evenHBand="0" w:firstRowFirstColumn="0" w:firstRowLastColumn="0" w:lastRowFirstColumn="0" w:lastRowLastColumn="0"/>
            </w:pPr>
            <w:r w:rsidRPr="00A06B79">
              <w:t>32</w:t>
            </w:r>
          </w:p>
        </w:tc>
      </w:tr>
    </w:tbl>
    <w:p w:rsidR="00EA265F" w:rsidRDefault="00E963C3" w:rsidP="00EA265F">
      <w:pPr>
        <w:pStyle w:val="Footnotes"/>
        <w:numPr>
          <w:ilvl w:val="0"/>
          <w:numId w:val="9"/>
        </w:numPr>
        <w:ind w:left="284" w:hanging="284"/>
      </w:pPr>
      <w:r w:rsidRPr="00C37EDF">
        <w:rPr>
          <w:lang w:eastAsia="en-AU"/>
        </w:rPr>
        <w:t xml:space="preserve">Income thresholds would be indexed annually in line with growth in average weekly ordinary time earnings.  </w:t>
      </w:r>
      <w:r>
        <w:rPr>
          <w:lang w:eastAsia="en-AU"/>
        </w:rPr>
        <w:t>T</w:t>
      </w:r>
      <w:r w:rsidRPr="00C37EDF">
        <w:rPr>
          <w:lang w:eastAsia="en-AU"/>
        </w:rPr>
        <w:t>he income to determine contributions tax would be the sum of taxable income and concessional superannuation contributions.</w:t>
      </w:r>
    </w:p>
    <w:p w:rsidR="00E963C3" w:rsidRDefault="00E963C3" w:rsidP="00E963C3">
      <w:pPr>
        <w:rPr>
          <w:lang w:eastAsia="en-AU"/>
        </w:rPr>
      </w:pPr>
      <w:r>
        <w:rPr>
          <w:lang w:eastAsia="en-AU"/>
        </w:rPr>
        <w:t>In addition:</w:t>
      </w:r>
    </w:p>
    <w:p w:rsidR="00E963C3" w:rsidRDefault="00E963C3" w:rsidP="00E963C3">
      <w:pPr>
        <w:pStyle w:val="Bullet1"/>
      </w:pPr>
      <w:proofErr w:type="gramStart"/>
      <w:r w:rsidRPr="00E963C3">
        <w:t>the</w:t>
      </w:r>
      <w:proofErr w:type="gramEnd"/>
      <w:r w:rsidRPr="00E963C3">
        <w:t xml:space="preserve"> Government would contribute to superannuation funds on behalf of individuals with </w:t>
      </w:r>
      <w:r w:rsidR="00082738">
        <w:t>total</w:t>
      </w:r>
      <w:r w:rsidR="00082738" w:rsidRPr="00E963C3">
        <w:t xml:space="preserve"> </w:t>
      </w:r>
      <w:r w:rsidRPr="00E963C3">
        <w:t>income below the tax-free threshold ($18,200).  The Government contribution would be 15 cents for each dollar of concessional superannuation contributions</w:t>
      </w:r>
    </w:p>
    <w:p w:rsidR="00082738" w:rsidRDefault="00082738" w:rsidP="002707C7">
      <w:pPr>
        <w:pStyle w:val="Bullet2"/>
      </w:pPr>
      <w:r>
        <w:t>Total income would consist of assessable income, net investment losses, exempt foreign employment income, reportable superannuation contributions and reportable fringe benefits.</w:t>
      </w:r>
    </w:p>
    <w:p w:rsidR="002A0295" w:rsidRPr="00E963C3" w:rsidRDefault="002A0295" w:rsidP="002A0295">
      <w:pPr>
        <w:pStyle w:val="Bullet2"/>
      </w:pPr>
      <w:r w:rsidRPr="002A0295">
        <w:t>Net (rather than gross) business and investment income would also be included in the calculation of total income.</w:t>
      </w:r>
    </w:p>
    <w:p w:rsidR="00E963C3" w:rsidRPr="00E963C3" w:rsidRDefault="00E963C3" w:rsidP="00E963C3">
      <w:pPr>
        <w:pStyle w:val="Bullet1"/>
      </w:pPr>
      <w:r w:rsidRPr="00E963C3">
        <w:t>the Division 293 tax on contributions for very high income earners would be abolished</w:t>
      </w:r>
    </w:p>
    <w:p w:rsidR="00E963C3" w:rsidRPr="00E963C3" w:rsidRDefault="00E963C3" w:rsidP="00E963C3">
      <w:pPr>
        <w:pStyle w:val="Bullet1"/>
      </w:pPr>
      <w:r w:rsidRPr="00E963C3">
        <w:t>the LISC would be abolished (currently set to end after the 2016</w:t>
      </w:r>
      <w:r w:rsidR="002A0295">
        <w:noBreakHyphen/>
      </w:r>
      <w:r w:rsidRPr="00E963C3">
        <w:t xml:space="preserve">17 financial year) </w:t>
      </w:r>
    </w:p>
    <w:p w:rsidR="00E963C3" w:rsidRPr="00E963C3" w:rsidRDefault="00E963C3" w:rsidP="00E963C3">
      <w:pPr>
        <w:pStyle w:val="Bullet1"/>
      </w:pPr>
      <w:r w:rsidRPr="00E963C3">
        <w:t>the 2016</w:t>
      </w:r>
      <w:r w:rsidR="002A0295">
        <w:noBreakHyphen/>
      </w:r>
      <w:r w:rsidRPr="00E963C3">
        <w:t xml:space="preserve">17 Budget measure, </w:t>
      </w:r>
      <w:r w:rsidRPr="00474839">
        <w:rPr>
          <w:i/>
        </w:rPr>
        <w:t>Superannuation Reform Package - introducing a Low Income Superannuation Tax Offset (LISTO)</w:t>
      </w:r>
      <w:r w:rsidRPr="00E963C3">
        <w:t xml:space="preserve"> would be reversed</w:t>
      </w:r>
    </w:p>
    <w:p w:rsidR="00E963C3" w:rsidRPr="00E963C3" w:rsidRDefault="00E963C3" w:rsidP="00E963C3">
      <w:pPr>
        <w:pStyle w:val="Bullet1"/>
      </w:pPr>
      <w:proofErr w:type="gramStart"/>
      <w:r w:rsidRPr="00E963C3">
        <w:t>the</w:t>
      </w:r>
      <w:proofErr w:type="gramEnd"/>
      <w:r w:rsidRPr="00E963C3">
        <w:t xml:space="preserve"> changes would not apply to members of unfunded defined benefits funds.</w:t>
      </w:r>
    </w:p>
    <w:p w:rsidR="00FE7D7D" w:rsidRDefault="00FE7D7D" w:rsidP="00FE7D7D">
      <w:pPr>
        <w:pStyle w:val="Footnotes"/>
        <w:numPr>
          <w:ilvl w:val="0"/>
          <w:numId w:val="0"/>
        </w:numPr>
      </w:pPr>
    </w:p>
    <w:p w:rsidR="00FE7D7D" w:rsidRPr="00002D5D" w:rsidRDefault="00FE7D7D" w:rsidP="00FE7D7D">
      <w:pPr>
        <w:pStyle w:val="Footnotes"/>
        <w:rPr>
          <w:highlight w:val="yellow"/>
        </w:rPr>
        <w:sectPr w:rsidR="00FE7D7D" w:rsidRPr="00002D5D" w:rsidSect="00002D5D">
          <w:headerReference w:type="first" r:id="rId17"/>
          <w:footerReference w:type="first" r:id="rId18"/>
          <w:pgSz w:w="11906" w:h="16838"/>
          <w:pgMar w:top="1361" w:right="1797" w:bottom="1474" w:left="1797" w:header="709" w:footer="709" w:gutter="0"/>
          <w:cols w:space="708"/>
          <w:titlePg/>
          <w:docGrid w:linePitch="360"/>
        </w:sectPr>
      </w:pPr>
    </w:p>
    <w:p w:rsidR="00FE7D7D" w:rsidRPr="00FC6579" w:rsidRDefault="00FE7D7D" w:rsidP="00FE7D7D">
      <w:pPr>
        <w:pStyle w:val="Heading1"/>
      </w:pPr>
      <w:r>
        <w:lastRenderedPageBreak/>
        <w:t>Attachment B</w:t>
      </w:r>
      <w:r w:rsidRPr="00FC6579">
        <w:t>:</w:t>
      </w:r>
      <w:r>
        <w:t xml:space="preserve"> A progressive superannuation system —financial implications</w:t>
      </w:r>
    </w:p>
    <w:p w:rsidR="00FE7D7D" w:rsidRDefault="00FE7D7D" w:rsidP="00FE7D7D">
      <w:pPr>
        <w:pStyle w:val="Captionheading"/>
        <w:rPr>
          <w:vertAlign w:val="superscript"/>
        </w:rPr>
      </w:pPr>
      <w:r w:rsidRPr="00FE7D7D">
        <w:t xml:space="preserve">Table B1: </w:t>
      </w:r>
      <w:r>
        <w:t xml:space="preserve">A progressive superannuation system - </w:t>
      </w:r>
      <w:r w:rsidRPr="00FE7D7D">
        <w:t xml:space="preserve">Fiscal </w:t>
      </w:r>
      <w:proofErr w:type="gramStart"/>
      <w:r w:rsidRPr="00FE7D7D">
        <w:t>balance</w:t>
      </w:r>
      <w:r w:rsidRPr="00FE7D7D">
        <w:rPr>
          <w:vertAlign w:val="superscript"/>
        </w:rPr>
        <w:t>(</w:t>
      </w:r>
      <w:proofErr w:type="gramEnd"/>
      <w:r w:rsidRPr="00FE7D7D">
        <w:rPr>
          <w:vertAlign w:val="superscript"/>
        </w:rPr>
        <w:t>a)</w:t>
      </w:r>
      <w:r w:rsidR="002730FD">
        <w:rPr>
          <w:vertAlign w:val="superscript"/>
        </w:rPr>
        <w:t>(b)</w:t>
      </w:r>
    </w:p>
    <w:tbl>
      <w:tblPr>
        <w:tblStyle w:val="TableGrid"/>
        <w:tblW w:w="4995" w:type="pct"/>
        <w:tblLook w:val="04A0" w:firstRow="1" w:lastRow="0" w:firstColumn="1" w:lastColumn="0" w:noHBand="0" w:noVBand="1"/>
      </w:tblPr>
      <w:tblGrid>
        <w:gridCol w:w="2699"/>
        <w:gridCol w:w="1081"/>
        <w:gridCol w:w="1134"/>
        <w:gridCol w:w="1134"/>
        <w:gridCol w:w="1134"/>
        <w:gridCol w:w="1133"/>
      </w:tblGrid>
      <w:tr w:rsidR="00E32E7D" w:rsidRPr="00EF1D6A" w:rsidTr="00E32E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23" w:type="pct"/>
            <w:vAlign w:val="center"/>
          </w:tcPr>
          <w:p w:rsidR="00E32E7D" w:rsidRPr="00EF1D6A" w:rsidRDefault="00E32E7D" w:rsidP="009515BE">
            <w:pPr>
              <w:pStyle w:val="TableText"/>
              <w:keepNext/>
              <w:keepLines/>
              <w:ind w:left="57" w:right="57"/>
              <w:rPr>
                <w:b/>
                <w:szCs w:val="20"/>
              </w:rPr>
            </w:pPr>
            <w:r w:rsidRPr="00EF1D6A">
              <w:rPr>
                <w:szCs w:val="20"/>
              </w:rPr>
              <w:t>($m)</w:t>
            </w:r>
          </w:p>
        </w:tc>
        <w:tc>
          <w:tcPr>
            <w:tcW w:w="650" w:type="pct"/>
            <w:vAlign w:val="center"/>
          </w:tcPr>
          <w:p w:rsidR="00E32E7D" w:rsidRPr="00C24267" w:rsidRDefault="00E32E7D" w:rsidP="009515BE">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82" w:type="pct"/>
            <w:vAlign w:val="center"/>
          </w:tcPr>
          <w:p w:rsidR="00E32E7D" w:rsidRPr="00C24267" w:rsidRDefault="00E32E7D" w:rsidP="009515BE">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682" w:type="pct"/>
            <w:vAlign w:val="center"/>
          </w:tcPr>
          <w:p w:rsidR="00E32E7D" w:rsidRPr="00C24267" w:rsidRDefault="00E32E7D" w:rsidP="009515BE">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682" w:type="pct"/>
            <w:vAlign w:val="center"/>
          </w:tcPr>
          <w:p w:rsidR="00E32E7D" w:rsidRPr="00C24267" w:rsidRDefault="00E32E7D" w:rsidP="009515BE">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2019–20</w:t>
            </w:r>
          </w:p>
        </w:tc>
        <w:tc>
          <w:tcPr>
            <w:tcW w:w="681" w:type="pct"/>
            <w:vAlign w:val="center"/>
          </w:tcPr>
          <w:p w:rsidR="00E32E7D" w:rsidRPr="00AE30B5" w:rsidRDefault="00E32E7D" w:rsidP="009515BE">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vertAlign w:val="superscript"/>
              </w:rPr>
            </w:pPr>
            <w:r w:rsidRPr="00AE30B5">
              <w:rPr>
                <w:b/>
              </w:rPr>
              <w:t>Total to 2019–20</w:t>
            </w:r>
          </w:p>
        </w:tc>
      </w:tr>
      <w:tr w:rsidR="00E32E7D" w:rsidRPr="0066665A" w:rsidTr="00E32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tcPr>
          <w:p w:rsidR="00E32E7D" w:rsidRPr="005C46C8" w:rsidRDefault="00E32E7D" w:rsidP="009515BE">
            <w:pPr>
              <w:pStyle w:val="TableText"/>
              <w:ind w:left="57" w:right="57"/>
            </w:pPr>
            <w:r w:rsidRPr="005C46C8">
              <w:t>Revenue</w:t>
            </w:r>
          </w:p>
        </w:tc>
        <w:tc>
          <w:tcPr>
            <w:tcW w:w="650" w:type="pct"/>
          </w:tcPr>
          <w:p w:rsidR="00E32E7D" w:rsidRPr="00E32E7D" w:rsidRDefault="00E32E7D" w:rsidP="009515BE">
            <w:pPr>
              <w:pStyle w:val="TableTextRight"/>
              <w:ind w:left="57" w:right="57"/>
              <w:cnfStyle w:val="000000100000" w:firstRow="0" w:lastRow="0" w:firstColumn="0" w:lastColumn="0" w:oddVBand="0" w:evenVBand="0" w:oddHBand="1" w:evenHBand="0" w:firstRowFirstColumn="0" w:firstRowLastColumn="0" w:lastRowFirstColumn="0" w:lastRowLastColumn="0"/>
              <w:rPr>
                <w:i w:val="0"/>
              </w:rPr>
            </w:pPr>
            <w:r w:rsidRPr="00E32E7D">
              <w:rPr>
                <w:i w:val="0"/>
              </w:rPr>
              <w:t xml:space="preserve"> 2,450.0 </w:t>
            </w:r>
          </w:p>
        </w:tc>
        <w:tc>
          <w:tcPr>
            <w:tcW w:w="682" w:type="pct"/>
          </w:tcPr>
          <w:p w:rsidR="00E32E7D" w:rsidRPr="00E32E7D" w:rsidRDefault="00E32E7D" w:rsidP="009515BE">
            <w:pPr>
              <w:pStyle w:val="TableTextRight"/>
              <w:ind w:left="57" w:right="57"/>
              <w:cnfStyle w:val="000000100000" w:firstRow="0" w:lastRow="0" w:firstColumn="0" w:lastColumn="0" w:oddVBand="0" w:evenVBand="0" w:oddHBand="1" w:evenHBand="0" w:firstRowFirstColumn="0" w:firstRowLastColumn="0" w:lastRowFirstColumn="0" w:lastRowLastColumn="0"/>
              <w:rPr>
                <w:i w:val="0"/>
              </w:rPr>
            </w:pPr>
            <w:r w:rsidRPr="00E32E7D">
              <w:rPr>
                <w:i w:val="0"/>
              </w:rPr>
              <w:t xml:space="preserve"> 2,400.0 </w:t>
            </w:r>
          </w:p>
        </w:tc>
        <w:tc>
          <w:tcPr>
            <w:tcW w:w="682" w:type="pct"/>
          </w:tcPr>
          <w:p w:rsidR="00E32E7D" w:rsidRPr="00E32E7D" w:rsidRDefault="00E32E7D" w:rsidP="009515BE">
            <w:pPr>
              <w:pStyle w:val="TableTextRight"/>
              <w:ind w:left="57" w:right="57"/>
              <w:cnfStyle w:val="000000100000" w:firstRow="0" w:lastRow="0" w:firstColumn="0" w:lastColumn="0" w:oddVBand="0" w:evenVBand="0" w:oddHBand="1" w:evenHBand="0" w:firstRowFirstColumn="0" w:firstRowLastColumn="0" w:lastRowFirstColumn="0" w:lastRowLastColumn="0"/>
              <w:rPr>
                <w:i w:val="0"/>
              </w:rPr>
            </w:pPr>
            <w:r w:rsidRPr="00E32E7D">
              <w:rPr>
                <w:i w:val="0"/>
              </w:rPr>
              <w:t xml:space="preserve"> 2,600.0 </w:t>
            </w:r>
          </w:p>
        </w:tc>
        <w:tc>
          <w:tcPr>
            <w:tcW w:w="682" w:type="pct"/>
          </w:tcPr>
          <w:p w:rsidR="00E32E7D" w:rsidRPr="00E32E7D" w:rsidRDefault="00E32E7D" w:rsidP="009515BE">
            <w:pPr>
              <w:pStyle w:val="TableTextRight"/>
              <w:ind w:left="57" w:right="57"/>
              <w:cnfStyle w:val="000000100000" w:firstRow="0" w:lastRow="0" w:firstColumn="0" w:lastColumn="0" w:oddVBand="0" w:evenVBand="0" w:oddHBand="1" w:evenHBand="0" w:firstRowFirstColumn="0" w:firstRowLastColumn="0" w:lastRowFirstColumn="0" w:lastRowLastColumn="0"/>
              <w:rPr>
                <w:i w:val="0"/>
              </w:rPr>
            </w:pPr>
            <w:r w:rsidRPr="00E32E7D">
              <w:rPr>
                <w:i w:val="0"/>
              </w:rPr>
              <w:t xml:space="preserve"> 2,650.0 </w:t>
            </w:r>
          </w:p>
        </w:tc>
        <w:tc>
          <w:tcPr>
            <w:tcW w:w="681" w:type="pct"/>
          </w:tcPr>
          <w:p w:rsidR="00E32E7D" w:rsidRPr="00E32E7D" w:rsidRDefault="00E32E7D" w:rsidP="009515BE">
            <w:pPr>
              <w:pStyle w:val="TableTextRight"/>
              <w:ind w:left="57" w:right="57"/>
              <w:cnfStyle w:val="000000100000" w:firstRow="0" w:lastRow="0" w:firstColumn="0" w:lastColumn="0" w:oddVBand="0" w:evenVBand="0" w:oddHBand="1" w:evenHBand="0" w:firstRowFirstColumn="0" w:firstRowLastColumn="0" w:lastRowFirstColumn="0" w:lastRowLastColumn="0"/>
              <w:rPr>
                <w:b/>
                <w:i w:val="0"/>
              </w:rPr>
            </w:pPr>
            <w:r w:rsidRPr="00E32E7D">
              <w:rPr>
                <w:b/>
                <w:i w:val="0"/>
              </w:rPr>
              <w:t xml:space="preserve"> 10,100.0 </w:t>
            </w:r>
          </w:p>
        </w:tc>
      </w:tr>
      <w:tr w:rsidR="00E32E7D" w:rsidRPr="0066665A" w:rsidTr="00E32E7D">
        <w:tc>
          <w:tcPr>
            <w:cnfStyle w:val="001000000000" w:firstRow="0" w:lastRow="0" w:firstColumn="1" w:lastColumn="0" w:oddVBand="0" w:evenVBand="0" w:oddHBand="0" w:evenHBand="0" w:firstRowFirstColumn="0" w:firstRowLastColumn="0" w:lastRowFirstColumn="0" w:lastRowLastColumn="0"/>
            <w:tcW w:w="1623" w:type="pct"/>
          </w:tcPr>
          <w:p w:rsidR="00E32E7D" w:rsidRPr="005C46C8" w:rsidRDefault="00E32E7D" w:rsidP="009515BE">
            <w:pPr>
              <w:pStyle w:val="TableText"/>
              <w:ind w:left="57" w:right="57"/>
            </w:pPr>
            <w:r w:rsidRPr="005C46C8">
              <w:t>Expenses</w:t>
            </w:r>
          </w:p>
        </w:tc>
        <w:tc>
          <w:tcPr>
            <w:tcW w:w="650" w:type="pct"/>
          </w:tcPr>
          <w:p w:rsidR="00E32E7D" w:rsidRPr="00E32E7D" w:rsidRDefault="00E32E7D" w:rsidP="009515BE">
            <w:pPr>
              <w:pStyle w:val="TableTextRight"/>
              <w:ind w:left="57" w:right="57"/>
              <w:cnfStyle w:val="000000000000" w:firstRow="0" w:lastRow="0" w:firstColumn="0" w:lastColumn="0" w:oddVBand="0" w:evenVBand="0" w:oddHBand="0" w:evenHBand="0" w:firstRowFirstColumn="0" w:firstRowLastColumn="0" w:lastRowFirstColumn="0" w:lastRowLastColumn="0"/>
              <w:rPr>
                <w:i w:val="0"/>
              </w:rPr>
            </w:pPr>
            <w:r w:rsidRPr="00E32E7D">
              <w:rPr>
                <w:i w:val="0"/>
              </w:rPr>
              <w:t xml:space="preserve"> 630.0 </w:t>
            </w:r>
          </w:p>
        </w:tc>
        <w:tc>
          <w:tcPr>
            <w:tcW w:w="682" w:type="pct"/>
          </w:tcPr>
          <w:p w:rsidR="00E32E7D" w:rsidRPr="00E32E7D" w:rsidRDefault="00E32E7D" w:rsidP="009515BE">
            <w:pPr>
              <w:pStyle w:val="TableTextRight"/>
              <w:ind w:left="57" w:right="57"/>
              <w:cnfStyle w:val="000000000000" w:firstRow="0" w:lastRow="0" w:firstColumn="0" w:lastColumn="0" w:oddVBand="0" w:evenVBand="0" w:oddHBand="0" w:evenHBand="0" w:firstRowFirstColumn="0" w:firstRowLastColumn="0" w:lastRowFirstColumn="0" w:lastRowLastColumn="0"/>
              <w:rPr>
                <w:i w:val="0"/>
              </w:rPr>
            </w:pPr>
            <w:r w:rsidRPr="00E32E7D">
              <w:rPr>
                <w:i w:val="0"/>
              </w:rPr>
              <w:t xml:space="preserve"> 50.0 </w:t>
            </w:r>
          </w:p>
        </w:tc>
        <w:tc>
          <w:tcPr>
            <w:tcW w:w="682" w:type="pct"/>
          </w:tcPr>
          <w:p w:rsidR="00E32E7D" w:rsidRPr="00E32E7D" w:rsidRDefault="00E32E7D" w:rsidP="009515BE">
            <w:pPr>
              <w:pStyle w:val="TableTextRight"/>
              <w:ind w:left="57" w:right="57"/>
              <w:cnfStyle w:val="000000000000" w:firstRow="0" w:lastRow="0" w:firstColumn="0" w:lastColumn="0" w:oddVBand="0" w:evenVBand="0" w:oddHBand="0" w:evenHBand="0" w:firstRowFirstColumn="0" w:firstRowLastColumn="0" w:lastRowFirstColumn="0" w:lastRowLastColumn="0"/>
              <w:rPr>
                <w:i w:val="0"/>
              </w:rPr>
            </w:pPr>
            <w:r w:rsidRPr="00E32E7D">
              <w:rPr>
                <w:i w:val="0"/>
              </w:rPr>
              <w:t xml:space="preserve"> 40.0 </w:t>
            </w:r>
          </w:p>
        </w:tc>
        <w:tc>
          <w:tcPr>
            <w:tcW w:w="682" w:type="pct"/>
          </w:tcPr>
          <w:p w:rsidR="00E32E7D" w:rsidRPr="00E32E7D" w:rsidRDefault="00E32E7D" w:rsidP="009515BE">
            <w:pPr>
              <w:pStyle w:val="TableTextRight"/>
              <w:ind w:left="57" w:right="57"/>
              <w:cnfStyle w:val="000000000000" w:firstRow="0" w:lastRow="0" w:firstColumn="0" w:lastColumn="0" w:oddVBand="0" w:evenVBand="0" w:oddHBand="0" w:evenHBand="0" w:firstRowFirstColumn="0" w:firstRowLastColumn="0" w:lastRowFirstColumn="0" w:lastRowLastColumn="0"/>
              <w:rPr>
                <w:i w:val="0"/>
              </w:rPr>
            </w:pPr>
            <w:r w:rsidRPr="00E32E7D">
              <w:rPr>
                <w:i w:val="0"/>
              </w:rPr>
              <w:t xml:space="preserve"> 30.0 </w:t>
            </w:r>
          </w:p>
        </w:tc>
        <w:tc>
          <w:tcPr>
            <w:tcW w:w="681" w:type="pct"/>
          </w:tcPr>
          <w:p w:rsidR="00E32E7D" w:rsidRPr="00E32E7D" w:rsidRDefault="00E32E7D" w:rsidP="009515BE">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sidRPr="00E32E7D">
              <w:rPr>
                <w:b/>
                <w:i w:val="0"/>
              </w:rPr>
              <w:t xml:space="preserve"> 750.0 </w:t>
            </w:r>
          </w:p>
        </w:tc>
      </w:tr>
      <w:tr w:rsidR="00E32E7D" w:rsidRPr="0066665A" w:rsidTr="00E32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tcPr>
          <w:p w:rsidR="00E32E7D" w:rsidRPr="00E32E7D" w:rsidRDefault="00E32E7D" w:rsidP="009515BE">
            <w:pPr>
              <w:pStyle w:val="TableText"/>
              <w:ind w:left="57" w:right="57"/>
              <w:rPr>
                <w:i/>
              </w:rPr>
            </w:pPr>
            <w:r w:rsidRPr="00E32E7D">
              <w:rPr>
                <w:i/>
              </w:rPr>
              <w:t>Administered expenses – ATO</w:t>
            </w:r>
          </w:p>
        </w:tc>
        <w:tc>
          <w:tcPr>
            <w:tcW w:w="650" w:type="pct"/>
          </w:tcPr>
          <w:p w:rsidR="00E32E7D" w:rsidRPr="00E32E7D" w:rsidRDefault="00E32E7D" w:rsidP="009515BE">
            <w:pPr>
              <w:pStyle w:val="TableTextRight"/>
              <w:ind w:left="57" w:right="57"/>
              <w:cnfStyle w:val="000000100000" w:firstRow="0" w:lastRow="0" w:firstColumn="0" w:lastColumn="0" w:oddVBand="0" w:evenVBand="0" w:oddHBand="1" w:evenHBand="0" w:firstRowFirstColumn="0" w:firstRowLastColumn="0" w:lastRowFirstColumn="0" w:lastRowLastColumn="0"/>
            </w:pPr>
            <w:r w:rsidRPr="00E32E7D">
              <w:t xml:space="preserve"> 650.0 </w:t>
            </w:r>
          </w:p>
        </w:tc>
        <w:tc>
          <w:tcPr>
            <w:tcW w:w="682" w:type="pct"/>
          </w:tcPr>
          <w:p w:rsidR="00E32E7D" w:rsidRPr="00E32E7D" w:rsidRDefault="00E32E7D" w:rsidP="009515BE">
            <w:pPr>
              <w:pStyle w:val="TableTextRight"/>
              <w:ind w:left="57" w:right="57"/>
              <w:cnfStyle w:val="000000100000" w:firstRow="0" w:lastRow="0" w:firstColumn="0" w:lastColumn="0" w:oddVBand="0" w:evenVBand="0" w:oddHBand="1" w:evenHBand="0" w:firstRowFirstColumn="0" w:firstRowLastColumn="0" w:lastRowFirstColumn="0" w:lastRowLastColumn="0"/>
            </w:pPr>
            <w:r w:rsidRPr="00E32E7D">
              <w:t xml:space="preserve"> 70.0 </w:t>
            </w:r>
          </w:p>
        </w:tc>
        <w:tc>
          <w:tcPr>
            <w:tcW w:w="682" w:type="pct"/>
          </w:tcPr>
          <w:p w:rsidR="00E32E7D" w:rsidRPr="00E32E7D" w:rsidRDefault="00E32E7D" w:rsidP="009515BE">
            <w:pPr>
              <w:pStyle w:val="TableTextRight"/>
              <w:ind w:left="57" w:right="57"/>
              <w:cnfStyle w:val="000000100000" w:firstRow="0" w:lastRow="0" w:firstColumn="0" w:lastColumn="0" w:oddVBand="0" w:evenVBand="0" w:oddHBand="1" w:evenHBand="0" w:firstRowFirstColumn="0" w:firstRowLastColumn="0" w:lastRowFirstColumn="0" w:lastRowLastColumn="0"/>
            </w:pPr>
            <w:r w:rsidRPr="00E32E7D">
              <w:t xml:space="preserve"> 70.0 </w:t>
            </w:r>
          </w:p>
        </w:tc>
        <w:tc>
          <w:tcPr>
            <w:tcW w:w="682" w:type="pct"/>
          </w:tcPr>
          <w:p w:rsidR="00E32E7D" w:rsidRPr="00E32E7D" w:rsidRDefault="00E32E7D" w:rsidP="009515BE">
            <w:pPr>
              <w:pStyle w:val="TableTextRight"/>
              <w:ind w:left="57" w:right="57"/>
              <w:cnfStyle w:val="000000100000" w:firstRow="0" w:lastRow="0" w:firstColumn="0" w:lastColumn="0" w:oddVBand="0" w:evenVBand="0" w:oddHBand="1" w:evenHBand="0" w:firstRowFirstColumn="0" w:firstRowLastColumn="0" w:lastRowFirstColumn="0" w:lastRowLastColumn="0"/>
            </w:pPr>
            <w:r w:rsidRPr="00E32E7D">
              <w:t xml:space="preserve"> 60.0 </w:t>
            </w:r>
          </w:p>
        </w:tc>
        <w:tc>
          <w:tcPr>
            <w:tcW w:w="681" w:type="pct"/>
          </w:tcPr>
          <w:p w:rsidR="00E32E7D" w:rsidRPr="00E32E7D" w:rsidRDefault="00E32E7D" w:rsidP="009515BE">
            <w:pPr>
              <w:pStyle w:val="TableTextRight"/>
              <w:ind w:left="57" w:right="57"/>
              <w:cnfStyle w:val="000000100000" w:firstRow="0" w:lastRow="0" w:firstColumn="0" w:lastColumn="0" w:oddVBand="0" w:evenVBand="0" w:oddHBand="1" w:evenHBand="0" w:firstRowFirstColumn="0" w:firstRowLastColumn="0" w:lastRowFirstColumn="0" w:lastRowLastColumn="0"/>
              <w:rPr>
                <w:b/>
              </w:rPr>
            </w:pPr>
            <w:r w:rsidRPr="00E32E7D">
              <w:rPr>
                <w:b/>
              </w:rPr>
              <w:t xml:space="preserve"> 850.0 </w:t>
            </w:r>
          </w:p>
        </w:tc>
      </w:tr>
      <w:tr w:rsidR="00E32E7D" w:rsidRPr="0066665A" w:rsidTr="00E32E7D">
        <w:tc>
          <w:tcPr>
            <w:cnfStyle w:val="001000000000" w:firstRow="0" w:lastRow="0" w:firstColumn="1" w:lastColumn="0" w:oddVBand="0" w:evenVBand="0" w:oddHBand="0" w:evenHBand="0" w:firstRowFirstColumn="0" w:firstRowLastColumn="0" w:lastRowFirstColumn="0" w:lastRowLastColumn="0"/>
            <w:tcW w:w="1623" w:type="pct"/>
          </w:tcPr>
          <w:p w:rsidR="00E32E7D" w:rsidRPr="00E32E7D" w:rsidRDefault="00E32E7D" w:rsidP="009515BE">
            <w:pPr>
              <w:pStyle w:val="TableText"/>
              <w:ind w:left="57" w:right="57"/>
              <w:rPr>
                <w:i/>
              </w:rPr>
            </w:pPr>
            <w:r w:rsidRPr="00E32E7D">
              <w:rPr>
                <w:i/>
              </w:rPr>
              <w:t>Departmental expenses – ATO</w:t>
            </w:r>
          </w:p>
        </w:tc>
        <w:tc>
          <w:tcPr>
            <w:tcW w:w="650" w:type="pct"/>
          </w:tcPr>
          <w:p w:rsidR="00E32E7D" w:rsidRPr="00E32E7D" w:rsidRDefault="00E32E7D" w:rsidP="009515BE">
            <w:pPr>
              <w:pStyle w:val="TableTextRight"/>
              <w:ind w:left="57" w:right="57"/>
              <w:cnfStyle w:val="000000000000" w:firstRow="0" w:lastRow="0" w:firstColumn="0" w:lastColumn="0" w:oddVBand="0" w:evenVBand="0" w:oddHBand="0" w:evenHBand="0" w:firstRowFirstColumn="0" w:firstRowLastColumn="0" w:lastRowFirstColumn="0" w:lastRowLastColumn="0"/>
            </w:pPr>
            <w:r w:rsidRPr="00E32E7D">
              <w:t xml:space="preserve">-20.0 </w:t>
            </w:r>
          </w:p>
        </w:tc>
        <w:tc>
          <w:tcPr>
            <w:tcW w:w="682" w:type="pct"/>
          </w:tcPr>
          <w:p w:rsidR="00E32E7D" w:rsidRPr="00E32E7D" w:rsidRDefault="00E32E7D" w:rsidP="009515BE">
            <w:pPr>
              <w:pStyle w:val="TableTextRight"/>
              <w:ind w:left="57" w:right="57"/>
              <w:cnfStyle w:val="000000000000" w:firstRow="0" w:lastRow="0" w:firstColumn="0" w:lastColumn="0" w:oddVBand="0" w:evenVBand="0" w:oddHBand="0" w:evenHBand="0" w:firstRowFirstColumn="0" w:firstRowLastColumn="0" w:lastRowFirstColumn="0" w:lastRowLastColumn="0"/>
            </w:pPr>
            <w:r w:rsidRPr="00E32E7D">
              <w:t xml:space="preserve">-20.0 </w:t>
            </w:r>
          </w:p>
        </w:tc>
        <w:tc>
          <w:tcPr>
            <w:tcW w:w="682" w:type="pct"/>
          </w:tcPr>
          <w:p w:rsidR="00E32E7D" w:rsidRPr="00E32E7D" w:rsidRDefault="00E32E7D" w:rsidP="009515BE">
            <w:pPr>
              <w:pStyle w:val="TableTextRight"/>
              <w:ind w:left="57" w:right="57"/>
              <w:cnfStyle w:val="000000000000" w:firstRow="0" w:lastRow="0" w:firstColumn="0" w:lastColumn="0" w:oddVBand="0" w:evenVBand="0" w:oddHBand="0" w:evenHBand="0" w:firstRowFirstColumn="0" w:firstRowLastColumn="0" w:lastRowFirstColumn="0" w:lastRowLastColumn="0"/>
            </w:pPr>
            <w:r w:rsidRPr="00E32E7D">
              <w:t xml:space="preserve">-30.0 </w:t>
            </w:r>
          </w:p>
        </w:tc>
        <w:tc>
          <w:tcPr>
            <w:tcW w:w="682" w:type="pct"/>
          </w:tcPr>
          <w:p w:rsidR="00E32E7D" w:rsidRPr="00E32E7D" w:rsidRDefault="00E32E7D" w:rsidP="009515BE">
            <w:pPr>
              <w:pStyle w:val="TableTextRight"/>
              <w:ind w:left="57" w:right="57"/>
              <w:cnfStyle w:val="000000000000" w:firstRow="0" w:lastRow="0" w:firstColumn="0" w:lastColumn="0" w:oddVBand="0" w:evenVBand="0" w:oddHBand="0" w:evenHBand="0" w:firstRowFirstColumn="0" w:firstRowLastColumn="0" w:lastRowFirstColumn="0" w:lastRowLastColumn="0"/>
            </w:pPr>
            <w:r w:rsidRPr="00E32E7D">
              <w:t xml:space="preserve">-30.0 </w:t>
            </w:r>
          </w:p>
        </w:tc>
        <w:tc>
          <w:tcPr>
            <w:tcW w:w="681" w:type="pct"/>
          </w:tcPr>
          <w:p w:rsidR="00E32E7D" w:rsidRPr="00E32E7D" w:rsidRDefault="00E32E7D" w:rsidP="009515B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E32E7D">
              <w:rPr>
                <w:b/>
              </w:rPr>
              <w:t xml:space="preserve">-100.0 </w:t>
            </w:r>
          </w:p>
        </w:tc>
      </w:tr>
      <w:tr w:rsidR="00E32E7D" w:rsidRPr="0055406D" w:rsidTr="00E32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shd w:val="clear" w:color="auto" w:fill="D7DDE9"/>
          </w:tcPr>
          <w:p w:rsidR="00E32E7D" w:rsidRPr="0055406D" w:rsidRDefault="00E32E7D" w:rsidP="009515BE">
            <w:pPr>
              <w:pStyle w:val="TableTextCentred"/>
              <w:keepNext/>
              <w:keepLines/>
              <w:ind w:left="57" w:right="57"/>
              <w:jc w:val="left"/>
              <w:rPr>
                <w:b/>
                <w:szCs w:val="20"/>
              </w:rPr>
            </w:pPr>
            <w:r w:rsidRPr="0055406D">
              <w:rPr>
                <w:b/>
                <w:szCs w:val="20"/>
              </w:rPr>
              <w:t>Total</w:t>
            </w:r>
          </w:p>
        </w:tc>
        <w:tc>
          <w:tcPr>
            <w:tcW w:w="650" w:type="pct"/>
            <w:shd w:val="clear" w:color="auto" w:fill="D7DDE9"/>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3,080.0 </w:t>
            </w:r>
          </w:p>
        </w:tc>
        <w:tc>
          <w:tcPr>
            <w:tcW w:w="682" w:type="pct"/>
            <w:shd w:val="clear" w:color="auto" w:fill="D7DDE9"/>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2,450.0 </w:t>
            </w:r>
          </w:p>
        </w:tc>
        <w:tc>
          <w:tcPr>
            <w:tcW w:w="682" w:type="pct"/>
            <w:shd w:val="clear" w:color="auto" w:fill="D7DDE9"/>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2,640.0 </w:t>
            </w:r>
          </w:p>
        </w:tc>
        <w:tc>
          <w:tcPr>
            <w:tcW w:w="682" w:type="pct"/>
            <w:shd w:val="clear" w:color="auto" w:fill="D7DDE9"/>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2,680.0 </w:t>
            </w:r>
          </w:p>
        </w:tc>
        <w:tc>
          <w:tcPr>
            <w:tcW w:w="681" w:type="pct"/>
            <w:shd w:val="clear" w:color="auto" w:fill="D7DDE9"/>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10,850.0 </w:t>
            </w:r>
          </w:p>
        </w:tc>
      </w:tr>
    </w:tbl>
    <w:p w:rsidR="00E32E7D" w:rsidRDefault="00E32E7D" w:rsidP="00E32E7D">
      <w:pPr>
        <w:pStyle w:val="Footnotes"/>
        <w:numPr>
          <w:ilvl w:val="0"/>
          <w:numId w:val="28"/>
        </w:numPr>
      </w:pPr>
      <w:r w:rsidRPr="00E214C7">
        <w:t xml:space="preserve">A positive number for the fiscal balance indicates an increase in revenue or a decrease in expenses in accrual terms. A negative number for the fiscal balance indicates an increase in expenses in accrual terms. </w:t>
      </w:r>
      <w:r>
        <w:t xml:space="preserve"> </w:t>
      </w:r>
    </w:p>
    <w:p w:rsidR="00E32E7D" w:rsidRDefault="00E32E7D" w:rsidP="00E32E7D">
      <w:pPr>
        <w:pStyle w:val="Footnotes"/>
        <w:numPr>
          <w:ilvl w:val="0"/>
          <w:numId w:val="28"/>
        </w:numPr>
      </w:pPr>
      <w:r>
        <w:t>Figures may not sum to totals due to rounding.</w:t>
      </w:r>
    </w:p>
    <w:p w:rsidR="00E32E7D" w:rsidRDefault="00E32E7D" w:rsidP="00E32E7D">
      <w:pPr>
        <w:pStyle w:val="Captionheading"/>
        <w:rPr>
          <w:vertAlign w:val="superscript"/>
        </w:rPr>
      </w:pPr>
      <w:r>
        <w:t>Table B2</w:t>
      </w:r>
      <w:r w:rsidRPr="00FE7D7D">
        <w:t xml:space="preserve">: </w:t>
      </w:r>
      <w:r>
        <w:t>A progressive superannuation system - Underlying cash</w:t>
      </w:r>
      <w:r w:rsidRPr="00FE7D7D">
        <w:t xml:space="preserve"> </w:t>
      </w:r>
      <w:proofErr w:type="gramStart"/>
      <w:r w:rsidRPr="00FE7D7D">
        <w:t>balance</w:t>
      </w:r>
      <w:r w:rsidRPr="00FE7D7D">
        <w:rPr>
          <w:vertAlign w:val="superscript"/>
        </w:rPr>
        <w:t>(</w:t>
      </w:r>
      <w:proofErr w:type="gramEnd"/>
      <w:r w:rsidRPr="00FE7D7D">
        <w:rPr>
          <w:vertAlign w:val="superscript"/>
        </w:rPr>
        <w:t>a)</w:t>
      </w:r>
      <w:r>
        <w:rPr>
          <w:vertAlign w:val="superscript"/>
        </w:rPr>
        <w:t>(b)</w:t>
      </w:r>
    </w:p>
    <w:tbl>
      <w:tblPr>
        <w:tblStyle w:val="TableGrid"/>
        <w:tblW w:w="4995" w:type="pct"/>
        <w:tblLook w:val="04A0" w:firstRow="1" w:lastRow="0" w:firstColumn="1" w:lastColumn="0" w:noHBand="0" w:noVBand="1"/>
      </w:tblPr>
      <w:tblGrid>
        <w:gridCol w:w="2699"/>
        <w:gridCol w:w="1081"/>
        <w:gridCol w:w="1134"/>
        <w:gridCol w:w="1134"/>
        <w:gridCol w:w="1134"/>
        <w:gridCol w:w="1133"/>
      </w:tblGrid>
      <w:tr w:rsidR="00E32E7D" w:rsidRPr="00EF1D6A" w:rsidTr="007322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23" w:type="pct"/>
            <w:vAlign w:val="center"/>
          </w:tcPr>
          <w:p w:rsidR="00E32E7D" w:rsidRPr="00EF1D6A" w:rsidRDefault="00E32E7D" w:rsidP="009515BE">
            <w:pPr>
              <w:pStyle w:val="TableText"/>
              <w:keepNext/>
              <w:keepLines/>
              <w:ind w:left="57" w:right="57"/>
              <w:rPr>
                <w:b/>
                <w:szCs w:val="20"/>
              </w:rPr>
            </w:pPr>
            <w:r w:rsidRPr="00EF1D6A">
              <w:rPr>
                <w:szCs w:val="20"/>
              </w:rPr>
              <w:t>($m)</w:t>
            </w:r>
          </w:p>
        </w:tc>
        <w:tc>
          <w:tcPr>
            <w:tcW w:w="650" w:type="pct"/>
            <w:vAlign w:val="center"/>
          </w:tcPr>
          <w:p w:rsidR="00E32E7D" w:rsidRPr="00C24267" w:rsidRDefault="00E32E7D" w:rsidP="009515BE">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82" w:type="pct"/>
            <w:vAlign w:val="center"/>
          </w:tcPr>
          <w:p w:rsidR="00E32E7D" w:rsidRPr="00C24267" w:rsidRDefault="00E32E7D" w:rsidP="009515BE">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682" w:type="pct"/>
            <w:vAlign w:val="center"/>
          </w:tcPr>
          <w:p w:rsidR="00E32E7D" w:rsidRPr="00C24267" w:rsidRDefault="00E32E7D" w:rsidP="009515BE">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682" w:type="pct"/>
            <w:vAlign w:val="center"/>
          </w:tcPr>
          <w:p w:rsidR="00E32E7D" w:rsidRPr="00C24267" w:rsidRDefault="00E32E7D" w:rsidP="009515BE">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2019–20</w:t>
            </w:r>
          </w:p>
        </w:tc>
        <w:tc>
          <w:tcPr>
            <w:tcW w:w="681" w:type="pct"/>
            <w:vAlign w:val="center"/>
          </w:tcPr>
          <w:p w:rsidR="00E32E7D" w:rsidRPr="00AE30B5" w:rsidRDefault="00E32E7D" w:rsidP="009515BE">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vertAlign w:val="superscript"/>
              </w:rPr>
            </w:pPr>
            <w:r w:rsidRPr="00AE30B5">
              <w:rPr>
                <w:b/>
              </w:rPr>
              <w:t>Total to 2019–20</w:t>
            </w:r>
          </w:p>
        </w:tc>
      </w:tr>
      <w:tr w:rsidR="00E32E7D" w:rsidRPr="0066665A" w:rsidTr="00732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tcPr>
          <w:p w:rsidR="00E32E7D" w:rsidRPr="00E47C39" w:rsidRDefault="00E32E7D" w:rsidP="009515BE">
            <w:pPr>
              <w:pStyle w:val="TableText"/>
              <w:ind w:left="57" w:right="57"/>
            </w:pPr>
            <w:r w:rsidRPr="00E47C39">
              <w:t>Receipts</w:t>
            </w:r>
          </w:p>
        </w:tc>
        <w:tc>
          <w:tcPr>
            <w:tcW w:w="650" w:type="pct"/>
          </w:tcPr>
          <w:p w:rsidR="00E32E7D" w:rsidRPr="00BD26A8"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pPr>
            <w:r w:rsidRPr="00ED43F1">
              <w:t xml:space="preserve"> 2,450.0 </w:t>
            </w:r>
          </w:p>
        </w:tc>
        <w:tc>
          <w:tcPr>
            <w:tcW w:w="682" w:type="pct"/>
          </w:tcPr>
          <w:p w:rsidR="00E32E7D" w:rsidRPr="00BD26A8"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pPr>
            <w:r w:rsidRPr="00ED43F1">
              <w:t xml:space="preserve"> 2,450.0 </w:t>
            </w:r>
          </w:p>
        </w:tc>
        <w:tc>
          <w:tcPr>
            <w:tcW w:w="682" w:type="pct"/>
          </w:tcPr>
          <w:p w:rsidR="00E32E7D" w:rsidRPr="00BD26A8"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pPr>
            <w:r w:rsidRPr="00ED43F1">
              <w:t xml:space="preserve"> 2,700.0 </w:t>
            </w:r>
          </w:p>
        </w:tc>
        <w:tc>
          <w:tcPr>
            <w:tcW w:w="682" w:type="pct"/>
          </w:tcPr>
          <w:p w:rsidR="00E32E7D" w:rsidRPr="00BD26A8"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pPr>
            <w:r w:rsidRPr="00ED43F1">
              <w:t xml:space="preserve"> 2,800.0 </w:t>
            </w:r>
          </w:p>
        </w:tc>
        <w:tc>
          <w:tcPr>
            <w:tcW w:w="681" w:type="pct"/>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10,400.0 </w:t>
            </w:r>
          </w:p>
        </w:tc>
      </w:tr>
      <w:tr w:rsidR="00E32E7D" w:rsidRPr="0066665A" w:rsidTr="007322AA">
        <w:tc>
          <w:tcPr>
            <w:cnfStyle w:val="001000000000" w:firstRow="0" w:lastRow="0" w:firstColumn="1" w:lastColumn="0" w:oddVBand="0" w:evenVBand="0" w:oddHBand="0" w:evenHBand="0" w:firstRowFirstColumn="0" w:firstRowLastColumn="0" w:lastRowFirstColumn="0" w:lastRowLastColumn="0"/>
            <w:tcW w:w="1623" w:type="pct"/>
          </w:tcPr>
          <w:p w:rsidR="00E32E7D" w:rsidRDefault="00E32E7D" w:rsidP="009515BE">
            <w:pPr>
              <w:pStyle w:val="TableText"/>
              <w:ind w:left="57" w:right="57"/>
            </w:pPr>
            <w:r w:rsidRPr="00E47C39">
              <w:t>Payments</w:t>
            </w:r>
          </w:p>
        </w:tc>
        <w:tc>
          <w:tcPr>
            <w:tcW w:w="650" w:type="pct"/>
          </w:tcPr>
          <w:p w:rsidR="00E32E7D" w:rsidRPr="00BD26A8" w:rsidRDefault="00E32E7D"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pPr>
            <w:r w:rsidRPr="00ED43F1">
              <w:t xml:space="preserve">-20.0 </w:t>
            </w:r>
          </w:p>
        </w:tc>
        <w:tc>
          <w:tcPr>
            <w:tcW w:w="682" w:type="pct"/>
          </w:tcPr>
          <w:p w:rsidR="00E32E7D" w:rsidRPr="00BD26A8" w:rsidRDefault="00E32E7D"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pPr>
            <w:r w:rsidRPr="00ED43F1">
              <w:t xml:space="preserve"> 520.0 </w:t>
            </w:r>
          </w:p>
        </w:tc>
        <w:tc>
          <w:tcPr>
            <w:tcW w:w="682" w:type="pct"/>
          </w:tcPr>
          <w:p w:rsidR="00E32E7D" w:rsidRPr="00BD26A8" w:rsidRDefault="00E32E7D"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pPr>
            <w:r w:rsidRPr="00ED43F1">
              <w:t xml:space="preserve"> 120.0 </w:t>
            </w:r>
          </w:p>
        </w:tc>
        <w:tc>
          <w:tcPr>
            <w:tcW w:w="682" w:type="pct"/>
          </w:tcPr>
          <w:p w:rsidR="00E32E7D" w:rsidRPr="00BD26A8" w:rsidRDefault="00E32E7D"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pPr>
            <w:r w:rsidRPr="00ED43F1">
              <w:t xml:space="preserve"> 50.0 </w:t>
            </w:r>
          </w:p>
        </w:tc>
        <w:tc>
          <w:tcPr>
            <w:tcW w:w="681" w:type="pct"/>
          </w:tcPr>
          <w:p w:rsidR="00E32E7D" w:rsidRPr="007961A0" w:rsidRDefault="00E32E7D"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rPr>
                <w:b/>
              </w:rPr>
            </w:pPr>
            <w:r w:rsidRPr="00221AEB">
              <w:rPr>
                <w:b/>
              </w:rPr>
              <w:t xml:space="preserve"> 670.0 </w:t>
            </w:r>
          </w:p>
        </w:tc>
      </w:tr>
      <w:tr w:rsidR="00E32E7D" w:rsidRPr="0066665A" w:rsidTr="00732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tcPr>
          <w:p w:rsidR="00E32E7D" w:rsidRPr="00E32E7D" w:rsidRDefault="00E32E7D" w:rsidP="009515BE">
            <w:pPr>
              <w:pStyle w:val="TableText"/>
              <w:ind w:left="57" w:right="57"/>
              <w:rPr>
                <w:i/>
              </w:rPr>
            </w:pPr>
            <w:r w:rsidRPr="00E32E7D">
              <w:rPr>
                <w:i/>
              </w:rPr>
              <w:t>Administered expenses – ATO</w:t>
            </w:r>
          </w:p>
        </w:tc>
        <w:tc>
          <w:tcPr>
            <w:tcW w:w="650" w:type="pct"/>
          </w:tcPr>
          <w:p w:rsidR="00E32E7D" w:rsidRPr="007F09D9"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i/>
              </w:rPr>
            </w:pPr>
            <w:r w:rsidRPr="007F09D9">
              <w:rPr>
                <w:i/>
              </w:rPr>
              <w:t xml:space="preserve"> -   </w:t>
            </w:r>
          </w:p>
        </w:tc>
        <w:tc>
          <w:tcPr>
            <w:tcW w:w="682" w:type="pct"/>
          </w:tcPr>
          <w:p w:rsidR="00E32E7D" w:rsidRPr="007F09D9"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i/>
              </w:rPr>
            </w:pPr>
            <w:r w:rsidRPr="007F09D9">
              <w:rPr>
                <w:i/>
              </w:rPr>
              <w:t xml:space="preserve"> 540.0 </w:t>
            </w:r>
          </w:p>
        </w:tc>
        <w:tc>
          <w:tcPr>
            <w:tcW w:w="682" w:type="pct"/>
          </w:tcPr>
          <w:p w:rsidR="00E32E7D" w:rsidRPr="007F09D9"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i/>
              </w:rPr>
            </w:pPr>
            <w:r w:rsidRPr="007F09D9">
              <w:rPr>
                <w:i/>
              </w:rPr>
              <w:t xml:space="preserve"> 150.0 </w:t>
            </w:r>
          </w:p>
        </w:tc>
        <w:tc>
          <w:tcPr>
            <w:tcW w:w="682" w:type="pct"/>
          </w:tcPr>
          <w:p w:rsidR="00E32E7D" w:rsidRPr="007F09D9"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i/>
              </w:rPr>
            </w:pPr>
            <w:r w:rsidRPr="007F09D9">
              <w:rPr>
                <w:i/>
              </w:rPr>
              <w:t xml:space="preserve"> 80.0 </w:t>
            </w:r>
          </w:p>
        </w:tc>
        <w:tc>
          <w:tcPr>
            <w:tcW w:w="681" w:type="pct"/>
          </w:tcPr>
          <w:p w:rsidR="00E32E7D" w:rsidRPr="007F09D9"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i/>
              </w:rPr>
            </w:pPr>
            <w:r w:rsidRPr="007F09D9">
              <w:rPr>
                <w:b/>
                <w:i/>
              </w:rPr>
              <w:t xml:space="preserve"> 770.0 </w:t>
            </w:r>
          </w:p>
        </w:tc>
      </w:tr>
      <w:tr w:rsidR="00E32E7D" w:rsidRPr="0066665A" w:rsidTr="007322AA">
        <w:tc>
          <w:tcPr>
            <w:cnfStyle w:val="001000000000" w:firstRow="0" w:lastRow="0" w:firstColumn="1" w:lastColumn="0" w:oddVBand="0" w:evenVBand="0" w:oddHBand="0" w:evenHBand="0" w:firstRowFirstColumn="0" w:firstRowLastColumn="0" w:lastRowFirstColumn="0" w:lastRowLastColumn="0"/>
            <w:tcW w:w="1623" w:type="pct"/>
          </w:tcPr>
          <w:p w:rsidR="00E32E7D" w:rsidRPr="00E32E7D" w:rsidRDefault="00E32E7D" w:rsidP="009515BE">
            <w:pPr>
              <w:pStyle w:val="TableText"/>
              <w:ind w:left="57" w:right="57"/>
              <w:rPr>
                <w:i/>
              </w:rPr>
            </w:pPr>
            <w:r w:rsidRPr="00E32E7D">
              <w:rPr>
                <w:i/>
              </w:rPr>
              <w:t>Departmental expenses – ATO</w:t>
            </w:r>
          </w:p>
        </w:tc>
        <w:tc>
          <w:tcPr>
            <w:tcW w:w="650" w:type="pct"/>
          </w:tcPr>
          <w:p w:rsidR="00E32E7D" w:rsidRPr="007F09D9" w:rsidRDefault="00E32E7D"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rPr>
                <w:i/>
              </w:rPr>
            </w:pPr>
            <w:r w:rsidRPr="007F09D9">
              <w:rPr>
                <w:i/>
              </w:rPr>
              <w:t xml:space="preserve">-20.0 </w:t>
            </w:r>
          </w:p>
        </w:tc>
        <w:tc>
          <w:tcPr>
            <w:tcW w:w="682" w:type="pct"/>
          </w:tcPr>
          <w:p w:rsidR="00E32E7D" w:rsidRPr="007F09D9" w:rsidRDefault="00E32E7D"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rPr>
                <w:i/>
              </w:rPr>
            </w:pPr>
            <w:r w:rsidRPr="007F09D9">
              <w:rPr>
                <w:i/>
              </w:rPr>
              <w:t xml:space="preserve">-20.0 </w:t>
            </w:r>
          </w:p>
        </w:tc>
        <w:tc>
          <w:tcPr>
            <w:tcW w:w="682" w:type="pct"/>
          </w:tcPr>
          <w:p w:rsidR="00E32E7D" w:rsidRPr="007F09D9" w:rsidRDefault="00E32E7D"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rPr>
                <w:i/>
              </w:rPr>
            </w:pPr>
            <w:r w:rsidRPr="007F09D9">
              <w:rPr>
                <w:i/>
              </w:rPr>
              <w:t xml:space="preserve">-30.0 </w:t>
            </w:r>
          </w:p>
        </w:tc>
        <w:tc>
          <w:tcPr>
            <w:tcW w:w="682" w:type="pct"/>
          </w:tcPr>
          <w:p w:rsidR="00E32E7D" w:rsidRPr="007F09D9" w:rsidRDefault="00E32E7D"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rPr>
                <w:i/>
              </w:rPr>
            </w:pPr>
            <w:r w:rsidRPr="007F09D9">
              <w:rPr>
                <w:i/>
              </w:rPr>
              <w:t xml:space="preserve">-30.0 </w:t>
            </w:r>
          </w:p>
        </w:tc>
        <w:tc>
          <w:tcPr>
            <w:tcW w:w="681" w:type="pct"/>
          </w:tcPr>
          <w:p w:rsidR="00E32E7D" w:rsidRPr="007F09D9" w:rsidRDefault="00E32E7D" w:rsidP="009515BE">
            <w:pPr>
              <w:pStyle w:val="TableTextCentred"/>
              <w:ind w:left="57" w:right="57"/>
              <w:jc w:val="right"/>
              <w:cnfStyle w:val="000000000000" w:firstRow="0" w:lastRow="0" w:firstColumn="0" w:lastColumn="0" w:oddVBand="0" w:evenVBand="0" w:oddHBand="0" w:evenHBand="0" w:firstRowFirstColumn="0" w:firstRowLastColumn="0" w:lastRowFirstColumn="0" w:lastRowLastColumn="0"/>
              <w:rPr>
                <w:b/>
                <w:i/>
              </w:rPr>
            </w:pPr>
            <w:r w:rsidRPr="007F09D9">
              <w:rPr>
                <w:b/>
                <w:i/>
              </w:rPr>
              <w:t xml:space="preserve">-100.0 </w:t>
            </w:r>
          </w:p>
        </w:tc>
      </w:tr>
      <w:tr w:rsidR="00E32E7D" w:rsidRPr="0055406D" w:rsidTr="00732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shd w:val="clear" w:color="auto" w:fill="D7DDE9"/>
          </w:tcPr>
          <w:p w:rsidR="00E32E7D" w:rsidRPr="0055406D" w:rsidRDefault="00E32E7D" w:rsidP="009515BE">
            <w:pPr>
              <w:pStyle w:val="TableTextCentred"/>
              <w:keepNext/>
              <w:keepLines/>
              <w:ind w:left="57" w:right="57"/>
              <w:jc w:val="left"/>
              <w:rPr>
                <w:b/>
                <w:szCs w:val="20"/>
              </w:rPr>
            </w:pPr>
            <w:r w:rsidRPr="0055406D">
              <w:rPr>
                <w:b/>
                <w:szCs w:val="20"/>
              </w:rPr>
              <w:t>Total</w:t>
            </w:r>
          </w:p>
        </w:tc>
        <w:tc>
          <w:tcPr>
            <w:tcW w:w="650" w:type="pct"/>
            <w:shd w:val="clear" w:color="auto" w:fill="D7DDE9"/>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2,430.0 </w:t>
            </w:r>
          </w:p>
        </w:tc>
        <w:tc>
          <w:tcPr>
            <w:tcW w:w="682" w:type="pct"/>
            <w:shd w:val="clear" w:color="auto" w:fill="D7DDE9"/>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2,970.0 </w:t>
            </w:r>
          </w:p>
        </w:tc>
        <w:tc>
          <w:tcPr>
            <w:tcW w:w="682" w:type="pct"/>
            <w:shd w:val="clear" w:color="auto" w:fill="D7DDE9"/>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2,820.0 </w:t>
            </w:r>
          </w:p>
        </w:tc>
        <w:tc>
          <w:tcPr>
            <w:tcW w:w="682" w:type="pct"/>
            <w:shd w:val="clear" w:color="auto" w:fill="D7DDE9"/>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2,850.0 </w:t>
            </w:r>
          </w:p>
        </w:tc>
        <w:tc>
          <w:tcPr>
            <w:tcW w:w="681" w:type="pct"/>
            <w:shd w:val="clear" w:color="auto" w:fill="D7DDE9"/>
          </w:tcPr>
          <w:p w:rsidR="00E32E7D" w:rsidRPr="007961A0" w:rsidRDefault="00E32E7D" w:rsidP="009515BE">
            <w:pPr>
              <w:pStyle w:val="TableTextCentred"/>
              <w:ind w:left="57" w:right="57"/>
              <w:jc w:val="right"/>
              <w:cnfStyle w:val="000000100000" w:firstRow="0" w:lastRow="0" w:firstColumn="0" w:lastColumn="0" w:oddVBand="0" w:evenVBand="0" w:oddHBand="1" w:evenHBand="0" w:firstRowFirstColumn="0" w:firstRowLastColumn="0" w:lastRowFirstColumn="0" w:lastRowLastColumn="0"/>
              <w:rPr>
                <w:b/>
              </w:rPr>
            </w:pPr>
            <w:r w:rsidRPr="00221AEB">
              <w:rPr>
                <w:b/>
              </w:rPr>
              <w:t xml:space="preserve"> 11,070.0 </w:t>
            </w:r>
          </w:p>
        </w:tc>
      </w:tr>
    </w:tbl>
    <w:p w:rsidR="00E32E7D" w:rsidRDefault="00E32E7D" w:rsidP="00E32E7D">
      <w:pPr>
        <w:pStyle w:val="Footnotes"/>
        <w:numPr>
          <w:ilvl w:val="0"/>
          <w:numId w:val="25"/>
        </w:numPr>
      </w:pPr>
      <w:r w:rsidRPr="00E214C7" w:rsidDel="0066665A">
        <w:t>A positive number for the underlying cash balance indicates an increase in revenue or a decrease in expenses in cash terms.</w:t>
      </w:r>
      <w:r w:rsidRPr="00E214C7">
        <w:t xml:space="preserve">  </w:t>
      </w:r>
      <w:r w:rsidRPr="00E214C7" w:rsidDel="0066665A">
        <w:t xml:space="preserve">A negative number for the underlying cash balance indicates an increase in </w:t>
      </w:r>
      <w:r>
        <w:t>outlays</w:t>
      </w:r>
      <w:r w:rsidRPr="00E214C7" w:rsidDel="0066665A">
        <w:t xml:space="preserve"> in cash terms.</w:t>
      </w:r>
      <w:r>
        <w:t xml:space="preserve">  </w:t>
      </w:r>
    </w:p>
    <w:p w:rsidR="00E32E7D" w:rsidRDefault="00E32E7D" w:rsidP="009515BE">
      <w:pPr>
        <w:pStyle w:val="Footnotes"/>
        <w:numPr>
          <w:ilvl w:val="0"/>
          <w:numId w:val="25"/>
        </w:numPr>
      </w:pPr>
      <w:r>
        <w:t>Figures may not sum to totals due to rounding.</w:t>
      </w:r>
    </w:p>
    <w:sectPr w:rsidR="00E32E7D" w:rsidSect="00E32E7D">
      <w:headerReference w:type="first" r:id="rId19"/>
      <w:footerReference w:type="first" r:id="rId20"/>
      <w:pgSz w:w="11907" w:h="16840" w:code="9"/>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C40" w:rsidRDefault="00E76C40" w:rsidP="008F588A">
      <w:pPr>
        <w:spacing w:line="240" w:lineRule="auto"/>
      </w:pPr>
      <w:r>
        <w:separator/>
      </w:r>
    </w:p>
    <w:p w:rsidR="00E76C40" w:rsidRDefault="00E76C40"/>
  </w:endnote>
  <w:endnote w:type="continuationSeparator" w:id="0">
    <w:p w:rsidR="00E76C40" w:rsidRDefault="00E76C40" w:rsidP="008F588A">
      <w:pPr>
        <w:spacing w:line="240" w:lineRule="auto"/>
      </w:pPr>
      <w:r>
        <w:continuationSeparator/>
      </w:r>
    </w:p>
    <w:p w:rsidR="00E76C40" w:rsidRDefault="00E76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40" w:rsidRPr="00C24267" w:rsidRDefault="00E76C40"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82F6B">
      <w:rPr>
        <w:noProof/>
      </w:rPr>
      <w:t>3</w:t>
    </w:r>
    <w:r w:rsidRPr="00C24267">
      <w:fldChar w:fldCharType="end"/>
    </w:r>
    <w:r w:rsidRPr="00C24267">
      <w:t xml:space="preserve"> of </w:t>
    </w:r>
    <w:fldSimple w:instr=" NUMPAGES  \* Arabic  \* MERGEFORMAT ">
      <w:r w:rsidR="00E82F6B">
        <w:rPr>
          <w:noProof/>
        </w:rPr>
        <w:t>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40" w:rsidRPr="00C24267" w:rsidRDefault="00E76C40" w:rsidP="00C24267">
    <w:pPr>
      <w:pStyle w:val="Letterfooter"/>
    </w:pPr>
    <w:r w:rsidRPr="00C24267">
      <w:t>Parliamentary Budget Office   PO Box 6010   Parliament House   Canberra ACT 2600</w:t>
    </w:r>
  </w:p>
  <w:p w:rsidR="00E76C40" w:rsidRPr="00C24267" w:rsidRDefault="00E76C40"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40" w:rsidRPr="00C24267" w:rsidRDefault="00E76C40"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82F6B">
      <w:rPr>
        <w:noProof/>
      </w:rPr>
      <w:t>2</w:t>
    </w:r>
    <w:r w:rsidRPr="00C24267">
      <w:fldChar w:fldCharType="end"/>
    </w:r>
    <w:r w:rsidRPr="00C24267">
      <w:t xml:space="preserve"> of </w:t>
    </w:r>
    <w:fldSimple w:instr=" NUMPAGES  \* Arabic  \* MERGEFORMAT ">
      <w:r w:rsidR="00E82F6B">
        <w:rPr>
          <w:noProof/>
        </w:rPr>
        <w:t>7</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40" w:rsidRPr="00C24267" w:rsidRDefault="00E76C40"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82F6B">
      <w:rPr>
        <w:noProof/>
      </w:rPr>
      <w:t>6</w:t>
    </w:r>
    <w:r w:rsidRPr="00C24267">
      <w:fldChar w:fldCharType="end"/>
    </w:r>
    <w:r w:rsidRPr="00C24267">
      <w:t xml:space="preserve"> of </w:t>
    </w:r>
    <w:fldSimple w:instr=" NUMPAGES  \* Arabic  \* MERGEFORMAT ">
      <w:r w:rsidR="00E82F6B">
        <w:rPr>
          <w:noProof/>
        </w:rPr>
        <w:t>7</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40" w:rsidRPr="00C24267" w:rsidRDefault="00E76C40"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82F6B">
      <w:rPr>
        <w:noProof/>
      </w:rPr>
      <w:t>7</w:t>
    </w:r>
    <w:r w:rsidRPr="00C24267">
      <w:fldChar w:fldCharType="end"/>
    </w:r>
    <w:r w:rsidRPr="00C24267">
      <w:t xml:space="preserve"> of </w:t>
    </w:r>
    <w:fldSimple w:instr=" NUMPAGES  \* Arabic  \* MERGEFORMAT ">
      <w:r w:rsidR="00E82F6B">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C40" w:rsidRDefault="00E76C40" w:rsidP="008F588A">
      <w:pPr>
        <w:spacing w:line="240" w:lineRule="auto"/>
      </w:pPr>
      <w:r>
        <w:separator/>
      </w:r>
    </w:p>
    <w:p w:rsidR="00E76C40" w:rsidRDefault="00E76C40"/>
  </w:footnote>
  <w:footnote w:type="continuationSeparator" w:id="0">
    <w:p w:rsidR="00E76C40" w:rsidRDefault="00E76C40" w:rsidP="008F588A">
      <w:pPr>
        <w:spacing w:line="240" w:lineRule="auto"/>
      </w:pPr>
      <w:r>
        <w:continuationSeparator/>
      </w:r>
    </w:p>
    <w:p w:rsidR="00E76C40" w:rsidRDefault="00E76C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40" w:rsidRPr="009515BE" w:rsidRDefault="00E76C40" w:rsidP="00C17112">
    <w:pPr>
      <w:pStyle w:val="Header"/>
      <w:spacing w:before="0" w:after="0"/>
      <w:jc w:val="right"/>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40" w:rsidRDefault="00E76C40" w:rsidP="00CB40E1">
    <w:pPr>
      <w:pStyle w:val="Header"/>
    </w:pPr>
    <w:r>
      <w:rPr>
        <w:noProof/>
        <w:lang w:eastAsia="en-AU"/>
      </w:rPr>
      <w:drawing>
        <wp:inline distT="0" distB="0" distL="0" distR="0" wp14:anchorId="0F377ACE" wp14:editId="5E6EDAF2">
          <wp:extent cx="2696845" cy="5721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E76C40" w:rsidRPr="00DA1C8A" w:rsidRDefault="00E76C40" w:rsidP="00002D5D">
    <w:pPr>
      <w:pStyle w:val="PBOheader"/>
      <w:spacing w:before="720"/>
      <w:ind w:left="5783"/>
      <w:rPr>
        <w:b w:val="0"/>
      </w:rPr>
    </w:pPr>
    <w:r>
      <w:t>P</w:t>
    </w:r>
    <w:r w:rsidRPr="009030A0">
      <w:t>hil Bowen PSM FCPA</w:t>
    </w:r>
    <w:r>
      <w:br/>
    </w:r>
    <w:r w:rsidRPr="009030A0">
      <w:t>Parliamentary Budget Officer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40" w:rsidRPr="00C17112" w:rsidRDefault="00E76C40" w:rsidP="00C17112">
    <w:pPr>
      <w:pStyle w:val="Header"/>
    </w:pPr>
    <w:r>
      <w:rPr>
        <w:noProof/>
        <w:lang w:eastAsia="en-AU"/>
      </w:rPr>
      <w:drawing>
        <wp:inline distT="0" distB="0" distL="0" distR="0" wp14:anchorId="3A12519A" wp14:editId="6BD16246">
          <wp:extent cx="2696845" cy="57213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40" w:rsidRPr="009515BE" w:rsidRDefault="00E76C40" w:rsidP="00C17112">
    <w:pPr>
      <w:pStyle w:val="Header"/>
      <w:spacing w:before="0" w:after="0"/>
      <w:jc w:val="right"/>
      <w:rPr>
        <w:b/>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40" w:rsidRPr="009515BE" w:rsidRDefault="00E76C40" w:rsidP="00C17112">
    <w:pPr>
      <w:pStyle w:val="Header"/>
      <w:spacing w:before="0" w:after="0"/>
      <w:jc w:val="right"/>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D16601"/>
    <w:multiLevelType w:val="hybridMultilevel"/>
    <w:tmpl w:val="9826744E"/>
    <w:lvl w:ilvl="0" w:tplc="C75CAAD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30E45E35"/>
    <w:multiLevelType w:val="hybridMultilevel"/>
    <w:tmpl w:val="60A06D20"/>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8">
    <w:nsid w:val="665E7B5A"/>
    <w:multiLevelType w:val="hybridMultilevel"/>
    <w:tmpl w:val="F2C28104"/>
    <w:lvl w:ilvl="0" w:tplc="926CBE88">
      <w:start w:val="1"/>
      <w:numFmt w:val="bullet"/>
      <w:lvlText w:val=""/>
      <w:lvlJc w:val="left"/>
      <w:pPr>
        <w:ind w:left="360" w:hanging="360"/>
      </w:pPr>
      <w:rPr>
        <w:rFonts w:ascii="Symbol" w:hAnsi="Symbol" w:hint="default"/>
      </w:rPr>
    </w:lvl>
    <w:lvl w:ilvl="1" w:tplc="9CA266AC">
      <w:start w:val="1"/>
      <w:numFmt w:val="bullet"/>
      <w:lvlText w:val="-"/>
      <w:lvlJc w:val="left"/>
      <w:pPr>
        <w:ind w:left="1080" w:hanging="360"/>
      </w:pPr>
      <w:rPr>
        <w:rFonts w:ascii="Times New Roman" w:hAnsi="Times New Roman" w:cs="Times New Roman" w:hint="default"/>
      </w:rPr>
    </w:lvl>
    <w:lvl w:ilvl="2" w:tplc="91389894">
      <w:start w:val="1"/>
      <w:numFmt w:val="bullet"/>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E076396"/>
    <w:multiLevelType w:val="hybridMultilevel"/>
    <w:tmpl w:val="8C4E0C96"/>
    <w:lvl w:ilvl="0" w:tplc="4F84EEB8">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0">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3"/>
  </w:num>
  <w:num w:numId="2">
    <w:abstractNumId w:val="6"/>
  </w:num>
  <w:num w:numId="3">
    <w:abstractNumId w:val="4"/>
  </w:num>
  <w:num w:numId="4">
    <w:abstractNumId w:val="5"/>
  </w:num>
  <w:num w:numId="5">
    <w:abstractNumId w:val="10"/>
  </w:num>
  <w:num w:numId="6">
    <w:abstractNumId w:val="7"/>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1"/>
  </w:num>
  <w:num w:numId="12">
    <w:abstractNumId w:val="0"/>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8"/>
  </w:num>
  <w:num w:numId="17">
    <w:abstractNumId w:val="7"/>
    <w:lvlOverride w:ilvl="0">
      <w:startOverride w:val="1"/>
    </w:lvlOverride>
  </w:num>
  <w:num w:numId="18">
    <w:abstractNumId w:val="9"/>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num>
  <w:num w:numId="27">
    <w:abstractNumId w:val="2"/>
  </w:num>
  <w:num w:numId="28">
    <w:abstractNumId w:val="7"/>
    <w:lvlOverride w:ilvl="0">
      <w:startOverride w:val="1"/>
    </w:lvlOverride>
  </w:num>
  <w:num w:numId="29">
    <w:abstractNumId w:val="7"/>
  </w:num>
  <w:num w:numId="30">
    <w:abstractNumId w:val="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CDE"/>
    <w:rsid w:val="00002D5D"/>
    <w:rsid w:val="00015FB2"/>
    <w:rsid w:val="00023A4F"/>
    <w:rsid w:val="00040DCE"/>
    <w:rsid w:val="000442EC"/>
    <w:rsid w:val="00074686"/>
    <w:rsid w:val="00074B44"/>
    <w:rsid w:val="00082738"/>
    <w:rsid w:val="00087948"/>
    <w:rsid w:val="00096F3A"/>
    <w:rsid w:val="000B0BF1"/>
    <w:rsid w:val="000C1A75"/>
    <w:rsid w:val="000C1D9A"/>
    <w:rsid w:val="0012009C"/>
    <w:rsid w:val="001278D0"/>
    <w:rsid w:val="0014239B"/>
    <w:rsid w:val="0019404C"/>
    <w:rsid w:val="001A02D1"/>
    <w:rsid w:val="001D4940"/>
    <w:rsid w:val="001F770C"/>
    <w:rsid w:val="00215540"/>
    <w:rsid w:val="00220BE5"/>
    <w:rsid w:val="00221AEB"/>
    <w:rsid w:val="002422A3"/>
    <w:rsid w:val="00264B0B"/>
    <w:rsid w:val="002707C7"/>
    <w:rsid w:val="002730FD"/>
    <w:rsid w:val="00283322"/>
    <w:rsid w:val="002A0295"/>
    <w:rsid w:val="002A5CBF"/>
    <w:rsid w:val="00300B44"/>
    <w:rsid w:val="00304B8C"/>
    <w:rsid w:val="0030599F"/>
    <w:rsid w:val="00307C32"/>
    <w:rsid w:val="00315E34"/>
    <w:rsid w:val="003252E9"/>
    <w:rsid w:val="00326DE2"/>
    <w:rsid w:val="00381AD3"/>
    <w:rsid w:val="003D7744"/>
    <w:rsid w:val="003E4F5F"/>
    <w:rsid w:val="003F73CA"/>
    <w:rsid w:val="00440E32"/>
    <w:rsid w:val="00461597"/>
    <w:rsid w:val="00474839"/>
    <w:rsid w:val="00485374"/>
    <w:rsid w:val="004926C5"/>
    <w:rsid w:val="004C26A1"/>
    <w:rsid w:val="004C283B"/>
    <w:rsid w:val="004D13ED"/>
    <w:rsid w:val="004D5525"/>
    <w:rsid w:val="005035DA"/>
    <w:rsid w:val="00507897"/>
    <w:rsid w:val="005152FD"/>
    <w:rsid w:val="00515A85"/>
    <w:rsid w:val="00545F24"/>
    <w:rsid w:val="0055581F"/>
    <w:rsid w:val="0056229A"/>
    <w:rsid w:val="00570154"/>
    <w:rsid w:val="00570B5A"/>
    <w:rsid w:val="00587422"/>
    <w:rsid w:val="00593668"/>
    <w:rsid w:val="005A3BBA"/>
    <w:rsid w:val="005B1A4A"/>
    <w:rsid w:val="005B6D23"/>
    <w:rsid w:val="005C273A"/>
    <w:rsid w:val="005C6967"/>
    <w:rsid w:val="005E3562"/>
    <w:rsid w:val="005E3CDE"/>
    <w:rsid w:val="005F7DE0"/>
    <w:rsid w:val="00640346"/>
    <w:rsid w:val="0064050F"/>
    <w:rsid w:val="00660385"/>
    <w:rsid w:val="00662E65"/>
    <w:rsid w:val="0066665A"/>
    <w:rsid w:val="00692DD8"/>
    <w:rsid w:val="006A5B5E"/>
    <w:rsid w:val="006C39A7"/>
    <w:rsid w:val="006E4B08"/>
    <w:rsid w:val="006F0CE9"/>
    <w:rsid w:val="006F1DAB"/>
    <w:rsid w:val="007202A8"/>
    <w:rsid w:val="007229A9"/>
    <w:rsid w:val="00743F0F"/>
    <w:rsid w:val="00747311"/>
    <w:rsid w:val="007524F1"/>
    <w:rsid w:val="007961A0"/>
    <w:rsid w:val="00796DB1"/>
    <w:rsid w:val="007A2BAE"/>
    <w:rsid w:val="007B029A"/>
    <w:rsid w:val="007D33AA"/>
    <w:rsid w:val="007D3577"/>
    <w:rsid w:val="007D6FA2"/>
    <w:rsid w:val="007E7C39"/>
    <w:rsid w:val="007F09D9"/>
    <w:rsid w:val="007F7BCF"/>
    <w:rsid w:val="008030EC"/>
    <w:rsid w:val="00811D6D"/>
    <w:rsid w:val="00817E8E"/>
    <w:rsid w:val="008363F4"/>
    <w:rsid w:val="00841C3A"/>
    <w:rsid w:val="00844776"/>
    <w:rsid w:val="00854365"/>
    <w:rsid w:val="008766E5"/>
    <w:rsid w:val="008850D9"/>
    <w:rsid w:val="00890E56"/>
    <w:rsid w:val="008A4578"/>
    <w:rsid w:val="008A6E8F"/>
    <w:rsid w:val="008B0AC0"/>
    <w:rsid w:val="008C03C3"/>
    <w:rsid w:val="008C1E9D"/>
    <w:rsid w:val="008D3909"/>
    <w:rsid w:val="008D6ECA"/>
    <w:rsid w:val="008E04DE"/>
    <w:rsid w:val="008E2969"/>
    <w:rsid w:val="008E6F7A"/>
    <w:rsid w:val="008F588A"/>
    <w:rsid w:val="00902D2D"/>
    <w:rsid w:val="00915804"/>
    <w:rsid w:val="00936427"/>
    <w:rsid w:val="009515BE"/>
    <w:rsid w:val="00957285"/>
    <w:rsid w:val="009573AF"/>
    <w:rsid w:val="009963ED"/>
    <w:rsid w:val="009D26CE"/>
    <w:rsid w:val="009D4063"/>
    <w:rsid w:val="00A22988"/>
    <w:rsid w:val="00A41BD3"/>
    <w:rsid w:val="00A449C2"/>
    <w:rsid w:val="00A65EA3"/>
    <w:rsid w:val="00A71EEC"/>
    <w:rsid w:val="00A826A5"/>
    <w:rsid w:val="00A8330B"/>
    <w:rsid w:val="00AA3D6F"/>
    <w:rsid w:val="00AA6DB8"/>
    <w:rsid w:val="00AA7FC1"/>
    <w:rsid w:val="00AB55AE"/>
    <w:rsid w:val="00AB6F7D"/>
    <w:rsid w:val="00AC7878"/>
    <w:rsid w:val="00AD493E"/>
    <w:rsid w:val="00AD5379"/>
    <w:rsid w:val="00AE30B5"/>
    <w:rsid w:val="00AE5755"/>
    <w:rsid w:val="00AF2339"/>
    <w:rsid w:val="00B06055"/>
    <w:rsid w:val="00B21718"/>
    <w:rsid w:val="00B3517E"/>
    <w:rsid w:val="00B44D8A"/>
    <w:rsid w:val="00B6668A"/>
    <w:rsid w:val="00B73AC8"/>
    <w:rsid w:val="00B747A7"/>
    <w:rsid w:val="00B94569"/>
    <w:rsid w:val="00BA2BBF"/>
    <w:rsid w:val="00BC559C"/>
    <w:rsid w:val="00BC769A"/>
    <w:rsid w:val="00C13740"/>
    <w:rsid w:val="00C17112"/>
    <w:rsid w:val="00C24267"/>
    <w:rsid w:val="00C45C5A"/>
    <w:rsid w:val="00C77B18"/>
    <w:rsid w:val="00CA5D42"/>
    <w:rsid w:val="00CB38FD"/>
    <w:rsid w:val="00CB40E1"/>
    <w:rsid w:val="00CB50F3"/>
    <w:rsid w:val="00CF6DB6"/>
    <w:rsid w:val="00D134CA"/>
    <w:rsid w:val="00D461E6"/>
    <w:rsid w:val="00D52D5F"/>
    <w:rsid w:val="00D9183A"/>
    <w:rsid w:val="00D949A3"/>
    <w:rsid w:val="00DA1C8A"/>
    <w:rsid w:val="00DB44F0"/>
    <w:rsid w:val="00DD109E"/>
    <w:rsid w:val="00DD3E18"/>
    <w:rsid w:val="00DD643E"/>
    <w:rsid w:val="00E048C8"/>
    <w:rsid w:val="00E12103"/>
    <w:rsid w:val="00E15AAE"/>
    <w:rsid w:val="00E21184"/>
    <w:rsid w:val="00E214C7"/>
    <w:rsid w:val="00E32E7D"/>
    <w:rsid w:val="00E40B8B"/>
    <w:rsid w:val="00E5742E"/>
    <w:rsid w:val="00E76C40"/>
    <w:rsid w:val="00E82F6B"/>
    <w:rsid w:val="00E963C3"/>
    <w:rsid w:val="00EA149C"/>
    <w:rsid w:val="00EA265F"/>
    <w:rsid w:val="00EA5685"/>
    <w:rsid w:val="00ED43FF"/>
    <w:rsid w:val="00EE6600"/>
    <w:rsid w:val="00EF1D6A"/>
    <w:rsid w:val="00EF2E51"/>
    <w:rsid w:val="00EF372B"/>
    <w:rsid w:val="00F04B23"/>
    <w:rsid w:val="00F30DDC"/>
    <w:rsid w:val="00F31E24"/>
    <w:rsid w:val="00F434EC"/>
    <w:rsid w:val="00F52474"/>
    <w:rsid w:val="00F5529D"/>
    <w:rsid w:val="00F5669E"/>
    <w:rsid w:val="00F75D33"/>
    <w:rsid w:val="00F954CF"/>
    <w:rsid w:val="00F97DFF"/>
    <w:rsid w:val="00FA2B80"/>
    <w:rsid w:val="00FA780B"/>
    <w:rsid w:val="00FC6579"/>
    <w:rsid w:val="00FD3FB3"/>
    <w:rsid w:val="00FE1053"/>
    <w:rsid w:val="00FE6904"/>
    <w:rsid w:val="00FE6B20"/>
    <w:rsid w:val="00FE7D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AE5755"/>
    <w:pPr>
      <w:spacing w:before="70" w:after="70" w:line="260" w:lineRule="atLeast"/>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5E3CDE"/>
    <w:pPr>
      <w:spacing w:before="80" w:after="80" w:line="260" w:lineRule="exact"/>
    </w:pPr>
    <w:rPr>
      <w:rFonts w:ascii="Book Antiqua" w:eastAsia="Times New Roman" w:hAnsi="Book Antiqua" w:cs="Times New Roman"/>
      <w:sz w:val="20"/>
      <w:szCs w:val="20"/>
      <w:lang w:eastAsia="en-AU"/>
    </w:rPr>
  </w:style>
  <w:style w:type="paragraph" w:customStyle="1" w:styleId="Bullet4">
    <w:name w:val="Bullet 4"/>
    <w:basedOn w:val="Normal"/>
    <w:qFormat/>
    <w:rsid w:val="007E7C39"/>
    <w:pPr>
      <w:spacing w:before="120" w:after="0" w:line="240" w:lineRule="auto"/>
      <w:ind w:left="1135" w:hanging="284"/>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796DB1"/>
    <w:rPr>
      <w:sz w:val="16"/>
      <w:szCs w:val="16"/>
    </w:rPr>
  </w:style>
  <w:style w:type="paragraph" w:styleId="CommentText">
    <w:name w:val="annotation text"/>
    <w:basedOn w:val="Normal"/>
    <w:link w:val="CommentTextChar"/>
    <w:uiPriority w:val="99"/>
    <w:semiHidden/>
    <w:unhideWhenUsed/>
    <w:rsid w:val="00796DB1"/>
    <w:pPr>
      <w:spacing w:line="240" w:lineRule="auto"/>
    </w:pPr>
    <w:rPr>
      <w:sz w:val="20"/>
      <w:szCs w:val="20"/>
    </w:rPr>
  </w:style>
  <w:style w:type="character" w:customStyle="1" w:styleId="CommentTextChar">
    <w:name w:val="Comment Text Char"/>
    <w:basedOn w:val="DefaultParagraphFont"/>
    <w:link w:val="CommentText"/>
    <w:uiPriority w:val="99"/>
    <w:semiHidden/>
    <w:rsid w:val="00796DB1"/>
    <w:rPr>
      <w:sz w:val="20"/>
      <w:szCs w:val="20"/>
    </w:rPr>
  </w:style>
  <w:style w:type="paragraph" w:styleId="CommentSubject">
    <w:name w:val="annotation subject"/>
    <w:basedOn w:val="CommentText"/>
    <w:next w:val="CommentText"/>
    <w:link w:val="CommentSubjectChar"/>
    <w:uiPriority w:val="99"/>
    <w:semiHidden/>
    <w:unhideWhenUsed/>
    <w:rsid w:val="00796DB1"/>
    <w:rPr>
      <w:b/>
      <w:bCs/>
    </w:rPr>
  </w:style>
  <w:style w:type="character" w:customStyle="1" w:styleId="CommentSubjectChar">
    <w:name w:val="Comment Subject Char"/>
    <w:basedOn w:val="CommentTextChar"/>
    <w:link w:val="CommentSubject"/>
    <w:uiPriority w:val="99"/>
    <w:semiHidden/>
    <w:rsid w:val="00796DB1"/>
    <w:rPr>
      <w:b/>
      <w:bCs/>
      <w:sz w:val="20"/>
      <w:szCs w:val="20"/>
    </w:rPr>
  </w:style>
  <w:style w:type="paragraph" w:styleId="Revision">
    <w:name w:val="Revision"/>
    <w:hidden/>
    <w:uiPriority w:val="99"/>
    <w:semiHidden/>
    <w:rsid w:val="002730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AE5755"/>
    <w:pPr>
      <w:spacing w:before="70" w:after="70" w:line="260" w:lineRule="atLeast"/>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5E3CDE"/>
    <w:pPr>
      <w:spacing w:before="80" w:after="80" w:line="260" w:lineRule="exact"/>
    </w:pPr>
    <w:rPr>
      <w:rFonts w:ascii="Book Antiqua" w:eastAsia="Times New Roman" w:hAnsi="Book Antiqua" w:cs="Times New Roman"/>
      <w:sz w:val="20"/>
      <w:szCs w:val="20"/>
      <w:lang w:eastAsia="en-AU"/>
    </w:rPr>
  </w:style>
  <w:style w:type="paragraph" w:customStyle="1" w:styleId="Bullet4">
    <w:name w:val="Bullet 4"/>
    <w:basedOn w:val="Normal"/>
    <w:qFormat/>
    <w:rsid w:val="007E7C39"/>
    <w:pPr>
      <w:spacing w:before="120" w:after="0" w:line="240" w:lineRule="auto"/>
      <w:ind w:left="1135" w:hanging="284"/>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796DB1"/>
    <w:rPr>
      <w:sz w:val="16"/>
      <w:szCs w:val="16"/>
    </w:rPr>
  </w:style>
  <w:style w:type="paragraph" w:styleId="CommentText">
    <w:name w:val="annotation text"/>
    <w:basedOn w:val="Normal"/>
    <w:link w:val="CommentTextChar"/>
    <w:uiPriority w:val="99"/>
    <w:semiHidden/>
    <w:unhideWhenUsed/>
    <w:rsid w:val="00796DB1"/>
    <w:pPr>
      <w:spacing w:line="240" w:lineRule="auto"/>
    </w:pPr>
    <w:rPr>
      <w:sz w:val="20"/>
      <w:szCs w:val="20"/>
    </w:rPr>
  </w:style>
  <w:style w:type="character" w:customStyle="1" w:styleId="CommentTextChar">
    <w:name w:val="Comment Text Char"/>
    <w:basedOn w:val="DefaultParagraphFont"/>
    <w:link w:val="CommentText"/>
    <w:uiPriority w:val="99"/>
    <w:semiHidden/>
    <w:rsid w:val="00796DB1"/>
    <w:rPr>
      <w:sz w:val="20"/>
      <w:szCs w:val="20"/>
    </w:rPr>
  </w:style>
  <w:style w:type="paragraph" w:styleId="CommentSubject">
    <w:name w:val="annotation subject"/>
    <w:basedOn w:val="CommentText"/>
    <w:next w:val="CommentText"/>
    <w:link w:val="CommentSubjectChar"/>
    <w:uiPriority w:val="99"/>
    <w:semiHidden/>
    <w:unhideWhenUsed/>
    <w:rsid w:val="00796DB1"/>
    <w:rPr>
      <w:b/>
      <w:bCs/>
    </w:rPr>
  </w:style>
  <w:style w:type="character" w:customStyle="1" w:styleId="CommentSubjectChar">
    <w:name w:val="Comment Subject Char"/>
    <w:basedOn w:val="CommentTextChar"/>
    <w:link w:val="CommentSubject"/>
    <w:uiPriority w:val="99"/>
    <w:semiHidden/>
    <w:rsid w:val="00796DB1"/>
    <w:rPr>
      <w:b/>
      <w:bCs/>
      <w:sz w:val="20"/>
      <w:szCs w:val="20"/>
    </w:rPr>
  </w:style>
  <w:style w:type="paragraph" w:styleId="Revision">
    <w:name w:val="Revision"/>
    <w:hidden/>
    <w:uiPriority w:val="99"/>
    <w:semiHidden/>
    <w:rsid w:val="002730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yperlink" Target="http://greens.org.au/progressive-superannuatio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5D0088A-8DAF-4650-8379-F632A72B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2</TotalTime>
  <Pages>7</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PBO - GRN001 - A progressive superannuation system - 24 June 2016</vt:lpstr>
    </vt:vector>
  </TitlesOfParts>
  <Company>Parliament of Australia</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GRN001 - A progressive superannuation system - 24 June 2016</dc:title>
  <dc:creator>Parliamentary Budget Office</dc:creator>
  <cp:lastModifiedBy>Milligan, Louise (PBO)</cp:lastModifiedBy>
  <cp:revision>5</cp:revision>
  <cp:lastPrinted>2016-06-24T10:30:00Z</cp:lastPrinted>
  <dcterms:created xsi:type="dcterms:W3CDTF">2016-06-24T11:10:00Z</dcterms:created>
  <dcterms:modified xsi:type="dcterms:W3CDTF">2016-06-27T01:29:00Z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