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472D0D" w:rsidP="00640346">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Phase out</w:t>
            </w:r>
            <w:r w:rsidR="006339E2">
              <w:rPr>
                <w:sz w:val="22"/>
              </w:rPr>
              <w:t xml:space="preserve"> Capital Gains Discount</w:t>
            </w:r>
            <w:r>
              <w:rPr>
                <w:sz w:val="22"/>
              </w:rPr>
              <w:t xml:space="preserve"> and End Negative Gearing</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339E2"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July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52DDD"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6339E2" w:rsidRPr="002C3D72">
                <w:rPr>
                  <w:rStyle w:val="Hyperlink"/>
                  <w:sz w:val="22"/>
                </w:rPr>
                <w:t>http://greens.org.au/ng-and-cgt</w:t>
              </w:r>
            </w:hyperlink>
            <w:r w:rsidR="006339E2">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339E2" w:rsidRPr="006339E2" w:rsidRDefault="006339E2" w:rsidP="006339E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6339E2">
              <w:rPr>
                <w:sz w:val="22"/>
              </w:rPr>
              <w:t xml:space="preserve">Progressively phase out the 50 per cent capital gains tax (CGT) discount for trusts and individuals for capital gains realised on or after 1 July 2016. </w:t>
            </w:r>
          </w:p>
          <w:p w:rsidR="006339E2" w:rsidRPr="006339E2" w:rsidRDefault="006339E2" w:rsidP="006339E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6339E2">
              <w:rPr>
                <w:sz w:val="22"/>
              </w:rPr>
              <w:t>The CGT discount would be phased out by 10 percentage points each year for five years to phase out entirely by 1 July 2020.</w:t>
            </w:r>
          </w:p>
          <w:p w:rsidR="006339E2" w:rsidRPr="006339E2" w:rsidRDefault="006339E2" w:rsidP="006339E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sz w:val="22"/>
              </w:rPr>
            </w:pPr>
            <w:r w:rsidRPr="006339E2">
              <w:rPr>
                <w:sz w:val="22"/>
              </w:rPr>
              <w:t xml:space="preserve">This would be accompanied by the removal of negative gearing for all non-business assets purchased by individuals, funds, trusts, partnerships and companies on or after 1 July 2016, with assets purchased prior to this date grandfathered. </w:t>
            </w:r>
          </w:p>
          <w:p w:rsidR="00640346" w:rsidRPr="006339E2" w:rsidRDefault="00640346" w:rsidP="006339E2">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To remove tax benefits available for investors that make it harder for aspiring first home owners to purchase a place to live in.</w:t>
            </w:r>
          </w:p>
          <w:p w:rsidR="006339E2" w:rsidRPr="00CB40E1"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Reducing income inequality and make our tax system fairer by removing the discount on capital gains (enjoyed overwhelmingly by high income earners) by taxing real adjusted capital gains at the marginal income tax rate – as the system used to be.</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Current Income Tax and CGT tax regime.</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72D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-12</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72D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2292</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72D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4798</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472D0D"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7348</w:t>
            </w:r>
          </w:p>
        </w:tc>
      </w:tr>
      <w:tr w:rsidR="00472D0D"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472D0D" w:rsidRPr="00CB40E1" w:rsidRDefault="00472D0D"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472D0D" w:rsidRPr="00CB40E1" w:rsidRDefault="00472D0D"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-12</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472D0D" w:rsidRPr="00CB40E1" w:rsidRDefault="00472D0D" w:rsidP="001F28E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2292</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472D0D" w:rsidRPr="00CB40E1" w:rsidRDefault="00472D0D" w:rsidP="001F28E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4798</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472D0D" w:rsidRPr="00CB40E1" w:rsidRDefault="00472D0D" w:rsidP="001F28ED">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7348</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339E2" w:rsidRPr="006339E2" w:rsidRDefault="006339E2" w:rsidP="006339E2">
            <w:pPr>
              <w:cnfStyle w:val="000000100000" w:firstRow="0" w:lastRow="0" w:firstColumn="0" w:lastColumn="0" w:oddVBand="0" w:evenVBand="0" w:oddHBand="1" w:evenHBand="0" w:firstRowFirstColumn="0" w:firstRowLastColumn="0" w:lastRowFirstColumn="0" w:lastRowLastColumn="0"/>
              <w:rPr>
                <w:sz w:val="22"/>
              </w:rPr>
            </w:pPr>
            <w:r w:rsidRPr="006339E2">
              <w:rPr>
                <w:sz w:val="22"/>
              </w:rPr>
              <w:t>Future investors will pay higher capital gains tax upon sale of their investments.</w:t>
            </w:r>
          </w:p>
          <w:p w:rsidR="006339E2" w:rsidRPr="006339E2" w:rsidRDefault="006339E2" w:rsidP="006339E2">
            <w:pPr>
              <w:cnfStyle w:val="000000100000" w:firstRow="0" w:lastRow="0" w:firstColumn="0" w:lastColumn="0" w:oddVBand="0" w:evenVBand="0" w:oddHBand="1" w:evenHBand="0" w:firstRowFirstColumn="0" w:firstRowLastColumn="0" w:lastRowFirstColumn="0" w:lastRowLastColumn="0"/>
              <w:rPr>
                <w:sz w:val="22"/>
              </w:rPr>
            </w:pPr>
          </w:p>
          <w:p w:rsidR="00640346" w:rsidRPr="006339E2" w:rsidRDefault="006339E2" w:rsidP="006339E2">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6339E2">
              <w:rPr>
                <w:sz w:val="22"/>
              </w:rPr>
              <w:t>441,000 individual taxpayers reported a net capital gain in 2010-12, on which they paid a total $3.6 billion in tax.</w:t>
            </w:r>
          </w:p>
          <w:p w:rsidR="006339E2" w:rsidRPr="006339E2" w:rsidRDefault="006339E2" w:rsidP="006339E2">
            <w:pPr>
              <w:numPr>
                <w:ilvl w:val="0"/>
                <w:numId w:val="6"/>
              </w:numPr>
              <w:spacing w:before="100" w:beforeAutospacing="1" w:after="100" w:afterAutospacing="1" w:line="240" w:lineRule="auto"/>
              <w:ind w:left="270"/>
              <w:cnfStyle w:val="000000100000" w:firstRow="0" w:lastRow="0" w:firstColumn="0" w:lastColumn="0" w:oddVBand="0" w:evenVBand="0" w:oddHBand="1" w:evenHBand="0" w:firstRowFirstColumn="0" w:firstRowLastColumn="0" w:lastRowFirstColumn="0" w:lastRowLastColumn="0"/>
              <w:rPr>
                <w:rFonts w:cs="Arial"/>
                <w:sz w:val="22"/>
                <w:lang w:val="en"/>
              </w:rPr>
            </w:pPr>
            <w:r w:rsidRPr="006339E2">
              <w:rPr>
                <w:rFonts w:cs="Arial"/>
                <w:sz w:val="22"/>
                <w:lang w:val="en"/>
              </w:rPr>
              <w:t>Over half of individual taxpayers with negatively geared rental housing investments are in the top 10% of personal taxpayers, with 30% earning over $500,000</w:t>
            </w:r>
          </w:p>
          <w:p w:rsidR="006339E2" w:rsidRPr="006339E2" w:rsidRDefault="006339E2" w:rsidP="006339E2">
            <w:pPr>
              <w:numPr>
                <w:ilvl w:val="0"/>
                <w:numId w:val="6"/>
              </w:numPr>
              <w:spacing w:before="100" w:beforeAutospacing="1" w:after="100" w:afterAutospacing="1" w:line="240" w:lineRule="auto"/>
              <w:ind w:left="270"/>
              <w:cnfStyle w:val="000000100000" w:firstRow="0" w:lastRow="0" w:firstColumn="0" w:lastColumn="0" w:oddVBand="0" w:evenVBand="0" w:oddHBand="1" w:evenHBand="0" w:firstRowFirstColumn="0" w:firstRowLastColumn="0" w:lastRowFirstColumn="0" w:lastRowLastColumn="0"/>
              <w:rPr>
                <w:rFonts w:cs="Arial"/>
                <w:sz w:val="22"/>
                <w:lang w:val="en"/>
              </w:rPr>
            </w:pPr>
          </w:p>
          <w:p w:rsidR="006339E2" w:rsidRPr="006339E2" w:rsidRDefault="006339E2" w:rsidP="006339E2">
            <w:pPr>
              <w:numPr>
                <w:ilvl w:val="0"/>
                <w:numId w:val="6"/>
              </w:numPr>
              <w:spacing w:before="100" w:beforeAutospacing="1" w:after="100" w:afterAutospacing="1" w:line="240" w:lineRule="auto"/>
              <w:ind w:left="270"/>
              <w:cnfStyle w:val="000000100000" w:firstRow="0" w:lastRow="0" w:firstColumn="0" w:lastColumn="0" w:oddVBand="0" w:evenVBand="0" w:oddHBand="1" w:evenHBand="0" w:firstRowFirstColumn="0" w:firstRowLastColumn="0" w:lastRowFirstColumn="0" w:lastRowLastColumn="0"/>
              <w:rPr>
                <w:rFonts w:cs="Arial"/>
                <w:sz w:val="22"/>
                <w:lang w:val="en"/>
              </w:rPr>
            </w:pPr>
            <w:r w:rsidRPr="006339E2">
              <w:rPr>
                <w:rFonts w:cs="Arial"/>
                <w:sz w:val="22"/>
                <w:lang w:val="en"/>
              </w:rPr>
              <w:t>The tax benefit of negative gearing is 10 times more for the highest income earners than for the lowest</w:t>
            </w:r>
          </w:p>
          <w:p w:rsidR="006339E2" w:rsidRPr="006339E2" w:rsidRDefault="006339E2" w:rsidP="006339E2">
            <w:pPr>
              <w:numPr>
                <w:ilvl w:val="0"/>
                <w:numId w:val="6"/>
              </w:numPr>
              <w:spacing w:before="100" w:beforeAutospacing="1" w:after="100" w:afterAutospacing="1" w:line="240" w:lineRule="auto"/>
              <w:ind w:left="270"/>
              <w:cnfStyle w:val="000000100000" w:firstRow="0" w:lastRow="0" w:firstColumn="0" w:lastColumn="0" w:oddVBand="0" w:evenVBand="0" w:oddHBand="1" w:evenHBand="0" w:firstRowFirstColumn="0" w:firstRowLastColumn="0" w:lastRowFirstColumn="0" w:lastRowLastColumn="0"/>
              <w:rPr>
                <w:rFonts w:cs="Arial"/>
                <w:sz w:val="22"/>
                <w:lang w:val="en"/>
              </w:rPr>
            </w:pPr>
          </w:p>
          <w:p w:rsidR="006339E2" w:rsidRPr="00472D0D" w:rsidRDefault="006339E2" w:rsidP="00472D0D">
            <w:pPr>
              <w:numPr>
                <w:ilvl w:val="0"/>
                <w:numId w:val="6"/>
              </w:numPr>
              <w:spacing w:before="100" w:beforeAutospacing="1" w:after="100" w:afterAutospacing="1" w:line="240" w:lineRule="auto"/>
              <w:ind w:left="270"/>
              <w:cnfStyle w:val="000000100000" w:firstRow="0" w:lastRow="0" w:firstColumn="0" w:lastColumn="0" w:oddVBand="0" w:evenVBand="0" w:oddHBand="1" w:evenHBand="0" w:firstRowFirstColumn="0" w:firstRowLastColumn="0" w:lastRowFirstColumn="0" w:lastRowLastColumn="0"/>
              <w:rPr>
                <w:rFonts w:cs="Arial"/>
                <w:sz w:val="22"/>
                <w:lang w:val="en"/>
              </w:rPr>
            </w:pPr>
            <w:r w:rsidRPr="006339E2">
              <w:rPr>
                <w:rFonts w:cs="Arial"/>
                <w:sz w:val="22"/>
                <w:lang w:val="en"/>
              </w:rPr>
              <w:t>The number of people using negative gearing is almost four times higher for those with incomes of $150,000 than f</w:t>
            </w:r>
            <w:r w:rsidR="00472D0D">
              <w:rPr>
                <w:rFonts w:cs="Arial"/>
                <w:sz w:val="22"/>
                <w:lang w:val="en"/>
              </w:rPr>
              <w:t>or those earning $50,000 or less.</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Australian Tax Office, Treasury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6339E2">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Assume announced and have effect from today, </w:t>
            </w:r>
            <w:r w:rsidR="009E5FB7">
              <w:rPr>
                <w:sz w:val="22"/>
              </w:rPr>
              <w:t xml:space="preserve">1 </w:t>
            </w:r>
            <w:r>
              <w:rPr>
                <w:sz w:val="22"/>
              </w:rPr>
              <w:t>July</w:t>
            </w:r>
            <w:r w:rsidR="009E5FB7">
              <w:rPr>
                <w:sz w:val="22"/>
              </w:rPr>
              <w:t xml:space="preserve">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339E2" w:rsidP="006339E2">
            <w:pPr>
              <w:pStyle w:val="TableTextCentred"/>
              <w:ind w:left="0"/>
              <w:jc w:val="left"/>
              <w:cnfStyle w:val="000000100000" w:firstRow="0" w:lastRow="0" w:firstColumn="0" w:lastColumn="0" w:oddVBand="0" w:evenVBand="0" w:oddHBand="1" w:evenHBand="0" w:firstRowFirstColumn="0" w:firstRowLastColumn="0" w:lastRowFirstColumn="0" w:lastRowLastColumn="0"/>
              <w:rPr>
                <w:sz w:val="22"/>
              </w:rPr>
            </w:pPr>
            <w:r>
              <w:rPr>
                <w:sz w:val="22"/>
              </w:rPr>
              <w:t xml:space="preserve"> Assume announced and have effect from today, 1 July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6339E2" w:rsidRDefault="006339E2"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6339E2">
              <w:rPr>
                <w:sz w:val="22"/>
              </w:rPr>
              <w:t>Deductions would be restricted to the same class of asset in which the losses were incurred. Within-year losses could not be carried forward to offset future rental gains, and could not be used to offset the ultimate capital gain when the asset is sold.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9153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A20E7C">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A20E7C">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9153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A20E7C">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A20E7C">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307E175F"/>
    <w:multiLevelType w:val="multilevel"/>
    <w:tmpl w:val="781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472D0D"/>
    <w:rsid w:val="004C5CC2"/>
    <w:rsid w:val="00515A85"/>
    <w:rsid w:val="0055581F"/>
    <w:rsid w:val="005F7DE0"/>
    <w:rsid w:val="006339E2"/>
    <w:rsid w:val="00640346"/>
    <w:rsid w:val="00660385"/>
    <w:rsid w:val="007202A8"/>
    <w:rsid w:val="007616C6"/>
    <w:rsid w:val="007B029A"/>
    <w:rsid w:val="007C4F2D"/>
    <w:rsid w:val="0083133D"/>
    <w:rsid w:val="008B1774"/>
    <w:rsid w:val="008F588A"/>
    <w:rsid w:val="00902D2D"/>
    <w:rsid w:val="0091537F"/>
    <w:rsid w:val="009E5FB7"/>
    <w:rsid w:val="00A20E7C"/>
    <w:rsid w:val="00BC559C"/>
    <w:rsid w:val="00CB40E1"/>
    <w:rsid w:val="00CF6DB6"/>
    <w:rsid w:val="00D134CA"/>
    <w:rsid w:val="00E15AAE"/>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46265">
      <w:bodyDiv w:val="1"/>
      <w:marLeft w:val="0"/>
      <w:marRight w:val="0"/>
      <w:marTop w:val="0"/>
      <w:marBottom w:val="0"/>
      <w:divBdr>
        <w:top w:val="none" w:sz="0" w:space="0" w:color="auto"/>
        <w:left w:val="none" w:sz="0" w:space="0" w:color="auto"/>
        <w:bottom w:val="none" w:sz="0" w:space="0" w:color="auto"/>
        <w:right w:val="none" w:sz="0" w:space="0" w:color="auto"/>
      </w:divBdr>
      <w:divsChild>
        <w:div w:id="704671019">
          <w:marLeft w:val="0"/>
          <w:marRight w:val="0"/>
          <w:marTop w:val="0"/>
          <w:marBottom w:val="0"/>
          <w:divBdr>
            <w:top w:val="none" w:sz="0" w:space="0" w:color="auto"/>
            <w:left w:val="none" w:sz="0" w:space="0" w:color="auto"/>
            <w:bottom w:val="none" w:sz="0" w:space="0" w:color="auto"/>
            <w:right w:val="none" w:sz="0" w:space="0" w:color="auto"/>
          </w:divBdr>
          <w:divsChild>
            <w:div w:id="230122687">
              <w:marLeft w:val="-225"/>
              <w:marRight w:val="-225"/>
              <w:marTop w:val="0"/>
              <w:marBottom w:val="0"/>
              <w:divBdr>
                <w:top w:val="none" w:sz="0" w:space="0" w:color="auto"/>
                <w:left w:val="none" w:sz="0" w:space="0" w:color="auto"/>
                <w:bottom w:val="none" w:sz="0" w:space="0" w:color="auto"/>
                <w:right w:val="none" w:sz="0" w:space="0" w:color="auto"/>
              </w:divBdr>
              <w:divsChild>
                <w:div w:id="1607469177">
                  <w:marLeft w:val="-225"/>
                  <w:marRight w:val="-225"/>
                  <w:marTop w:val="0"/>
                  <w:marBottom w:val="0"/>
                  <w:divBdr>
                    <w:top w:val="none" w:sz="0" w:space="0" w:color="auto"/>
                    <w:left w:val="none" w:sz="0" w:space="0" w:color="auto"/>
                    <w:bottom w:val="none" w:sz="0" w:space="0" w:color="auto"/>
                    <w:right w:val="none" w:sz="0" w:space="0" w:color="auto"/>
                  </w:divBdr>
                  <w:divsChild>
                    <w:div w:id="1511220677">
                      <w:marLeft w:val="0"/>
                      <w:marRight w:val="0"/>
                      <w:marTop w:val="0"/>
                      <w:marBottom w:val="0"/>
                      <w:divBdr>
                        <w:top w:val="none" w:sz="0" w:space="0" w:color="auto"/>
                        <w:left w:val="none" w:sz="0" w:space="0" w:color="auto"/>
                        <w:bottom w:val="none" w:sz="0" w:space="0" w:color="auto"/>
                        <w:right w:val="none" w:sz="0" w:space="0" w:color="auto"/>
                      </w:divBdr>
                      <w:divsChild>
                        <w:div w:id="378361547">
                          <w:marLeft w:val="0"/>
                          <w:marRight w:val="0"/>
                          <w:marTop w:val="0"/>
                          <w:marBottom w:val="0"/>
                          <w:divBdr>
                            <w:top w:val="none" w:sz="0" w:space="0" w:color="auto"/>
                            <w:left w:val="none" w:sz="0" w:space="0" w:color="auto"/>
                            <w:bottom w:val="none" w:sz="0" w:space="0" w:color="auto"/>
                            <w:right w:val="none" w:sz="0" w:space="0" w:color="auto"/>
                          </w:divBdr>
                          <w:divsChild>
                            <w:div w:id="1645162777">
                              <w:marLeft w:val="0"/>
                              <w:marRight w:val="0"/>
                              <w:marTop w:val="0"/>
                              <w:marBottom w:val="0"/>
                              <w:divBdr>
                                <w:top w:val="none" w:sz="0" w:space="0" w:color="auto"/>
                                <w:left w:val="none" w:sz="0" w:space="0" w:color="auto"/>
                                <w:bottom w:val="none" w:sz="0" w:space="0" w:color="auto"/>
                                <w:right w:val="none" w:sz="0" w:space="0" w:color="auto"/>
                              </w:divBdr>
                              <w:divsChild>
                                <w:div w:id="3471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ng-and-cg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GRN094 - Policy costing request - 1 July 2016</dc:title>
  <dc:creator>Australian Greens</dc:creator>
  <cp:lastModifiedBy>Milligan, Louise (PBO)</cp:lastModifiedBy>
  <cp:revision>5</cp:revision>
  <cp:lastPrinted>2016-04-20T06:27:00Z</cp:lastPrinted>
  <dcterms:created xsi:type="dcterms:W3CDTF">2016-07-01T06:06:00Z</dcterms:created>
  <dcterms:modified xsi:type="dcterms:W3CDTF">2016-07-01T07:07:00Z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