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88A" w:rsidRPr="00BC559C" w:rsidRDefault="008F588A" w:rsidP="00BC559C">
      <w:pPr>
        <w:pStyle w:val="Heading1"/>
      </w:pPr>
      <w:bookmarkStart w:id="0" w:name="_GoBack"/>
      <w:bookmarkEnd w:id="0"/>
      <w:r w:rsidRPr="00BC559C">
        <w:t>Policy costing request—during the caretaker period for a general election</w:t>
      </w:r>
    </w:p>
    <w:tbl>
      <w:tblPr>
        <w:tblStyle w:val="TableGrid"/>
        <w:tblW w:w="5000"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023"/>
        <w:gridCol w:w="428"/>
        <w:gridCol w:w="1417"/>
        <w:gridCol w:w="2200"/>
        <w:gridCol w:w="2200"/>
        <w:gridCol w:w="2208"/>
      </w:tblGrid>
      <w:tr w:rsidR="008F588A" w:rsidRPr="00515A85" w:rsidTr="009E4903">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tcPr>
          <w:p w:rsidR="008F588A" w:rsidRPr="00515A85" w:rsidRDefault="008F588A" w:rsidP="008B2B99">
            <w:pPr>
              <w:pStyle w:val="TableHeading"/>
              <w:rPr>
                <w:b/>
                <w:color w:val="auto"/>
                <w:sz w:val="22"/>
              </w:rPr>
            </w:pPr>
            <w:r w:rsidRPr="00515A85">
              <w:rPr>
                <w:b/>
                <w:color w:val="auto"/>
                <w:sz w:val="22"/>
              </w:rPr>
              <w:t>Name of policy:</w:t>
            </w:r>
          </w:p>
        </w:tc>
        <w:tc>
          <w:tcPr>
            <w:tcW w:w="3830" w:type="pct"/>
            <w:gridSpan w:val="4"/>
            <w:tcBorders>
              <w:top w:val="single" w:sz="4" w:space="0" w:color="788184"/>
              <w:left w:val="single" w:sz="4" w:space="0" w:color="788184"/>
              <w:bottom w:val="single" w:sz="4" w:space="0" w:color="788184"/>
              <w:right w:val="single" w:sz="4" w:space="0" w:color="788184"/>
            </w:tcBorders>
          </w:tcPr>
          <w:p w:rsidR="008F588A" w:rsidRPr="00515A85" w:rsidRDefault="00485140" w:rsidP="00511A20">
            <w:pPr>
              <w:pStyle w:val="TableHeadingCentred"/>
              <w:ind w:left="0"/>
              <w:jc w:val="left"/>
              <w:cnfStyle w:val="100000000000" w:firstRow="1" w:lastRow="0" w:firstColumn="0" w:lastColumn="0" w:oddVBand="0" w:evenVBand="0" w:oddHBand="0" w:evenHBand="0" w:firstRowFirstColumn="0" w:firstRowLastColumn="0" w:lastRowFirstColumn="0" w:lastRowLastColumn="0"/>
              <w:rPr>
                <w:b/>
                <w:sz w:val="22"/>
              </w:rPr>
            </w:pPr>
            <w:r>
              <w:rPr>
                <w:sz w:val="22"/>
              </w:rPr>
              <w:t xml:space="preserve"> </w:t>
            </w:r>
            <w:r w:rsidR="009E4903">
              <w:rPr>
                <w:sz w:val="22"/>
              </w:rPr>
              <w:t>Repowering</w:t>
            </w:r>
            <w:r w:rsidR="00511A20">
              <w:rPr>
                <w:sz w:val="22"/>
              </w:rPr>
              <w:t xml:space="preserve"> Public and Community Housing </w:t>
            </w:r>
          </w:p>
        </w:tc>
      </w:tr>
      <w:tr w:rsidR="008F588A"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Person requesting costing:</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7C4F2D" w:rsidP="00F954CF">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Senator Di Natale</w:t>
            </w:r>
          </w:p>
        </w:tc>
      </w:tr>
      <w:tr w:rsidR="00F954CF"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F954CF" w:rsidRPr="00CB40E1" w:rsidRDefault="00F954CF" w:rsidP="008B2B99">
            <w:pPr>
              <w:pStyle w:val="TableText"/>
              <w:rPr>
                <w:sz w:val="22"/>
              </w:rPr>
            </w:pPr>
            <w:r>
              <w:rPr>
                <w:sz w:val="22"/>
              </w:rPr>
              <w:t>P</w:t>
            </w:r>
            <w:r w:rsidR="00515A85">
              <w:rPr>
                <w:sz w:val="22"/>
              </w:rPr>
              <w:t>arliamentary p</w:t>
            </w:r>
            <w:r>
              <w:rPr>
                <w:sz w:val="22"/>
              </w:rPr>
              <w:t>arty</w:t>
            </w:r>
            <w:r w:rsidR="00515A85">
              <w:rPr>
                <w:sz w:val="22"/>
              </w:rPr>
              <w:t>:</w:t>
            </w:r>
            <w:r>
              <w:rPr>
                <w:sz w:val="22"/>
              </w:rPr>
              <w:t xml:space="preserve"> </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F954CF" w:rsidRPr="00CB40E1" w:rsidRDefault="007C4F2D" w:rsidP="00F954CF">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Australian Greens</w:t>
            </w:r>
          </w:p>
        </w:tc>
      </w:tr>
      <w:tr w:rsidR="008F588A"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8F588A" w:rsidP="008B2B99">
            <w:pPr>
              <w:pStyle w:val="TableText"/>
              <w:rPr>
                <w:sz w:val="22"/>
              </w:rPr>
            </w:pPr>
            <w:r w:rsidRPr="00CB40E1">
              <w:rPr>
                <w:sz w:val="22"/>
              </w:rPr>
              <w:t>Date of request to cost the policy:</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9E4903" w:rsidP="00902D2D">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30</w:t>
            </w:r>
            <w:r w:rsidR="00485140">
              <w:rPr>
                <w:sz w:val="22"/>
              </w:rPr>
              <w:t xml:space="preserve"> June 2016 </w:t>
            </w:r>
          </w:p>
        </w:tc>
      </w:tr>
      <w:tr w:rsidR="008F588A" w:rsidRPr="00340498"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14239B">
            <w:pPr>
              <w:pStyle w:val="TableTextCentred"/>
              <w:jc w:val="left"/>
              <w:rPr>
                <w:i/>
                <w:sz w:val="22"/>
              </w:rPr>
            </w:pPr>
            <w:r w:rsidRPr="00CB40E1">
              <w:rPr>
                <w:i/>
                <w:sz w:val="22"/>
              </w:rPr>
              <w:t>Note:  This policy costing request and the response to this request will be made publicly available.</w:t>
            </w:r>
          </w:p>
        </w:tc>
      </w:tr>
      <w:tr w:rsidR="008F588A"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8F588A" w:rsidRPr="00CB40E1" w:rsidRDefault="00640346" w:rsidP="008B2B99">
            <w:pPr>
              <w:pStyle w:val="TableText"/>
              <w:rPr>
                <w:sz w:val="22"/>
              </w:rPr>
            </w:pPr>
            <w:r w:rsidRPr="00CB40E1">
              <w:rPr>
                <w:sz w:val="22"/>
              </w:rPr>
              <w:t>Has a costing of this policy been requested under Section 29 of the Charter of Budget Honesty (</w:t>
            </w:r>
            <w:proofErr w:type="spellStart"/>
            <w:r w:rsidRPr="00CB40E1">
              <w:rPr>
                <w:sz w:val="22"/>
              </w:rPr>
              <w:t>ie</w:t>
            </w:r>
            <w:proofErr w:type="spellEnd"/>
            <w:r w:rsidRPr="00CB40E1">
              <w:rPr>
                <w:sz w:val="22"/>
              </w:rPr>
              <w:t xml:space="preserve"> from the Treasury or the Department of Finance)?</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9E4903" w:rsidP="00640346">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sidRPr="009E4903">
              <w:rPr>
                <w:sz w:val="22"/>
              </w:rPr>
              <w:t>No</w:t>
            </w: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Details of the public release of this policy (Date, by whom and a reference to that release):</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B7476A" w:rsidP="00485140">
            <w:pPr>
              <w:pStyle w:val="TableTextCentred"/>
              <w:ind w:left="0"/>
              <w:jc w:val="left"/>
              <w:cnfStyle w:val="000000000000" w:firstRow="0" w:lastRow="0" w:firstColumn="0" w:lastColumn="0" w:oddVBand="0" w:evenVBand="0" w:oddHBand="0" w:evenHBand="0" w:firstRowFirstColumn="0" w:firstRowLastColumn="0" w:lastRowFirstColumn="0" w:lastRowLastColumn="0"/>
              <w:rPr>
                <w:sz w:val="22"/>
              </w:rPr>
            </w:pPr>
            <w:hyperlink r:id="rId8" w:history="1">
              <w:r w:rsidR="009E4903" w:rsidRPr="002253F2">
                <w:rPr>
                  <w:rStyle w:val="Hyperlink"/>
                  <w:sz w:val="22"/>
                </w:rPr>
                <w:t>http://greens.org.au/sites/greens.org.au/files/Greens%20initiaitve%20-%20Renewing%20public%20and%20communtiy%20housing%20inititiative%20finalbkjune14.pdf</w:t>
              </w:r>
            </w:hyperlink>
            <w:r w:rsidR="009E4903">
              <w:rPr>
                <w:sz w:val="22"/>
              </w:rPr>
              <w:t xml:space="preserve"> </w:t>
            </w:r>
          </w:p>
        </w:tc>
      </w:tr>
      <w:tr w:rsidR="008F588A" w:rsidRPr="00903231" w:rsidTr="00A85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14239B">
            <w:pPr>
              <w:pStyle w:val="TableTextCentred"/>
              <w:jc w:val="left"/>
              <w:rPr>
                <w:sz w:val="22"/>
              </w:rPr>
            </w:pPr>
            <w:r w:rsidRPr="00CB40E1">
              <w:rPr>
                <w:b/>
                <w:sz w:val="22"/>
              </w:rPr>
              <w:t>Description of policy</w:t>
            </w:r>
          </w:p>
        </w:tc>
      </w:tr>
      <w:tr w:rsidR="00640346" w:rsidTr="009E4903">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Summary of policy (as applicable, please attach copies of relevant policy documents):</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511A20" w:rsidRPr="00511A20" w:rsidRDefault="00511A20" w:rsidP="00511A20">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sz w:val="22"/>
              </w:rPr>
            </w:pPr>
            <w:r w:rsidRPr="00511A20">
              <w:rPr>
                <w:rFonts w:cs="Calibri"/>
                <w:sz w:val="22"/>
              </w:rPr>
              <w:t>The Greens’ plan has the simple objective to deliver clean power, lower electricity bills, and homes that are cheaper to run and more comfortable to live in, through a nationwide upgrade</w:t>
            </w:r>
            <w:r>
              <w:rPr>
                <w:rFonts w:cs="Calibri"/>
                <w:sz w:val="22"/>
              </w:rPr>
              <w:t xml:space="preserve"> </w:t>
            </w:r>
            <w:r w:rsidRPr="00511A20">
              <w:rPr>
                <w:rFonts w:cs="Calibri"/>
                <w:sz w:val="22"/>
              </w:rPr>
              <w:t>program for Australia’s 421,000 public and community housing dwellings.</w:t>
            </w:r>
          </w:p>
          <w:p w:rsidR="00511A20" w:rsidRPr="00511A20" w:rsidRDefault="00511A20" w:rsidP="00511A20">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Bold"/>
                <w:bCs/>
                <w:sz w:val="22"/>
              </w:rPr>
            </w:pPr>
            <w:r w:rsidRPr="00511A20">
              <w:rPr>
                <w:rFonts w:cs="Calibri,Bold"/>
                <w:bCs/>
                <w:sz w:val="22"/>
              </w:rPr>
              <w:t>Our proposal is to upgrade Australia’s entire public and community housing stock by 2030. We will provide a $2000 capital upgrade for every dwelling to:</w:t>
            </w:r>
          </w:p>
          <w:p w:rsidR="00511A20" w:rsidRPr="00511A20" w:rsidRDefault="00511A20" w:rsidP="00511A20">
            <w:pPr>
              <w:pStyle w:val="ListParagraph"/>
              <w:numPr>
                <w:ilvl w:val="0"/>
                <w:numId w:val="10"/>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rPr>
            </w:pPr>
            <w:r w:rsidRPr="00511A20">
              <w:rPr>
                <w:rFonts w:cs="Calibri"/>
              </w:rPr>
              <w:t>Put solar on every roof with 2kW rooftop solar PV systems;</w:t>
            </w:r>
          </w:p>
          <w:p w:rsidR="00511A20" w:rsidRPr="00511A20" w:rsidRDefault="00511A20" w:rsidP="00511A20">
            <w:pPr>
              <w:pStyle w:val="ListParagraph"/>
              <w:numPr>
                <w:ilvl w:val="0"/>
                <w:numId w:val="10"/>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rPr>
            </w:pPr>
            <w:r w:rsidRPr="00511A20">
              <w:rPr>
                <w:rFonts w:cs="Calibri"/>
              </w:rPr>
              <w:t>Retrofit homes with energy efficient appliances, LED lighting, window glazing, smart meters, water efficient appliances and shower heads, roof and wall insulation, ceiling and ventilation fans, efficient heating and cooling, low cost sensors, and draught proofing;</w:t>
            </w:r>
          </w:p>
          <w:p w:rsidR="00511A20" w:rsidRPr="00511A20" w:rsidRDefault="00511A20" w:rsidP="00511A20">
            <w:pPr>
              <w:pStyle w:val="ListParagraph"/>
              <w:numPr>
                <w:ilvl w:val="0"/>
                <w:numId w:val="10"/>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rPr>
            </w:pPr>
            <w:r w:rsidRPr="00511A20">
              <w:rPr>
                <w:rFonts w:cs="Calibri"/>
              </w:rPr>
              <w:t>Add secure screen doors and window fittings for cross ventilation</w:t>
            </w:r>
          </w:p>
          <w:p w:rsidR="00511A20" w:rsidRPr="00511A20" w:rsidRDefault="00511A20" w:rsidP="00511A20">
            <w:pPr>
              <w:pStyle w:val="ListParagraph"/>
              <w:numPr>
                <w:ilvl w:val="0"/>
                <w:numId w:val="10"/>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rPr>
            </w:pPr>
            <w:r w:rsidRPr="00511A20">
              <w:rPr>
                <w:rFonts w:cs="Calibri"/>
              </w:rPr>
              <w:t>Provide energy efficiency assessment, education and advice to tenants on how they can make behavioural changes to help save energy in the home</w:t>
            </w:r>
          </w:p>
          <w:p w:rsidR="00511A20" w:rsidRPr="00511A20" w:rsidRDefault="00511A20" w:rsidP="00511A20">
            <w:pPr>
              <w:pStyle w:val="ListParagraph"/>
              <w:numPr>
                <w:ilvl w:val="0"/>
                <w:numId w:val="10"/>
              </w:num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sz w:val="22"/>
              </w:rPr>
            </w:pPr>
            <w:r w:rsidRPr="00511A20">
              <w:rPr>
                <w:rFonts w:cs="Calibri"/>
              </w:rPr>
              <w:t xml:space="preserve">Provide a training, employment and education package for tenants interested in developing skills in clean energy, to employ at least 5000 tenants over the rollout of this </w:t>
            </w:r>
            <w:r w:rsidRPr="00511A20">
              <w:rPr>
                <w:rFonts w:cs="Calibri"/>
                <w:sz w:val="22"/>
              </w:rPr>
              <w:t>package</w:t>
            </w:r>
          </w:p>
          <w:p w:rsidR="00640346" w:rsidRPr="009E4903" w:rsidRDefault="00511A20" w:rsidP="009E4903">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cs="Calibri"/>
                <w:sz w:val="22"/>
              </w:rPr>
            </w:pPr>
            <w:r w:rsidRPr="00511A20">
              <w:rPr>
                <w:rFonts w:cs="Calibri"/>
                <w:sz w:val="22"/>
              </w:rPr>
              <w:t>The least energy efficient housing would be prioritised first.</w:t>
            </w:r>
          </w:p>
        </w:tc>
      </w:tr>
      <w:tr w:rsidR="00640346" w:rsidTr="009E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8B2B99">
            <w:pPr>
              <w:pStyle w:val="TableText"/>
              <w:rPr>
                <w:sz w:val="22"/>
              </w:rPr>
            </w:pPr>
            <w:r w:rsidRPr="00CB40E1">
              <w:rPr>
                <w:sz w:val="22"/>
              </w:rPr>
              <w:t>What is the purpose or intention of the policy?</w:t>
            </w:r>
          </w:p>
        </w:tc>
        <w:tc>
          <w:tcPr>
            <w:tcW w:w="3830" w:type="pct"/>
            <w:gridSpan w:val="4"/>
            <w:tcBorders>
              <w:top w:val="single" w:sz="4" w:space="0" w:color="788184"/>
              <w:left w:val="single" w:sz="4" w:space="0" w:color="788184"/>
              <w:bottom w:val="single" w:sz="4" w:space="0" w:color="788184"/>
              <w:right w:val="single" w:sz="4" w:space="0" w:color="788184"/>
            </w:tcBorders>
            <w:vAlign w:val="top"/>
          </w:tcPr>
          <w:p w:rsidR="009C4742" w:rsidRPr="009C4742" w:rsidRDefault="009C4742" w:rsidP="009C4742">
            <w:pPr>
              <w:spacing w:line="240" w:lineRule="auto"/>
              <w:cnfStyle w:val="000000100000" w:firstRow="0" w:lastRow="0" w:firstColumn="0" w:lastColumn="0" w:oddVBand="0" w:evenVBand="0" w:oddHBand="1" w:evenHBand="0" w:firstRowFirstColumn="0" w:firstRowLastColumn="0" w:lastRowFirstColumn="0" w:lastRowLastColumn="0"/>
              <w:rPr>
                <w:sz w:val="22"/>
              </w:rPr>
            </w:pPr>
            <w:r w:rsidRPr="009C4742">
              <w:rPr>
                <w:sz w:val="22"/>
              </w:rPr>
              <w:t>The benefits of well-planned and appropriately located community infrastructure are widely recognised and quantified.</w:t>
            </w:r>
          </w:p>
          <w:p w:rsidR="009C4742" w:rsidRPr="009C4742" w:rsidRDefault="009C4742" w:rsidP="009C4742">
            <w:pPr>
              <w:spacing w:line="240" w:lineRule="auto"/>
              <w:cnfStyle w:val="000000100000" w:firstRow="0" w:lastRow="0" w:firstColumn="0" w:lastColumn="0" w:oddVBand="0" w:evenVBand="0" w:oddHBand="1" w:evenHBand="0" w:firstRowFirstColumn="0" w:firstRowLastColumn="0" w:lastRowFirstColumn="0" w:lastRowLastColumn="0"/>
              <w:rPr>
                <w:sz w:val="22"/>
              </w:rPr>
            </w:pPr>
            <w:r w:rsidRPr="009C4742">
              <w:rPr>
                <w:sz w:val="22"/>
              </w:rPr>
              <w:lastRenderedPageBreak/>
              <w:t>Enhancing access to cultural, sporting and recreational activity contributes to improved community health and has a number of benefits, including enhanced academic outcomes, increased self-esteem and social confidence, development of life skills such as team work, fair play and strategic thinking, community building and social cohesion, social inclusion of minority and disadvantaged groups; and enhanced mental and physical well-being</w:t>
            </w:r>
            <w:r>
              <w:rPr>
                <w:sz w:val="22"/>
              </w:rPr>
              <w:t>.</w:t>
            </w:r>
          </w:p>
          <w:p w:rsidR="00640346" w:rsidRPr="00CB40E1" w:rsidRDefault="009C4742" w:rsidP="009C4742">
            <w:pPr>
              <w:spacing w:line="240" w:lineRule="auto"/>
              <w:cnfStyle w:val="000000100000" w:firstRow="0" w:lastRow="0" w:firstColumn="0" w:lastColumn="0" w:oddVBand="0" w:evenVBand="0" w:oddHBand="1" w:evenHBand="0" w:firstRowFirstColumn="0" w:firstRowLastColumn="0" w:lastRowFirstColumn="0" w:lastRowLastColumn="0"/>
              <w:rPr>
                <w:sz w:val="22"/>
              </w:rPr>
            </w:pPr>
            <w:r w:rsidRPr="009C4742">
              <w:rPr>
                <w:sz w:val="22"/>
              </w:rPr>
              <w:t>There is also an increasing body of evidence that investing in adequate community infrastructure brings real cost savings over time, and the economic benefits of providing community infrastructure far out-weighed the costs of provision and resulted in</w:t>
            </w:r>
            <w:r>
              <w:rPr>
                <w:sz w:val="22"/>
              </w:rPr>
              <w:t xml:space="preserve"> a net return on investment.</w:t>
            </w:r>
          </w:p>
        </w:tc>
      </w:tr>
      <w:tr w:rsidR="008F588A" w:rsidRPr="0090323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640346" w:rsidP="0014239B">
            <w:pPr>
              <w:pStyle w:val="TableTextCentred"/>
              <w:jc w:val="left"/>
              <w:rPr>
                <w:sz w:val="22"/>
              </w:rPr>
            </w:pPr>
            <w:r w:rsidRPr="00CB40E1">
              <w:rPr>
                <w:b/>
                <w:sz w:val="22"/>
              </w:rPr>
              <w:lastRenderedPageBreak/>
              <w:t>What are the key assumptions that have been made in the policy, including:</w:t>
            </w: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Is the policy part of a package?</w:t>
            </w:r>
          </w:p>
          <w:p w:rsidR="00640346" w:rsidRPr="00CB40E1" w:rsidRDefault="00640346" w:rsidP="00640346">
            <w:pPr>
              <w:pStyle w:val="TableText"/>
              <w:rPr>
                <w:sz w:val="22"/>
              </w:rPr>
            </w:pPr>
            <w:r w:rsidRPr="00CB40E1">
              <w:rPr>
                <w:sz w:val="22"/>
              </w:rPr>
              <w:t>If yes, list the components and interactions with proposed or existing policies.</w:t>
            </w:r>
          </w:p>
        </w:tc>
        <w:tc>
          <w:tcPr>
            <w:tcW w:w="3830"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Where relevant, is funding for the policy to be demand driven or a capped amount? If a capped amount, are the costs of administering the policy to be included within the capped amount or additional to the capped amount?</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C4742" w:rsidP="00511A20">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 xml:space="preserve">A capped amount </w:t>
            </w:r>
            <w:r w:rsidR="00511A20">
              <w:rPr>
                <w:sz w:val="22"/>
              </w:rPr>
              <w:t xml:space="preserve">of $2000 per home for </w:t>
            </w:r>
            <w:proofErr w:type="gramStart"/>
            <w:r w:rsidR="00511A20">
              <w:rPr>
                <w:sz w:val="22"/>
              </w:rPr>
              <w:t>421,000  homes</w:t>
            </w:r>
            <w:proofErr w:type="gramEnd"/>
            <w:r w:rsidR="00511A20">
              <w:rPr>
                <w:sz w:val="22"/>
              </w:rPr>
              <w:t xml:space="preserve">, by 2030. </w:t>
            </w:r>
            <w:r>
              <w:rPr>
                <w:sz w:val="22"/>
              </w:rPr>
              <w:t xml:space="preserve"> </w:t>
            </w:r>
            <w:r w:rsidR="004C1147">
              <w:rPr>
                <w:sz w:val="22"/>
              </w:rPr>
              <w:t xml:space="preserve"> </w:t>
            </w: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tcPr>
          <w:p w:rsidR="00640346" w:rsidRPr="00CB40E1" w:rsidRDefault="00640346" w:rsidP="00640346">
            <w:pPr>
              <w:pStyle w:val="TableText"/>
              <w:rPr>
                <w:sz w:val="22"/>
              </w:rPr>
            </w:pPr>
            <w:r w:rsidRPr="00CB40E1">
              <w:rPr>
                <w:sz w:val="22"/>
              </w:rPr>
              <w:t>Will third parties (for instance the States/Territories) have a role in funding or delivering the policy?</w:t>
            </w:r>
          </w:p>
          <w:p w:rsidR="00640346" w:rsidRPr="00CB40E1" w:rsidRDefault="00640346" w:rsidP="00640346">
            <w:pPr>
              <w:pStyle w:val="TableText"/>
              <w:rPr>
                <w:sz w:val="22"/>
              </w:rPr>
            </w:pPr>
            <w:r w:rsidRPr="00CB40E1">
              <w:rPr>
                <w:sz w:val="22"/>
              </w:rPr>
              <w:t>If yes, is the Australian Government contribution capped, with additional costs to be met by third parties, or is another funding formula envisaged?</w:t>
            </w:r>
          </w:p>
        </w:tc>
        <w:tc>
          <w:tcPr>
            <w:tcW w:w="3830" w:type="pct"/>
            <w:gridSpan w:val="4"/>
            <w:tcBorders>
              <w:top w:val="single" w:sz="4" w:space="0" w:color="788184"/>
              <w:left w:val="single" w:sz="4" w:space="0" w:color="788184"/>
              <w:bottom w:val="single" w:sz="4" w:space="0" w:color="788184"/>
              <w:right w:val="single" w:sz="4" w:space="0" w:color="788184"/>
            </w:tcBorders>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Are there associated savings, offsets or expenses?</w:t>
            </w:r>
          </w:p>
          <w:p w:rsidR="00640346" w:rsidRPr="00CB40E1" w:rsidRDefault="00640346" w:rsidP="00640346">
            <w:pPr>
              <w:pStyle w:val="TableText"/>
              <w:rPr>
                <w:sz w:val="22"/>
              </w:rPr>
            </w:pPr>
            <w:r w:rsidRPr="00CB40E1">
              <w:rPr>
                <w:sz w:val="22"/>
              </w:rPr>
              <w:t>If yes, please provide details.</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lastRenderedPageBreak/>
              <w:t xml:space="preserve">Does the policy relate to a previous budget measure? </w:t>
            </w:r>
          </w:p>
          <w:p w:rsidR="00640346" w:rsidRPr="00CB40E1" w:rsidRDefault="00640346" w:rsidP="00640346">
            <w:pPr>
              <w:pStyle w:val="TableText"/>
              <w:rPr>
                <w:sz w:val="22"/>
              </w:rPr>
            </w:pPr>
            <w:r w:rsidRPr="00CB40E1">
              <w:rPr>
                <w:sz w:val="22"/>
              </w:rPr>
              <w:t>If yes, which measure?</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8B2B99">
            <w:pPr>
              <w:pStyle w:val="TableText"/>
              <w:rPr>
                <w:sz w:val="22"/>
              </w:rPr>
            </w:pPr>
            <w:r w:rsidRPr="00CB40E1">
              <w:rPr>
                <w:sz w:val="22"/>
              </w:rPr>
              <w:t>If the proposal would change an existing measure, are savings expected from the departmental costs of implementing the program?</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9E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640346" w:rsidP="00640346">
            <w:pPr>
              <w:pStyle w:val="TableText"/>
              <w:rPr>
                <w:sz w:val="22"/>
              </w:rPr>
            </w:pPr>
            <w:r w:rsidRPr="00CB40E1">
              <w:rPr>
                <w:sz w:val="22"/>
              </w:rPr>
              <w:t>Will the funding/program cost require indexation?</w:t>
            </w:r>
          </w:p>
          <w:p w:rsidR="00640346" w:rsidRPr="00CB40E1" w:rsidRDefault="00640346" w:rsidP="00640346">
            <w:pPr>
              <w:pStyle w:val="TableText"/>
              <w:rPr>
                <w:sz w:val="22"/>
              </w:rPr>
            </w:pPr>
            <w:r w:rsidRPr="00CB40E1">
              <w:rPr>
                <w:sz w:val="22"/>
              </w:rPr>
              <w:t>If yes, list factors to be used.</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No</w:t>
            </w:r>
          </w:p>
        </w:tc>
      </w:tr>
      <w:tr w:rsidR="008F588A" w:rsidTr="009C4742">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8F588A" w:rsidRPr="00CB40E1" w:rsidRDefault="008F588A" w:rsidP="00660385">
            <w:pPr>
              <w:pStyle w:val="TableTextCentred"/>
              <w:keepNext/>
              <w:keepLines/>
              <w:jc w:val="left"/>
              <w:rPr>
                <w:sz w:val="22"/>
              </w:rPr>
            </w:pPr>
            <w:r w:rsidRPr="00CB40E1">
              <w:rPr>
                <w:b/>
                <w:sz w:val="22"/>
              </w:rPr>
              <w:t>Expected impacts of the proposal</w:t>
            </w:r>
          </w:p>
        </w:tc>
      </w:tr>
      <w:tr w:rsidR="008F588A" w:rsidTr="0064034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640346" w:rsidP="00660385">
            <w:pPr>
              <w:pStyle w:val="TableTextCentred"/>
              <w:keepNext/>
              <w:keepLines/>
              <w:jc w:val="left"/>
              <w:rPr>
                <w:sz w:val="22"/>
              </w:rPr>
            </w:pPr>
            <w:r w:rsidRPr="00CB40E1">
              <w:rPr>
                <w:sz w:val="22"/>
              </w:rPr>
              <w:t>If applicable, what are the estimated costs each year? If available, please provide details in the table below.  Are these provided on an underlying cash balance or fiscal balance basis?</w:t>
            </w:r>
          </w:p>
        </w:tc>
      </w:tr>
      <w:tr w:rsidR="00640346" w:rsidRPr="0064034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8F588A" w:rsidRPr="00CB40E1" w:rsidRDefault="008F588A" w:rsidP="00660385">
            <w:pPr>
              <w:pStyle w:val="TableTextCentred"/>
              <w:keepNext/>
              <w:keepLines/>
              <w:jc w:val="left"/>
              <w:rPr>
                <w:b/>
                <w:sz w:val="22"/>
                <w:vertAlign w:val="superscript"/>
              </w:rPr>
            </w:pPr>
            <w:r w:rsidRPr="00CB40E1">
              <w:rPr>
                <w:b/>
                <w:sz w:val="22"/>
              </w:rPr>
              <w:t>Estimated financial implications (outturn prices)</w:t>
            </w:r>
            <w:r w:rsidRPr="00CB40E1">
              <w:rPr>
                <w:b/>
                <w:sz w:val="22"/>
                <w:vertAlign w:val="superscript"/>
              </w:rPr>
              <w:t>(a)</w:t>
            </w: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6" w:type="pct"/>
            <w:tcBorders>
              <w:top w:val="single" w:sz="4" w:space="0" w:color="788184"/>
              <w:left w:val="single" w:sz="4" w:space="0" w:color="788184"/>
              <w:bottom w:val="single" w:sz="4" w:space="0" w:color="788184"/>
              <w:right w:val="single" w:sz="4" w:space="0" w:color="788184"/>
            </w:tcBorders>
            <w:shd w:val="clear" w:color="auto" w:fill="D7DDE9"/>
          </w:tcPr>
          <w:p w:rsidR="00640346" w:rsidRPr="00CB40E1" w:rsidRDefault="00640346" w:rsidP="00660385">
            <w:pPr>
              <w:pStyle w:val="TableText"/>
              <w:keepNext/>
              <w:keepLines/>
              <w:rPr>
                <w:sz w:val="22"/>
              </w:rPr>
            </w:pPr>
          </w:p>
        </w:tc>
        <w:tc>
          <w:tcPr>
            <w:tcW w:w="880" w:type="pct"/>
            <w:gridSpan w:val="2"/>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2016–17</w:t>
            </w:r>
          </w:p>
        </w:tc>
        <w:tc>
          <w:tcPr>
            <w:tcW w:w="1050"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2017–18</w:t>
            </w:r>
          </w:p>
        </w:tc>
        <w:tc>
          <w:tcPr>
            <w:tcW w:w="1050"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2018–19</w:t>
            </w:r>
          </w:p>
        </w:tc>
        <w:tc>
          <w:tcPr>
            <w:tcW w:w="1054" w:type="pct"/>
            <w:tcBorders>
              <w:top w:val="single" w:sz="4" w:space="0" w:color="788184"/>
              <w:left w:val="single" w:sz="4" w:space="0" w:color="788184"/>
              <w:bottom w:val="single" w:sz="4" w:space="0" w:color="788184"/>
              <w:right w:val="single" w:sz="4" w:space="0" w:color="788184"/>
            </w:tcBorders>
            <w:shd w:val="clear" w:color="auto" w:fill="D7DDE9"/>
            <w:vAlign w:val="top"/>
          </w:tcPr>
          <w:p w:rsidR="00640346" w:rsidRPr="00CB40E1" w:rsidRDefault="00640346" w:rsidP="00660385">
            <w:pPr>
              <w:keepNext/>
              <w:keepLines/>
              <w:jc w:val="right"/>
              <w:cnfStyle w:val="000000100000" w:firstRow="0" w:lastRow="0" w:firstColumn="0" w:lastColumn="0" w:oddVBand="0" w:evenVBand="0" w:oddHBand="1" w:evenHBand="0" w:firstRowFirstColumn="0" w:firstRowLastColumn="0" w:lastRowFirstColumn="0" w:lastRowLastColumn="0"/>
              <w:rPr>
                <w:sz w:val="22"/>
              </w:rPr>
            </w:pPr>
            <w:r w:rsidRPr="00CB40E1">
              <w:rPr>
                <w:sz w:val="22"/>
              </w:rPr>
              <w:t>2019–20</w:t>
            </w:r>
          </w:p>
        </w:tc>
      </w:tr>
      <w:tr w:rsidR="009E4903" w:rsidTr="009E4903">
        <w:trPr>
          <w:cantSplit/>
        </w:trPr>
        <w:tc>
          <w:tcPr>
            <w:cnfStyle w:val="001000000000" w:firstRow="0" w:lastRow="0" w:firstColumn="1" w:lastColumn="0" w:oddVBand="0" w:evenVBand="0" w:oddHBand="0" w:evenHBand="0" w:firstRowFirstColumn="0" w:firstRowLastColumn="0" w:lastRowFirstColumn="0" w:lastRowLastColumn="0"/>
            <w:tcW w:w="966" w:type="pct"/>
            <w:tcBorders>
              <w:top w:val="single" w:sz="4" w:space="0" w:color="788184"/>
              <w:left w:val="single" w:sz="4" w:space="0" w:color="788184"/>
              <w:bottom w:val="single" w:sz="4" w:space="0" w:color="788184"/>
              <w:right w:val="single" w:sz="4" w:space="0" w:color="788184"/>
            </w:tcBorders>
            <w:shd w:val="clear" w:color="auto" w:fill="auto"/>
          </w:tcPr>
          <w:p w:rsidR="009E4903" w:rsidRPr="00CB40E1" w:rsidRDefault="009E4903" w:rsidP="00660385">
            <w:pPr>
              <w:pStyle w:val="TableTextCentred"/>
              <w:keepNext/>
              <w:keepLines/>
              <w:jc w:val="left"/>
              <w:rPr>
                <w:sz w:val="22"/>
              </w:rPr>
            </w:pPr>
            <w:r w:rsidRPr="00CB40E1">
              <w:rPr>
                <w:sz w:val="22"/>
              </w:rPr>
              <w:t>Underlying cash balance ($m)</w:t>
            </w:r>
          </w:p>
        </w:tc>
        <w:tc>
          <w:tcPr>
            <w:tcW w:w="880" w:type="pct"/>
            <w:gridSpan w:val="2"/>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-76</w:t>
            </w:r>
          </w:p>
        </w:tc>
        <w:tc>
          <w:tcPr>
            <w:tcW w:w="1050" w:type="pct"/>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-78</w:t>
            </w:r>
          </w:p>
        </w:tc>
        <w:tc>
          <w:tcPr>
            <w:tcW w:w="1050" w:type="pct"/>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-80</w:t>
            </w:r>
          </w:p>
        </w:tc>
        <w:tc>
          <w:tcPr>
            <w:tcW w:w="1054" w:type="pct"/>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sz w:val="22"/>
              </w:rPr>
            </w:pPr>
            <w:r>
              <w:rPr>
                <w:rFonts w:ascii="Calibri" w:hAnsi="Calibri"/>
                <w:color w:val="000000"/>
                <w:sz w:val="22"/>
              </w:rPr>
              <w:t>-82</w:t>
            </w:r>
          </w:p>
        </w:tc>
      </w:tr>
      <w:tr w:rsidR="009E4903"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6" w:type="pct"/>
            <w:tcBorders>
              <w:top w:val="single" w:sz="4" w:space="0" w:color="788184"/>
              <w:left w:val="single" w:sz="4" w:space="0" w:color="788184"/>
              <w:bottom w:val="single" w:sz="4" w:space="0" w:color="788184"/>
              <w:right w:val="single" w:sz="4" w:space="0" w:color="788184"/>
            </w:tcBorders>
            <w:shd w:val="clear" w:color="auto" w:fill="auto"/>
          </w:tcPr>
          <w:p w:rsidR="009E4903" w:rsidRPr="00CB40E1" w:rsidRDefault="009E4903" w:rsidP="00660385">
            <w:pPr>
              <w:pStyle w:val="TableTextCentred"/>
              <w:keepNext/>
              <w:keepLines/>
              <w:jc w:val="left"/>
              <w:rPr>
                <w:sz w:val="22"/>
              </w:rPr>
            </w:pPr>
            <w:r w:rsidRPr="00CB40E1">
              <w:rPr>
                <w:sz w:val="22"/>
              </w:rPr>
              <w:t>Fiscal balance ($m)</w:t>
            </w:r>
          </w:p>
        </w:tc>
        <w:tc>
          <w:tcPr>
            <w:tcW w:w="880" w:type="pct"/>
            <w:gridSpan w:val="2"/>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-76</w:t>
            </w:r>
          </w:p>
        </w:tc>
        <w:tc>
          <w:tcPr>
            <w:tcW w:w="1050" w:type="pct"/>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-78</w:t>
            </w:r>
          </w:p>
        </w:tc>
        <w:tc>
          <w:tcPr>
            <w:tcW w:w="1050" w:type="pct"/>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-80</w:t>
            </w:r>
          </w:p>
        </w:tc>
        <w:tc>
          <w:tcPr>
            <w:tcW w:w="1054" w:type="pct"/>
            <w:tcBorders>
              <w:top w:val="single" w:sz="4" w:space="0" w:color="788184"/>
              <w:left w:val="single" w:sz="4" w:space="0" w:color="788184"/>
              <w:bottom w:val="single" w:sz="4" w:space="0" w:color="788184"/>
              <w:right w:val="single" w:sz="4" w:space="0" w:color="788184"/>
            </w:tcBorders>
            <w:shd w:val="clear" w:color="auto" w:fill="auto"/>
            <w:vAlign w:val="bottom"/>
          </w:tcPr>
          <w:p w:rsidR="009E4903" w:rsidRDefault="009E4903">
            <w:pPr>
              <w:jc w:val="right"/>
              <w:cnfStyle w:val="000000100000" w:firstRow="0" w:lastRow="0" w:firstColumn="0" w:lastColumn="0" w:oddVBand="0" w:evenVBand="0" w:oddHBand="1" w:evenHBand="0" w:firstRowFirstColumn="0" w:firstRowLastColumn="0" w:lastRowFirstColumn="0" w:lastRowLastColumn="0"/>
              <w:rPr>
                <w:rFonts w:ascii="Calibri" w:hAnsi="Calibri"/>
                <w:color w:val="000000"/>
                <w:sz w:val="22"/>
              </w:rPr>
            </w:pPr>
            <w:r>
              <w:rPr>
                <w:rFonts w:ascii="Calibri" w:hAnsi="Calibri"/>
                <w:color w:val="000000"/>
                <w:sz w:val="22"/>
              </w:rPr>
              <w:t>-82</w:t>
            </w:r>
          </w:p>
        </w:tc>
      </w:tr>
      <w:tr w:rsidR="00CF6DB6"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CF6DB6" w:rsidRPr="00CB40E1" w:rsidRDefault="007202A8" w:rsidP="00660385">
            <w:pPr>
              <w:pStyle w:val="TableTextCentred"/>
              <w:keepNext/>
              <w:keepLines/>
              <w:numPr>
                <w:ilvl w:val="0"/>
                <w:numId w:val="4"/>
              </w:numPr>
              <w:ind w:left="284" w:hanging="284"/>
              <w:jc w:val="left"/>
              <w:rPr>
                <w:sz w:val="22"/>
              </w:rPr>
            </w:pPr>
            <w:r w:rsidRPr="00CB40E1">
              <w:rPr>
                <w:sz w:val="22"/>
              </w:rPr>
              <w:t>A positive number for the fiscal balance indicates an increase in revenue or a decrease in expenses or net capital investment in accrual terms.  A positive number in the underlying cash balance indicates an increase in revenue or a decrease in expenses or net capital investment in cash terms.</w:t>
            </w: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E15AAE" w:rsidP="008B2B99">
            <w:pPr>
              <w:pStyle w:val="TableText"/>
              <w:rPr>
                <w:sz w:val="22"/>
              </w:rPr>
            </w:pPr>
            <w:r w:rsidRPr="00CB40E1">
              <w:rPr>
                <w:sz w:val="22"/>
              </w:rPr>
              <w:t>What assumptions have been made in deriving the expected financial impact in the party costing (please provide information on the data sources used to develop the policy)?</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269CE" w:rsidP="004F75B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N/A</w:t>
            </w: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Has the policy been costed by a third party?</w:t>
            </w:r>
          </w:p>
          <w:p w:rsidR="00640346" w:rsidRPr="00CB40E1" w:rsidRDefault="00E15AAE" w:rsidP="00E15AAE">
            <w:pPr>
              <w:pStyle w:val="TableText"/>
              <w:rPr>
                <w:sz w:val="22"/>
              </w:rPr>
            </w:pPr>
            <w:r w:rsidRPr="00CB40E1">
              <w:rPr>
                <w:sz w:val="22"/>
              </w:rPr>
              <w:t>If yes, can you provide a copy of this costing and its assumptions?</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0B16B1" w:rsidP="004F75B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40346" w:rsidTr="009E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E15AAE" w:rsidRPr="00CB40E1" w:rsidRDefault="00E15AAE" w:rsidP="00E15AAE">
            <w:pPr>
              <w:pStyle w:val="TableText"/>
              <w:rPr>
                <w:sz w:val="22"/>
              </w:rPr>
            </w:pPr>
            <w:r w:rsidRPr="00CB40E1">
              <w:rPr>
                <w:sz w:val="22"/>
              </w:rPr>
              <w:t>What is the expected community impact of the policy?</w:t>
            </w:r>
          </w:p>
          <w:p w:rsidR="00E15AAE" w:rsidRPr="00CB40E1" w:rsidRDefault="00E15AAE" w:rsidP="00E15AAE">
            <w:pPr>
              <w:pStyle w:val="TableText"/>
              <w:rPr>
                <w:sz w:val="22"/>
              </w:rPr>
            </w:pPr>
            <w:r w:rsidRPr="00CB40E1">
              <w:rPr>
                <w:sz w:val="22"/>
              </w:rPr>
              <w:t xml:space="preserve">How many people will </w:t>
            </w:r>
            <w:r w:rsidRPr="00CB40E1">
              <w:rPr>
                <w:sz w:val="22"/>
              </w:rPr>
              <w:lastRenderedPageBreak/>
              <w:t>be affected by the policy?</w:t>
            </w:r>
          </w:p>
          <w:p w:rsidR="00E15AAE" w:rsidRPr="00CB40E1" w:rsidRDefault="00E15AAE" w:rsidP="00E15AAE">
            <w:pPr>
              <w:pStyle w:val="TableText"/>
              <w:rPr>
                <w:sz w:val="22"/>
              </w:rPr>
            </w:pPr>
            <w:r w:rsidRPr="00CB40E1">
              <w:rPr>
                <w:sz w:val="22"/>
              </w:rPr>
              <w:t>What is the likely take up?</w:t>
            </w:r>
          </w:p>
          <w:p w:rsidR="00640346" w:rsidRPr="00CB40E1" w:rsidRDefault="00E15AAE" w:rsidP="00E15AAE">
            <w:pPr>
              <w:pStyle w:val="TableText"/>
              <w:rPr>
                <w:sz w:val="22"/>
              </w:rPr>
            </w:pPr>
            <w:r w:rsidRPr="00CB40E1">
              <w:rPr>
                <w:sz w:val="22"/>
              </w:rPr>
              <w:t>What is the basis for these impact assessments/assumptions?</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A56818"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r w:rsidRPr="00A56818">
              <w:rPr>
                <w:sz w:val="22"/>
              </w:rPr>
              <w:lastRenderedPageBreak/>
              <w:t>This initiative will help about 800,000 Australians living in</w:t>
            </w:r>
            <w:r>
              <w:rPr>
                <w:sz w:val="22"/>
              </w:rPr>
              <w:t xml:space="preserve"> </w:t>
            </w:r>
            <w:r w:rsidRPr="00A56818">
              <w:rPr>
                <w:sz w:val="22"/>
              </w:rPr>
              <w:t>421,000 public and community housing dwellings over the</w:t>
            </w:r>
            <w:r>
              <w:rPr>
                <w:sz w:val="22"/>
              </w:rPr>
              <w:t xml:space="preserve"> </w:t>
            </w:r>
            <w:r w:rsidRPr="00A56818">
              <w:rPr>
                <w:sz w:val="22"/>
              </w:rPr>
              <w:t>next decade.</w:t>
            </w:r>
          </w:p>
          <w:p w:rsidR="00A56818" w:rsidRPr="00A56818"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p>
          <w:p w:rsidR="00A56818"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r w:rsidRPr="00A56818">
              <w:rPr>
                <w:sz w:val="22"/>
              </w:rPr>
              <w:t>The CEFC estimates annual savings of up to $1075 per</w:t>
            </w:r>
            <w:r>
              <w:rPr>
                <w:sz w:val="22"/>
              </w:rPr>
              <w:t xml:space="preserve"> </w:t>
            </w:r>
            <w:r w:rsidRPr="00A56818">
              <w:rPr>
                <w:sz w:val="22"/>
              </w:rPr>
              <w:t xml:space="preserve">household can be made from </w:t>
            </w:r>
            <w:r w:rsidRPr="00A56818">
              <w:rPr>
                <w:sz w:val="22"/>
              </w:rPr>
              <w:lastRenderedPageBreak/>
              <w:t>improving insulation in walls and</w:t>
            </w:r>
            <w:r>
              <w:rPr>
                <w:sz w:val="22"/>
              </w:rPr>
              <w:t xml:space="preserve"> </w:t>
            </w:r>
            <w:r w:rsidRPr="00A56818">
              <w:rPr>
                <w:sz w:val="22"/>
              </w:rPr>
              <w:t>floors, adding double glazing, LED lighting instead, induction</w:t>
            </w:r>
            <w:r>
              <w:rPr>
                <w:sz w:val="22"/>
              </w:rPr>
              <w:t xml:space="preserve"> </w:t>
            </w:r>
            <w:r w:rsidRPr="00A56818">
              <w:rPr>
                <w:sz w:val="22"/>
              </w:rPr>
              <w:t>stoves in place of gas stoves, installing secure screen doors to</w:t>
            </w:r>
            <w:r>
              <w:rPr>
                <w:sz w:val="22"/>
              </w:rPr>
              <w:t xml:space="preserve"> </w:t>
            </w:r>
            <w:r w:rsidRPr="00A56818">
              <w:rPr>
                <w:sz w:val="22"/>
              </w:rPr>
              <w:t>improve ventilation, and in-home energy monitoring.</w:t>
            </w:r>
          </w:p>
          <w:p w:rsidR="00A56818" w:rsidRPr="00A56818"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p>
          <w:p w:rsidR="00A56818"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r w:rsidRPr="00A56818">
              <w:rPr>
                <w:sz w:val="22"/>
              </w:rPr>
              <w:t>A 2kW rooftop solar PV unit alone would save each household</w:t>
            </w:r>
            <w:r>
              <w:rPr>
                <w:sz w:val="22"/>
              </w:rPr>
              <w:t xml:space="preserve"> </w:t>
            </w:r>
            <w:r w:rsidRPr="00A56818">
              <w:rPr>
                <w:sz w:val="22"/>
              </w:rPr>
              <w:t>around $780 per year on average.</w:t>
            </w:r>
          </w:p>
          <w:p w:rsidR="00A56818" w:rsidRPr="00A56818"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p>
          <w:p w:rsidR="00A56818" w:rsidRPr="00A56818"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r w:rsidRPr="00A56818">
              <w:rPr>
                <w:sz w:val="22"/>
              </w:rPr>
              <w:t>Public and community housing tenants are more vulnerable to</w:t>
            </w:r>
            <w:r>
              <w:rPr>
                <w:sz w:val="22"/>
              </w:rPr>
              <w:t xml:space="preserve"> </w:t>
            </w:r>
            <w:r w:rsidRPr="00A56818">
              <w:rPr>
                <w:sz w:val="22"/>
              </w:rPr>
              <w:t>the effects of poorly performing housing. Older single people</w:t>
            </w:r>
            <w:r>
              <w:rPr>
                <w:sz w:val="22"/>
              </w:rPr>
              <w:t xml:space="preserve"> </w:t>
            </w:r>
            <w:r w:rsidRPr="00A56818">
              <w:rPr>
                <w:sz w:val="22"/>
              </w:rPr>
              <w:t>currently make up the highest proportion of household types,</w:t>
            </w:r>
            <w:r>
              <w:rPr>
                <w:sz w:val="22"/>
              </w:rPr>
              <w:t xml:space="preserve"> </w:t>
            </w:r>
            <w:r w:rsidRPr="00A56818">
              <w:rPr>
                <w:sz w:val="22"/>
              </w:rPr>
              <w:t>with the median age of tenants in public housing being 54</w:t>
            </w:r>
          </w:p>
          <w:p w:rsidR="00640346" w:rsidRPr="00CB40E1" w:rsidRDefault="00A56818" w:rsidP="00A56818">
            <w:pPr>
              <w:spacing w:line="240" w:lineRule="exact"/>
              <w:contextualSpacing/>
              <w:cnfStyle w:val="000000100000" w:firstRow="0" w:lastRow="0" w:firstColumn="0" w:lastColumn="0" w:oddVBand="0" w:evenVBand="0" w:oddHBand="1" w:evenHBand="0" w:firstRowFirstColumn="0" w:firstRowLastColumn="0" w:lastRowFirstColumn="0" w:lastRowLastColumn="0"/>
              <w:rPr>
                <w:sz w:val="22"/>
              </w:rPr>
            </w:pPr>
            <w:proofErr w:type="gramStart"/>
            <w:r w:rsidRPr="00A56818">
              <w:rPr>
                <w:sz w:val="22"/>
              </w:rPr>
              <w:t>years</w:t>
            </w:r>
            <w:proofErr w:type="gramEnd"/>
            <w:r w:rsidRPr="00A56818">
              <w:rPr>
                <w:sz w:val="22"/>
              </w:rPr>
              <w:t>. A high proportion of public housing tenants are aged 65</w:t>
            </w:r>
            <w:r>
              <w:rPr>
                <w:sz w:val="22"/>
              </w:rPr>
              <w:t xml:space="preserve"> </w:t>
            </w:r>
            <w:r w:rsidRPr="00A56818">
              <w:rPr>
                <w:sz w:val="22"/>
              </w:rPr>
              <w:t>years and over (32%), and 43% of all tenants reported a</w:t>
            </w:r>
            <w:r>
              <w:rPr>
                <w:sz w:val="22"/>
              </w:rPr>
              <w:t xml:space="preserve"> </w:t>
            </w:r>
            <w:r w:rsidRPr="00A56818">
              <w:rPr>
                <w:sz w:val="22"/>
              </w:rPr>
              <w:t>disability.</w:t>
            </w:r>
          </w:p>
        </w:tc>
      </w:tr>
      <w:tr w:rsidR="00CF6DB6" w:rsidTr="009269CE">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D7DDE9"/>
            <w:vAlign w:val="top"/>
          </w:tcPr>
          <w:p w:rsidR="00CF6DB6" w:rsidRPr="00CB40E1" w:rsidRDefault="00CF6DB6" w:rsidP="00660385">
            <w:pPr>
              <w:pStyle w:val="TableTextCentred"/>
              <w:keepNext/>
              <w:keepLines/>
              <w:jc w:val="left"/>
              <w:rPr>
                <w:sz w:val="22"/>
              </w:rPr>
            </w:pPr>
            <w:r w:rsidRPr="00CB40E1">
              <w:rPr>
                <w:b/>
                <w:sz w:val="22"/>
              </w:rPr>
              <w:lastRenderedPageBreak/>
              <w:t>Administration of policy:</w:t>
            </w:r>
          </w:p>
        </w:tc>
      </w:tr>
      <w:tr w:rsidR="00640346" w:rsidTr="009E49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Who will administer the policy (for example, Australian Government entity, the States, non</w:t>
            </w:r>
            <w:r w:rsidRPr="00CB40E1">
              <w:rPr>
                <w:sz w:val="22"/>
              </w:rPr>
              <w:noBreakHyphen/>
              <w:t xml:space="preserve">government organisation, </w:t>
            </w:r>
            <w:proofErr w:type="spellStart"/>
            <w:r w:rsidRPr="00CB40E1">
              <w:rPr>
                <w:sz w:val="22"/>
              </w:rPr>
              <w:t>etc</w:t>
            </w:r>
            <w:proofErr w:type="spellEnd"/>
            <w:r w:rsidRPr="00CB40E1">
              <w:rPr>
                <w:sz w:val="22"/>
              </w:rPr>
              <w:t>)?</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C4742" w:rsidP="00A56818">
            <w:pPr>
              <w:pStyle w:val="TableTextCentred"/>
              <w:keepNext/>
              <w:keepLines/>
              <w:jc w:val="left"/>
              <w:cnfStyle w:val="000000100000" w:firstRow="0" w:lastRow="0" w:firstColumn="0" w:lastColumn="0" w:oddVBand="0" w:evenVBand="0" w:oddHBand="1" w:evenHBand="0" w:firstRowFirstColumn="0" w:firstRowLastColumn="0" w:lastRowFirstColumn="0" w:lastRowLastColumn="0"/>
              <w:rPr>
                <w:sz w:val="22"/>
              </w:rPr>
            </w:pPr>
            <w:r>
              <w:rPr>
                <w:sz w:val="22"/>
              </w:rPr>
              <w:t>T</w:t>
            </w:r>
            <w:r w:rsidR="00A56818">
              <w:rPr>
                <w:sz w:val="22"/>
              </w:rPr>
              <w:t xml:space="preserve">he Australian government </w:t>
            </w: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keepNext/>
              <w:keepLines/>
              <w:rPr>
                <w:sz w:val="22"/>
              </w:rPr>
            </w:pPr>
            <w:r w:rsidRPr="00CB40E1">
              <w:rPr>
                <w:sz w:val="22"/>
              </w:rPr>
              <w:t>Please specify whether any special administrative arrangements are proposed for the policy and whether these are expected to involve additional transactions/processing (by service delivery agencies).</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keepNext/>
              <w:keepLines/>
              <w:jc w:val="left"/>
              <w:cnfStyle w:val="000000000000" w:firstRow="0" w:lastRow="0" w:firstColumn="0" w:lastColumn="0" w:oddVBand="0" w:evenVBand="0" w:oddHBand="0" w:evenHBand="0" w:firstRowFirstColumn="0" w:firstRowLastColumn="0" w:lastRowFirstColumn="0" w:lastRowLastColumn="0"/>
              <w:rPr>
                <w:sz w:val="22"/>
              </w:rPr>
            </w:pP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date of implementation:</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r>
              <w:rPr>
                <w:sz w:val="22"/>
              </w:rPr>
              <w:t>1 September 2016</w:t>
            </w: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Intended duration of policy:</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9E5FB7" w:rsidP="00660385">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Pr>
                <w:sz w:val="22"/>
              </w:rPr>
              <w:t>Ongoing</w:t>
            </w: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Are there transitional arrangements associated with policy implementation?</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Tr="009E4903">
        <w:trPr>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t>List major data sources utilised to develop policy (for example, ABS catalogue number 3201.0).</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A56818" w:rsidRPr="00A56818" w:rsidRDefault="00A56818" w:rsidP="00A5681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332E29"/>
                <w:szCs w:val="20"/>
              </w:rPr>
            </w:pPr>
            <w:r w:rsidRPr="00A56818">
              <w:rPr>
                <w:szCs w:val="20"/>
              </w:rPr>
              <w:t xml:space="preserve">At </w:t>
            </w:r>
            <w:r w:rsidRPr="00A56818">
              <w:rPr>
                <w:rFonts w:ascii="Calibri" w:hAnsi="Calibri" w:cs="Calibri"/>
                <w:color w:val="332E29"/>
                <w:szCs w:val="20"/>
              </w:rPr>
              <w:t xml:space="preserve">30 June 2014, there were 393,844 households in social housing, with the majority in public rental housing (317,000), 9,800 in state managed and owned Indigenous housing (SOMIH) and 67,000 in mainstream community housing. </w:t>
            </w:r>
          </w:p>
          <w:p w:rsidR="00A56818" w:rsidRPr="00A56818" w:rsidRDefault="00A56818" w:rsidP="00A5681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FF"/>
                <w:szCs w:val="20"/>
              </w:rPr>
            </w:pPr>
            <w:r w:rsidRPr="00A56818">
              <w:rPr>
                <w:rFonts w:ascii="Calibri" w:hAnsi="Calibri" w:cs="Calibri"/>
                <w:color w:val="332E29"/>
                <w:szCs w:val="20"/>
              </w:rPr>
              <w:t xml:space="preserve">Although Indigenous community housing (ICH) data do not allow for number of households, as at 30 June 2014 there were 17,500 ICH dwellings. </w:t>
            </w:r>
            <w:r w:rsidRPr="00A56818">
              <w:rPr>
                <w:rFonts w:ascii="Calibri" w:hAnsi="Calibri" w:cs="Calibri"/>
                <w:color w:val="0000FF"/>
                <w:szCs w:val="20"/>
              </w:rPr>
              <w:t>http://www.aihw.gov.au/housing-assistance/haa/2015/social-housing-tenants/</w:t>
            </w:r>
          </w:p>
          <w:p w:rsidR="00A56818" w:rsidRPr="00A56818" w:rsidRDefault="00A56818" w:rsidP="00A5681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rPr>
            </w:pPr>
            <w:r w:rsidRPr="00A56818">
              <w:rPr>
                <w:rFonts w:ascii="Calibri" w:hAnsi="Calibri" w:cs="Calibri"/>
                <w:color w:val="000000"/>
                <w:szCs w:val="20"/>
              </w:rPr>
              <w:t>The average household size in social housing is 2 people. AIHW (2011) Housing Assistance.</w:t>
            </w:r>
          </w:p>
          <w:p w:rsidR="00A56818" w:rsidRPr="00A56818" w:rsidRDefault="00A56818" w:rsidP="00A56818">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color w:val="0000FF"/>
                <w:szCs w:val="20"/>
              </w:rPr>
            </w:pPr>
            <w:r w:rsidRPr="00A56818">
              <w:rPr>
                <w:rFonts w:ascii="Calibri" w:hAnsi="Calibri" w:cs="Calibri"/>
                <w:color w:val="000000"/>
                <w:szCs w:val="20"/>
              </w:rPr>
              <w:t xml:space="preserve"> Figure adapted from 2.5kW system so reduced by 1/6 at </w:t>
            </w:r>
            <w:r w:rsidRPr="00A56818">
              <w:rPr>
                <w:rFonts w:ascii="Calibri" w:hAnsi="Calibri" w:cs="Calibri"/>
                <w:color w:val="0000FF"/>
                <w:szCs w:val="20"/>
              </w:rPr>
              <w:t>http://www.solargain.com.au/how-much-does-solar-energy-save-you</w:t>
            </w:r>
          </w:p>
          <w:p w:rsidR="00640346" w:rsidRPr="00CB40E1" w:rsidRDefault="00A56818" w:rsidP="00A56818">
            <w:pPr>
              <w:pStyle w:val="TableTextCentred"/>
              <w:jc w:val="left"/>
              <w:cnfStyle w:val="000000000000" w:firstRow="0" w:lastRow="0" w:firstColumn="0" w:lastColumn="0" w:oddVBand="0" w:evenVBand="0" w:oddHBand="0" w:evenHBand="0" w:firstRowFirstColumn="0" w:firstRowLastColumn="0" w:lastRowFirstColumn="0" w:lastRowLastColumn="0"/>
              <w:rPr>
                <w:sz w:val="22"/>
              </w:rPr>
            </w:pPr>
            <w:r w:rsidRPr="00A56818">
              <w:rPr>
                <w:rFonts w:ascii="Calibri" w:hAnsi="Calibri" w:cs="Calibri"/>
                <w:color w:val="000000"/>
                <w:szCs w:val="20"/>
              </w:rPr>
              <w:t>AIHW (2010) A profile of social housing in Australia.</w:t>
            </w:r>
          </w:p>
        </w:tc>
      </w:tr>
      <w:tr w:rsidR="00640346" w:rsidTr="009E490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0" w:type="pct"/>
            <w:gridSpan w:val="2"/>
            <w:tcBorders>
              <w:top w:val="single" w:sz="4" w:space="0" w:color="788184"/>
              <w:left w:val="single" w:sz="4" w:space="0" w:color="788184"/>
              <w:bottom w:val="single" w:sz="4" w:space="0" w:color="788184"/>
              <w:right w:val="single" w:sz="4" w:space="0" w:color="788184"/>
            </w:tcBorders>
            <w:shd w:val="clear" w:color="auto" w:fill="auto"/>
          </w:tcPr>
          <w:p w:rsidR="00640346" w:rsidRPr="00CB40E1" w:rsidRDefault="00CB40E1" w:rsidP="00660385">
            <w:pPr>
              <w:pStyle w:val="TableText"/>
              <w:rPr>
                <w:sz w:val="22"/>
              </w:rPr>
            </w:pPr>
            <w:r w:rsidRPr="00CB40E1">
              <w:rPr>
                <w:sz w:val="22"/>
              </w:rPr>
              <w:lastRenderedPageBreak/>
              <w:t>Are there any other assumptions that need to be considered?</w:t>
            </w:r>
          </w:p>
        </w:tc>
        <w:tc>
          <w:tcPr>
            <w:tcW w:w="3830" w:type="pct"/>
            <w:gridSpan w:val="4"/>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cnfStyle w:val="000000100000" w:firstRow="0" w:lastRow="0" w:firstColumn="0" w:lastColumn="0" w:oddVBand="0" w:evenVBand="0" w:oddHBand="1" w:evenHBand="0" w:firstRowFirstColumn="0" w:firstRowLastColumn="0" w:lastRowFirstColumn="0" w:lastRowLastColumn="0"/>
              <w:rPr>
                <w:sz w:val="22"/>
              </w:rPr>
            </w:pPr>
          </w:p>
        </w:tc>
      </w:tr>
      <w:tr w:rsidR="00640346" w:rsidRPr="00CB40E1" w:rsidTr="00640346">
        <w:trPr>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auto"/>
            <w:vAlign w:val="top"/>
          </w:tcPr>
          <w:p w:rsidR="00640346" w:rsidRPr="00CB40E1" w:rsidRDefault="00640346" w:rsidP="00660385">
            <w:pPr>
              <w:pStyle w:val="TableTextCentred"/>
              <w:jc w:val="left"/>
              <w:rPr>
                <w:b/>
                <w:sz w:val="22"/>
              </w:rPr>
            </w:pPr>
            <w:r w:rsidRPr="00CB40E1">
              <w:rPr>
                <w:b/>
                <w:sz w:val="22"/>
              </w:rPr>
              <w:t>NOTE:</w:t>
            </w:r>
          </w:p>
          <w:p w:rsidR="00640346" w:rsidRPr="00CB40E1" w:rsidRDefault="00640346" w:rsidP="00660385">
            <w:pPr>
              <w:pStyle w:val="TableTextCentred"/>
              <w:jc w:val="left"/>
              <w:rPr>
                <w:i/>
                <w:sz w:val="22"/>
              </w:rPr>
            </w:pPr>
            <w:r w:rsidRPr="00CB40E1">
              <w:rPr>
                <w:i/>
                <w:sz w:val="22"/>
              </w:rPr>
              <w:t>Please note that:</w:t>
            </w:r>
          </w:p>
          <w:p w:rsidR="00CB40E1" w:rsidRPr="00CB40E1" w:rsidRDefault="00CB40E1" w:rsidP="00660385">
            <w:pPr>
              <w:pStyle w:val="TableTextBullet1"/>
              <w:numPr>
                <w:ilvl w:val="0"/>
                <w:numId w:val="0"/>
              </w:numPr>
              <w:ind w:left="113"/>
              <w:rPr>
                <w:i/>
                <w:sz w:val="22"/>
              </w:rPr>
            </w:pPr>
            <w:r w:rsidRPr="00CB40E1">
              <w:rPr>
                <w:i/>
                <w:sz w:val="22"/>
              </w:rPr>
              <w:t>The costing will be on the basis of information provided in this costing request.</w:t>
            </w:r>
          </w:p>
          <w:p w:rsidR="00640346" w:rsidRPr="00CB40E1" w:rsidRDefault="00CB40E1" w:rsidP="00660385">
            <w:pPr>
              <w:pStyle w:val="TableTextBullet1"/>
              <w:numPr>
                <w:ilvl w:val="0"/>
                <w:numId w:val="0"/>
              </w:numPr>
              <w:ind w:left="113"/>
              <w:rPr>
                <w:sz w:val="22"/>
              </w:rPr>
            </w:pPr>
            <w:r w:rsidRPr="00CB40E1">
              <w:rPr>
                <w:i/>
                <w:sz w:val="22"/>
              </w:rPr>
              <w:t>The PBO is not bound to accept the assumptions provided by the requestor.  If there is a material difference in the assumptions used by the PBO, the PBO will consult with the requestor in advance of the costing being completed.</w:t>
            </w:r>
          </w:p>
        </w:tc>
      </w:tr>
    </w:tbl>
    <w:p w:rsidR="0055581F" w:rsidRDefault="0055581F"/>
    <w:sectPr w:rsidR="0055581F" w:rsidSect="00BC559C">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6C6" w:rsidRDefault="007616C6" w:rsidP="008F588A">
      <w:pPr>
        <w:spacing w:line="240" w:lineRule="auto"/>
      </w:pPr>
      <w:r>
        <w:separator/>
      </w:r>
    </w:p>
  </w:endnote>
  <w:endnote w:type="continuationSeparator" w:id="0">
    <w:p w:rsidR="007616C6" w:rsidRDefault="007616C6" w:rsidP="008F58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DD30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8F588A" w:rsidP="008F588A">
          <w:pPr>
            <w:pStyle w:val="Footer"/>
            <w:spacing w:before="180" w:after="60"/>
            <w:ind w:left="0" w:right="0"/>
          </w:pPr>
        </w:p>
      </w:tc>
      <w:tc>
        <w:tcPr>
          <w:tcW w:w="2410" w:type="dxa"/>
          <w:shd w:val="clear" w:color="auto" w:fill="auto"/>
        </w:tcPr>
        <w:p w:rsidR="008F588A" w:rsidRPr="008F588A" w:rsidRDefault="008F588A" w:rsidP="008F588A">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B7476A">
            <w:rPr>
              <w:noProof/>
              <w:color w:val="788184"/>
              <w:szCs w:val="20"/>
            </w:rPr>
            <w:t>2</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B7476A">
            <w:rPr>
              <w:noProof/>
              <w:color w:val="788184"/>
              <w:szCs w:val="20"/>
            </w:rPr>
            <w:t>5</w:t>
          </w:r>
          <w:r w:rsidRPr="008F588A">
            <w:rPr>
              <w:color w:val="788184"/>
              <w:szCs w:val="20"/>
            </w:rPr>
            <w:fldChar w:fldCharType="end"/>
          </w:r>
        </w:p>
      </w:tc>
    </w:tr>
  </w:tbl>
  <w:p w:rsidR="008F588A" w:rsidRPr="00CB40E1" w:rsidRDefault="008F588A" w:rsidP="008F588A">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Look w:val="04A0" w:firstRow="1" w:lastRow="0" w:firstColumn="1" w:lastColumn="0" w:noHBand="0" w:noVBand="1"/>
    </w:tblPr>
    <w:tblGrid>
      <w:gridCol w:w="8080"/>
      <w:gridCol w:w="2410"/>
    </w:tblGrid>
    <w:tr w:rsidR="008F588A" w:rsidRPr="008F588A" w:rsidTr="00DD305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080" w:type="dxa"/>
          <w:shd w:val="clear" w:color="auto" w:fill="auto"/>
        </w:tcPr>
        <w:p w:rsidR="008F588A" w:rsidRDefault="00CF6DB6" w:rsidP="00CF6DB6">
          <w:pPr>
            <w:pStyle w:val="Footer"/>
            <w:spacing w:before="180" w:after="60"/>
            <w:ind w:left="0" w:right="0"/>
          </w:pPr>
          <w:r>
            <w:rPr>
              <w:color w:val="788184"/>
              <w:szCs w:val="20"/>
            </w:rPr>
            <w:t xml:space="preserve">Parliamentary Budget Office   </w:t>
          </w:r>
          <w:r w:rsidR="008F588A" w:rsidRPr="008F588A">
            <w:rPr>
              <w:color w:val="788184"/>
              <w:szCs w:val="20"/>
            </w:rPr>
            <w:t>PO Box 6010</w:t>
          </w:r>
          <w:r>
            <w:rPr>
              <w:color w:val="788184"/>
              <w:szCs w:val="20"/>
            </w:rPr>
            <w:t xml:space="preserve"> </w:t>
          </w:r>
          <w:r w:rsidR="008F588A" w:rsidRPr="008F588A">
            <w:rPr>
              <w:color w:val="788184"/>
              <w:szCs w:val="20"/>
            </w:rPr>
            <w:t xml:space="preserve">  Parliament House </w:t>
          </w:r>
          <w:r>
            <w:rPr>
              <w:color w:val="788184"/>
              <w:szCs w:val="20"/>
            </w:rPr>
            <w:t xml:space="preserve"> </w:t>
          </w:r>
          <w:r w:rsidR="008F588A" w:rsidRPr="008F588A">
            <w:rPr>
              <w:color w:val="788184"/>
              <w:szCs w:val="20"/>
            </w:rPr>
            <w:t xml:space="preserve"> Canberra ACT 2600</w:t>
          </w:r>
          <w:r>
            <w:rPr>
              <w:color w:val="788184"/>
              <w:szCs w:val="20"/>
            </w:rPr>
            <w:br/>
            <w:t xml:space="preserve">Tel: 02 6277 9500   Email: pbo@pbo.gov.au   </w:t>
          </w:r>
          <w:r w:rsidR="008F588A" w:rsidRPr="008F588A">
            <w:rPr>
              <w:color w:val="788184"/>
              <w:szCs w:val="20"/>
            </w:rPr>
            <w:t>Web: www.pbo.gov.au</w:t>
          </w:r>
        </w:p>
      </w:tc>
      <w:tc>
        <w:tcPr>
          <w:tcW w:w="2410" w:type="dxa"/>
          <w:shd w:val="clear" w:color="auto" w:fill="auto"/>
          <w:vAlign w:val="center"/>
        </w:tcPr>
        <w:p w:rsidR="008F588A" w:rsidRPr="008F588A" w:rsidRDefault="008F588A" w:rsidP="00CF6DB6">
          <w:pPr>
            <w:pStyle w:val="Footer"/>
            <w:spacing w:before="180" w:after="60"/>
            <w:ind w:left="0" w:right="0"/>
            <w:jc w:val="right"/>
            <w:cnfStyle w:val="100000000000" w:firstRow="1" w:lastRow="0" w:firstColumn="0" w:lastColumn="0" w:oddVBand="0" w:evenVBand="0" w:oddHBand="0" w:evenHBand="0" w:firstRowFirstColumn="0" w:firstRowLastColumn="0" w:lastRowFirstColumn="0" w:lastRowLastColumn="0"/>
            <w:rPr>
              <w:color w:val="788184"/>
            </w:rPr>
          </w:pPr>
          <w:r w:rsidRPr="008F588A">
            <w:rPr>
              <w:color w:val="788184"/>
              <w:szCs w:val="20"/>
            </w:rPr>
            <w:t xml:space="preserve">Page </w:t>
          </w:r>
          <w:r w:rsidRPr="008F588A">
            <w:rPr>
              <w:color w:val="788184"/>
              <w:szCs w:val="20"/>
            </w:rPr>
            <w:fldChar w:fldCharType="begin"/>
          </w:r>
          <w:r w:rsidRPr="008F588A">
            <w:rPr>
              <w:color w:val="788184"/>
              <w:szCs w:val="20"/>
            </w:rPr>
            <w:instrText xml:space="preserve"> PAGE  \* Arabic  \* MERGEFORMAT </w:instrText>
          </w:r>
          <w:r w:rsidRPr="008F588A">
            <w:rPr>
              <w:color w:val="788184"/>
              <w:szCs w:val="20"/>
            </w:rPr>
            <w:fldChar w:fldCharType="separate"/>
          </w:r>
          <w:r w:rsidR="00B7476A">
            <w:rPr>
              <w:noProof/>
              <w:color w:val="788184"/>
              <w:szCs w:val="20"/>
            </w:rPr>
            <w:t>1</w:t>
          </w:r>
          <w:r w:rsidRPr="008F588A">
            <w:rPr>
              <w:color w:val="788184"/>
              <w:szCs w:val="20"/>
            </w:rPr>
            <w:fldChar w:fldCharType="end"/>
          </w:r>
          <w:r w:rsidRPr="008F588A">
            <w:rPr>
              <w:color w:val="788184"/>
              <w:szCs w:val="20"/>
            </w:rPr>
            <w:t xml:space="preserve"> of </w:t>
          </w:r>
          <w:r w:rsidRPr="008F588A">
            <w:rPr>
              <w:color w:val="788184"/>
              <w:szCs w:val="20"/>
            </w:rPr>
            <w:fldChar w:fldCharType="begin"/>
          </w:r>
          <w:r w:rsidRPr="008F588A">
            <w:rPr>
              <w:color w:val="788184"/>
              <w:szCs w:val="20"/>
            </w:rPr>
            <w:instrText xml:space="preserve"> NUMPAGES  \* Arabic  \* MERGEFORMAT </w:instrText>
          </w:r>
          <w:r w:rsidRPr="008F588A">
            <w:rPr>
              <w:color w:val="788184"/>
              <w:szCs w:val="20"/>
            </w:rPr>
            <w:fldChar w:fldCharType="separate"/>
          </w:r>
          <w:r w:rsidR="00B7476A">
            <w:rPr>
              <w:noProof/>
              <w:color w:val="788184"/>
              <w:szCs w:val="20"/>
            </w:rPr>
            <w:t>5</w:t>
          </w:r>
          <w:r w:rsidRPr="008F588A">
            <w:rPr>
              <w:color w:val="788184"/>
              <w:szCs w:val="20"/>
            </w:rPr>
            <w:fldChar w:fldCharType="end"/>
          </w:r>
        </w:p>
      </w:tc>
    </w:tr>
  </w:tbl>
  <w:p w:rsidR="008F588A" w:rsidRPr="00CB40E1" w:rsidRDefault="008F588A">
    <w:pPr>
      <w:pStyle w:val="Footer"/>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6C6" w:rsidRDefault="007616C6" w:rsidP="008F588A">
      <w:pPr>
        <w:spacing w:line="240" w:lineRule="auto"/>
      </w:pPr>
      <w:r>
        <w:separator/>
      </w:r>
    </w:p>
  </w:footnote>
  <w:footnote w:type="continuationSeparator" w:id="0">
    <w:p w:rsidR="007616C6" w:rsidRDefault="007616C6" w:rsidP="008F58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Pr="008F588A" w:rsidRDefault="008F588A" w:rsidP="00CB40E1">
    <w:pPr>
      <w:pStyle w:val="Header"/>
      <w:spacing w:before="360" w:after="280"/>
      <w:rPr>
        <w:color w:val="788184"/>
      </w:rPr>
    </w:pPr>
    <w:r w:rsidRPr="008F588A">
      <w:rPr>
        <w:b/>
        <w:color w:val="788184"/>
        <w:sz w:val="20"/>
        <w:szCs w:val="20"/>
      </w:rPr>
      <w:t>PBO Policy costing request—during the caretaker period for a general election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88A" w:rsidRDefault="008F588A" w:rsidP="00CB40E1">
    <w:pPr>
      <w:pStyle w:val="Header"/>
    </w:pPr>
    <w:r>
      <w:rPr>
        <w:noProof/>
        <w:lang w:eastAsia="en-AU"/>
      </w:rPr>
      <w:drawing>
        <wp:inline distT="0" distB="0" distL="0" distR="0" wp14:anchorId="5FE611AD" wp14:editId="1840FB2F">
          <wp:extent cx="2696845" cy="572135"/>
          <wp:effectExtent l="0" t="0" r="825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45448"/>
    <w:multiLevelType w:val="multilevel"/>
    <w:tmpl w:val="30D6E9B2"/>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1">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2">
    <w:nsid w:val="19DE2101"/>
    <w:multiLevelType w:val="hybridMultilevel"/>
    <w:tmpl w:val="C518DC58"/>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4">
    <w:nsid w:val="332F5AFB"/>
    <w:multiLevelType w:val="hybridMultilevel"/>
    <w:tmpl w:val="01E627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7C51D71"/>
    <w:multiLevelType w:val="hybridMultilevel"/>
    <w:tmpl w:val="E4B6C228"/>
    <w:lvl w:ilvl="0" w:tplc="A502BAE8">
      <w:numFmt w:val="bullet"/>
      <w:lvlText w:val=""/>
      <w:lvlJc w:val="left"/>
      <w:pPr>
        <w:ind w:left="473" w:hanging="360"/>
      </w:pPr>
      <w:rPr>
        <w:rFonts w:ascii="Calibri" w:eastAsia="Times New Roman" w:hAnsi="Calibri" w:cs="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6">
    <w:nsid w:val="4E4D38AC"/>
    <w:multiLevelType w:val="hybridMultilevel"/>
    <w:tmpl w:val="C75EDE4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nsid w:val="6A9E6E85"/>
    <w:multiLevelType w:val="hybridMultilevel"/>
    <w:tmpl w:val="580AFB7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8">
    <w:nsid w:val="71CE2F93"/>
    <w:multiLevelType w:val="multilevel"/>
    <w:tmpl w:val="9A7284A0"/>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9">
    <w:nsid w:val="741049F2"/>
    <w:multiLevelType w:val="hybridMultilevel"/>
    <w:tmpl w:val="07F0FF32"/>
    <w:lvl w:ilvl="0" w:tplc="C08C2FA6">
      <w:start w:val="15"/>
      <w:numFmt w:val="bullet"/>
      <w:lvlText w:val=""/>
      <w:lvlJc w:val="left"/>
      <w:pPr>
        <w:ind w:left="473" w:hanging="360"/>
      </w:pPr>
      <w:rPr>
        <w:rFonts w:ascii="Symbol" w:eastAsiaTheme="minorHAnsi" w:hAnsi="Symbol" w:cstheme="minorBidi"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8"/>
  </w:num>
  <w:num w:numId="6">
    <w:abstractNumId w:val="6"/>
  </w:num>
  <w:num w:numId="7">
    <w:abstractNumId w:val="4"/>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2D"/>
    <w:rsid w:val="000B16B1"/>
    <w:rsid w:val="0014239B"/>
    <w:rsid w:val="00406F4D"/>
    <w:rsid w:val="00485140"/>
    <w:rsid w:val="004B4683"/>
    <w:rsid w:val="004C1147"/>
    <w:rsid w:val="004C5CC2"/>
    <w:rsid w:val="00511A20"/>
    <w:rsid w:val="00515A85"/>
    <w:rsid w:val="0055581F"/>
    <w:rsid w:val="005F7DE0"/>
    <w:rsid w:val="00640346"/>
    <w:rsid w:val="00660385"/>
    <w:rsid w:val="00693D79"/>
    <w:rsid w:val="007202A8"/>
    <w:rsid w:val="007616C6"/>
    <w:rsid w:val="007854E4"/>
    <w:rsid w:val="007B029A"/>
    <w:rsid w:val="007C4F2D"/>
    <w:rsid w:val="00834885"/>
    <w:rsid w:val="008B1774"/>
    <w:rsid w:val="008F588A"/>
    <w:rsid w:val="00902D2D"/>
    <w:rsid w:val="009269CE"/>
    <w:rsid w:val="009C4742"/>
    <w:rsid w:val="009E4903"/>
    <w:rsid w:val="009E5FB7"/>
    <w:rsid w:val="00A178A9"/>
    <w:rsid w:val="00A56818"/>
    <w:rsid w:val="00A85F06"/>
    <w:rsid w:val="00B7476A"/>
    <w:rsid w:val="00BC559C"/>
    <w:rsid w:val="00CB40E1"/>
    <w:rsid w:val="00CF6DB6"/>
    <w:rsid w:val="00D134CA"/>
    <w:rsid w:val="00DD305D"/>
    <w:rsid w:val="00E15AAE"/>
    <w:rsid w:val="00F954CF"/>
    <w:rsid w:val="00FC6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aliases w:val="List Paragraph1,Recommendation,List Paragraph11"/>
    <w:basedOn w:val="Normal"/>
    <w:link w:val="ListParagraphChar"/>
    <w:uiPriority w:val="34"/>
    <w:qFormat/>
    <w:rsid w:val="00A85F06"/>
    <w:pPr>
      <w:spacing w:after="200" w:line="276" w:lineRule="auto"/>
      <w:ind w:left="720"/>
      <w:contextualSpacing/>
    </w:pPr>
    <w:rPr>
      <w:lang w:val="en-US"/>
    </w:rPr>
  </w:style>
  <w:style w:type="character" w:customStyle="1" w:styleId="ListParagraphChar">
    <w:name w:val="List Paragraph Char"/>
    <w:aliases w:val="List Paragraph1 Char,Recommendation Char,List Paragraph11 Char"/>
    <w:link w:val="ListParagraph"/>
    <w:uiPriority w:val="34"/>
    <w:locked/>
    <w:rsid w:val="00A85F06"/>
    <w:rPr>
      <w:lang w:val="en-US"/>
    </w:rPr>
  </w:style>
  <w:style w:type="character" w:styleId="EndnoteReference">
    <w:name w:val="endnote reference"/>
    <w:basedOn w:val="DefaultParagraphFont"/>
    <w:uiPriority w:val="99"/>
    <w:unhideWhenUsed/>
    <w:rsid w:val="004C1147"/>
    <w:rPr>
      <w:vertAlign w:val="superscript"/>
    </w:rPr>
  </w:style>
  <w:style w:type="paragraph" w:styleId="NormalWeb">
    <w:name w:val="Normal (Web)"/>
    <w:basedOn w:val="Normal"/>
    <w:uiPriority w:val="99"/>
    <w:unhideWhenUsed/>
    <w:rsid w:val="004C11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unhideWhenUsed/>
    <w:rsid w:val="004C1147"/>
    <w:pPr>
      <w:spacing w:line="240" w:lineRule="auto"/>
    </w:pPr>
    <w:rPr>
      <w:sz w:val="20"/>
      <w:szCs w:val="20"/>
    </w:rPr>
  </w:style>
  <w:style w:type="character" w:customStyle="1" w:styleId="EndnoteTextChar">
    <w:name w:val="Endnote Text Char"/>
    <w:basedOn w:val="DefaultParagraphFont"/>
    <w:link w:val="EndnoteText"/>
    <w:uiPriority w:val="99"/>
    <w:rsid w:val="004C1147"/>
    <w:rPr>
      <w:sz w:val="20"/>
      <w:szCs w:val="20"/>
    </w:rPr>
  </w:style>
  <w:style w:type="paragraph" w:customStyle="1" w:styleId="Default">
    <w:name w:val="Default"/>
    <w:rsid w:val="00A178A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588A"/>
    <w:pPr>
      <w:spacing w:after="0"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CF6DB6"/>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32"/>
      <w:szCs w:val="28"/>
    </w:rPr>
  </w:style>
  <w:style w:type="paragraph" w:styleId="Heading3">
    <w:name w:val="heading 3"/>
    <w:basedOn w:val="Normal"/>
    <w:next w:val="BodyText"/>
    <w:link w:val="Heading3Char"/>
    <w:qFormat/>
    <w:rsid w:val="00CF6DB6"/>
    <w:pPr>
      <w:keepNext/>
      <w:keepLines/>
      <w:numPr>
        <w:ilvl w:val="2"/>
        <w:numId w:val="1"/>
      </w:numPr>
      <w:tabs>
        <w:tab w:val="left" w:pos="1418"/>
        <w:tab w:val="left" w:pos="1701"/>
        <w:tab w:val="left" w:pos="1985"/>
      </w:tabs>
      <w:spacing w:before="470" w:after="227"/>
      <w:outlineLvl w:val="2"/>
    </w:pPr>
    <w:rPr>
      <w:b/>
      <w:color w:val="2B3B5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CF6DB6"/>
    <w:rPr>
      <w:rFonts w:asciiTheme="majorHAnsi" w:hAnsiTheme="majorHAnsi"/>
      <w:bCs/>
      <w:iCs/>
      <w:color w:val="2B3B5F"/>
      <w:kern w:val="20"/>
      <w:sz w:val="32"/>
      <w:szCs w:val="28"/>
    </w:rPr>
  </w:style>
  <w:style w:type="character" w:customStyle="1" w:styleId="Heading3Char">
    <w:name w:val="Heading 3 Char"/>
    <w:basedOn w:val="DefaultParagraphFont"/>
    <w:link w:val="Heading3"/>
    <w:rsid w:val="00CF6DB6"/>
    <w:rPr>
      <w:b/>
      <w:color w:val="2B3B5F"/>
      <w:sz w:val="28"/>
    </w:rPr>
  </w:style>
  <w:style w:type="table" w:styleId="TableGrid">
    <w:name w:val="Table Grid"/>
    <w:basedOn w:val="TableNormal"/>
    <w:rsid w:val="00515A85"/>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shd w:val="clear" w:color="auto" w:fill="FFFFFF" w:themeFill="background1"/>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i w:val="0"/>
        <w:color w:val="auto"/>
        <w:sz w:val="20"/>
      </w:rPr>
      <w:tblPr/>
      <w:tcPr>
        <w:shd w:val="clear" w:color="auto" w:fill="D7DDE9"/>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8F588A"/>
    <w:pPr>
      <w:keepNext/>
      <w:keepLines/>
      <w:spacing w:before="70" w:after="70" w:line="260" w:lineRule="atLeast"/>
      <w:ind w:left="113" w:right="113"/>
    </w:pPr>
    <w:rPr>
      <w:rFonts w:cs="Times New Roman"/>
      <w:b/>
      <w:color w:val="FFFFFF"/>
      <w:sz w:val="20"/>
    </w:rPr>
  </w:style>
  <w:style w:type="paragraph" w:customStyle="1" w:styleId="TableHeadingCentred">
    <w:name w:val="Table Heading Centred"/>
    <w:basedOn w:val="TableHeading"/>
    <w:qFormat/>
    <w:rsid w:val="008F588A"/>
    <w:pPr>
      <w:jc w:val="center"/>
    </w:pPr>
    <w:rPr>
      <w:color w:val="auto"/>
    </w:rPr>
  </w:style>
  <w:style w:type="paragraph" w:customStyle="1" w:styleId="TableText">
    <w:name w:val="Table Text"/>
    <w:basedOn w:val="Normal"/>
    <w:qFormat/>
    <w:rsid w:val="008F588A"/>
    <w:pPr>
      <w:spacing w:before="70" w:after="70" w:line="260" w:lineRule="atLeast"/>
      <w:ind w:left="113" w:right="113"/>
    </w:pPr>
    <w:rPr>
      <w:rFonts w:cs="Times New Roman"/>
      <w:sz w:val="20"/>
    </w:rPr>
  </w:style>
  <w:style w:type="paragraph" w:customStyle="1" w:styleId="TableTextCentred">
    <w:name w:val="Table Text Centred"/>
    <w:basedOn w:val="TableText"/>
    <w:qFormat/>
    <w:rsid w:val="0014239B"/>
    <w:pPr>
      <w:jc w:val="center"/>
    </w:pPr>
    <w:rPr>
      <w:rFonts w:eastAsia="Times New Roman"/>
      <w:lang w:eastAsia="en-AU"/>
    </w:rPr>
  </w:style>
  <w:style w:type="paragraph" w:styleId="BodyText">
    <w:name w:val="Body Text"/>
    <w:basedOn w:val="Normal"/>
    <w:link w:val="BodyTextChar"/>
    <w:uiPriority w:val="99"/>
    <w:semiHidden/>
    <w:unhideWhenUsed/>
    <w:rsid w:val="008F588A"/>
    <w:pPr>
      <w:spacing w:after="120"/>
    </w:pPr>
  </w:style>
  <w:style w:type="character" w:customStyle="1" w:styleId="BodyTextChar">
    <w:name w:val="Body Text Char"/>
    <w:basedOn w:val="DefaultParagraphFont"/>
    <w:link w:val="BodyText"/>
    <w:uiPriority w:val="99"/>
    <w:semiHidden/>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iPriority w:val="99"/>
    <w:unhideWhenUsed/>
    <w:rsid w:val="008F588A"/>
    <w:pPr>
      <w:tabs>
        <w:tab w:val="center" w:pos="4513"/>
        <w:tab w:val="right" w:pos="9026"/>
      </w:tabs>
      <w:spacing w:line="240" w:lineRule="auto"/>
    </w:pPr>
  </w:style>
  <w:style w:type="character" w:customStyle="1" w:styleId="FooterChar">
    <w:name w:val="Footer Char"/>
    <w:basedOn w:val="DefaultParagraphFont"/>
    <w:link w:val="Footer"/>
    <w:uiPriority w:val="99"/>
    <w:rsid w:val="008F588A"/>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rsid w:val="008F588A"/>
    <w:pPr>
      <w:numPr>
        <w:numId w:val="3"/>
      </w:numPr>
    </w:pPr>
  </w:style>
  <w:style w:type="paragraph" w:customStyle="1" w:styleId="TableTextBullet2">
    <w:name w:val="Table Text Bullet 2"/>
    <w:basedOn w:val="TableTextBullet"/>
    <w:qFormat/>
    <w:rsid w:val="008F588A"/>
    <w:pPr>
      <w:numPr>
        <w:ilvl w:val="1"/>
      </w:numPr>
    </w:pPr>
    <w:rPr>
      <w:bCs/>
    </w:rPr>
  </w:style>
  <w:style w:type="paragraph" w:customStyle="1" w:styleId="TableTextBullet3">
    <w:name w:val="Table Text Bullet 3"/>
    <w:basedOn w:val="TableTextBullet2"/>
    <w:qFormat/>
    <w:rsid w:val="008F588A"/>
    <w:pPr>
      <w:numPr>
        <w:ilvl w:val="2"/>
      </w:numPr>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qFormat/>
    <w:rsid w:val="0014239B"/>
    <w:pPr>
      <w:numPr>
        <w:ilvl w:val="2"/>
        <w:numId w:val="5"/>
      </w:numPr>
      <w:spacing w:line="240" w:lineRule="auto"/>
      <w:ind w:left="283"/>
    </w:pPr>
    <w:rPr>
      <w:rFonts w:eastAsia="Times New Roman" w:cs="Times New Roman"/>
      <w:sz w:val="20"/>
      <w:lang w:eastAsia="en-AU"/>
    </w:rPr>
  </w:style>
  <w:style w:type="table" w:customStyle="1" w:styleId="Style1">
    <w:name w:val="Style1"/>
    <w:basedOn w:val="TableNormal"/>
    <w:uiPriority w:val="99"/>
    <w:rsid w:val="00515A85"/>
    <w:pPr>
      <w:spacing w:after="0" w:line="240" w:lineRule="auto"/>
    </w:pPr>
    <w:tblPr/>
  </w:style>
  <w:style w:type="paragraph" w:styleId="ListParagraph">
    <w:name w:val="List Paragraph"/>
    <w:aliases w:val="List Paragraph1,Recommendation,List Paragraph11"/>
    <w:basedOn w:val="Normal"/>
    <w:link w:val="ListParagraphChar"/>
    <w:uiPriority w:val="34"/>
    <w:qFormat/>
    <w:rsid w:val="00A85F06"/>
    <w:pPr>
      <w:spacing w:after="200" w:line="276" w:lineRule="auto"/>
      <w:ind w:left="720"/>
      <w:contextualSpacing/>
    </w:pPr>
    <w:rPr>
      <w:lang w:val="en-US"/>
    </w:rPr>
  </w:style>
  <w:style w:type="character" w:customStyle="1" w:styleId="ListParagraphChar">
    <w:name w:val="List Paragraph Char"/>
    <w:aliases w:val="List Paragraph1 Char,Recommendation Char,List Paragraph11 Char"/>
    <w:link w:val="ListParagraph"/>
    <w:uiPriority w:val="34"/>
    <w:locked/>
    <w:rsid w:val="00A85F06"/>
    <w:rPr>
      <w:lang w:val="en-US"/>
    </w:rPr>
  </w:style>
  <w:style w:type="character" w:styleId="EndnoteReference">
    <w:name w:val="endnote reference"/>
    <w:basedOn w:val="DefaultParagraphFont"/>
    <w:uiPriority w:val="99"/>
    <w:unhideWhenUsed/>
    <w:rsid w:val="004C1147"/>
    <w:rPr>
      <w:vertAlign w:val="superscript"/>
    </w:rPr>
  </w:style>
  <w:style w:type="paragraph" w:styleId="NormalWeb">
    <w:name w:val="Normal (Web)"/>
    <w:basedOn w:val="Normal"/>
    <w:uiPriority w:val="99"/>
    <w:unhideWhenUsed/>
    <w:rsid w:val="004C11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EndnoteText">
    <w:name w:val="endnote text"/>
    <w:basedOn w:val="Normal"/>
    <w:link w:val="EndnoteTextChar"/>
    <w:uiPriority w:val="99"/>
    <w:unhideWhenUsed/>
    <w:rsid w:val="004C1147"/>
    <w:pPr>
      <w:spacing w:line="240" w:lineRule="auto"/>
    </w:pPr>
    <w:rPr>
      <w:sz w:val="20"/>
      <w:szCs w:val="20"/>
    </w:rPr>
  </w:style>
  <w:style w:type="character" w:customStyle="1" w:styleId="EndnoteTextChar">
    <w:name w:val="Endnote Text Char"/>
    <w:basedOn w:val="DefaultParagraphFont"/>
    <w:link w:val="EndnoteText"/>
    <w:uiPriority w:val="99"/>
    <w:rsid w:val="004C1147"/>
    <w:rPr>
      <w:sz w:val="20"/>
      <w:szCs w:val="20"/>
    </w:rPr>
  </w:style>
  <w:style w:type="paragraph" w:customStyle="1" w:styleId="Default">
    <w:name w:val="Default"/>
    <w:rsid w:val="00A178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eens.org.au/sites/greens.org.au/files/Greens%20initiaitve%20-%20Renewing%20public%20and%20communtiy%20housing%20inititiative%20finalbkjune14.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1203</Words>
  <Characters>6858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Policy costing request—during the caretaker period for a general election</vt:lpstr>
    </vt:vector>
  </TitlesOfParts>
  <Company>Parliament of Australia</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costing request—during the caretaker period for a general election</dc:title>
  <dc:creator>Australian Greens</dc:creator>
  <cp:lastModifiedBy>Milligan, Louise (PBO)</cp:lastModifiedBy>
  <cp:revision>4</cp:revision>
  <cp:lastPrinted>2016-04-20T06:27:00Z</cp:lastPrinted>
  <dcterms:created xsi:type="dcterms:W3CDTF">2016-06-30T02:53:00Z</dcterms:created>
  <dcterms:modified xsi:type="dcterms:W3CDTF">2016-06-30T06:51:00Z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