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3128"/>
        <w:gridCol w:w="656"/>
        <w:gridCol w:w="1180"/>
        <w:gridCol w:w="1837"/>
        <w:gridCol w:w="1835"/>
        <w:gridCol w:w="1840"/>
      </w:tblGrid>
      <w:tr w:rsidR="008F588A" w:rsidRPr="00515A85" w:rsidTr="006403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8F588A" w:rsidRPr="00515A85" w:rsidRDefault="00485140" w:rsidP="004C1147">
            <w:pPr>
              <w:pStyle w:val="TableHeadingCentred"/>
              <w:ind w:left="0"/>
              <w:jc w:val="left"/>
              <w:cnfStyle w:val="100000000000" w:firstRow="1" w:lastRow="0" w:firstColumn="0" w:lastColumn="0" w:oddVBand="0" w:evenVBand="0" w:oddHBand="0" w:evenHBand="0" w:firstRowFirstColumn="0" w:firstRowLastColumn="0" w:lastRowFirstColumn="0" w:lastRowLastColumn="0"/>
              <w:rPr>
                <w:b/>
                <w:sz w:val="22"/>
              </w:rPr>
            </w:pPr>
            <w:r>
              <w:rPr>
                <w:sz w:val="22"/>
              </w:rPr>
              <w:t xml:space="preserve"> National </w:t>
            </w:r>
            <w:r w:rsidR="004C1147">
              <w:rPr>
                <w:sz w:val="22"/>
              </w:rPr>
              <w:t xml:space="preserve">Green Buildings Plan </w:t>
            </w:r>
            <w:r>
              <w:rPr>
                <w:sz w:val="22"/>
              </w:rPr>
              <w:t xml:space="preserve"> </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2F0D52"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30</w:t>
            </w:r>
            <w:r w:rsidR="00485140">
              <w:rPr>
                <w:sz w:val="22"/>
              </w:rPr>
              <w:t xml:space="preserve"> June 2016 </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(ie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2F0D52"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2F0D52">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85140" w:rsidP="00485140">
            <w:pPr>
              <w:pStyle w:val="TableTextCentred"/>
              <w:ind w:left="0"/>
              <w:jc w:val="left"/>
              <w:cnfStyle w:val="000000000000" w:firstRow="0" w:lastRow="0" w:firstColumn="0" w:lastColumn="0" w:oddVBand="0" w:evenVBand="0" w:oddHBand="0" w:evenHBand="0" w:firstRowFirstColumn="0" w:firstRowLastColumn="0" w:lastRowFirstColumn="0" w:lastRowLastColumn="0"/>
              <w:rPr>
                <w:sz w:val="22"/>
              </w:rPr>
            </w:pPr>
            <w:r>
              <w:rPr>
                <w:sz w:val="22"/>
              </w:rPr>
              <w:t>Thursday 30</w:t>
            </w:r>
            <w:r w:rsidRPr="00485140">
              <w:rPr>
                <w:sz w:val="22"/>
                <w:vertAlign w:val="superscript"/>
              </w:rPr>
              <w:t>th</w:t>
            </w:r>
            <w:r>
              <w:rPr>
                <w:sz w:val="22"/>
              </w:rPr>
              <w:t xml:space="preserve"> June 2016 </w:t>
            </w:r>
          </w:p>
        </w:tc>
      </w:tr>
      <w:tr w:rsidR="008F588A" w:rsidRPr="00903231" w:rsidTr="00A8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A85F06">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4C1147" w:rsidRPr="00D92DE7" w:rsidRDefault="004C1147" w:rsidP="004C1147">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D92DE7">
              <w:rPr>
                <w:bCs/>
                <w:szCs w:val="20"/>
              </w:rPr>
              <w:t xml:space="preserve">To keep </w:t>
            </w:r>
            <w:r>
              <w:rPr>
                <w:bCs/>
                <w:szCs w:val="20"/>
              </w:rPr>
              <w:t xml:space="preserve">global warming </w:t>
            </w:r>
            <w:r w:rsidRPr="00D92DE7">
              <w:rPr>
                <w:bCs/>
                <w:szCs w:val="20"/>
              </w:rPr>
              <w:t>within 1.5° degrees</w:t>
            </w:r>
            <w:r>
              <w:rPr>
                <w:bCs/>
                <w:szCs w:val="20"/>
              </w:rPr>
              <w:t xml:space="preserve">, to </w:t>
            </w:r>
            <w:r w:rsidRPr="00D92DE7">
              <w:rPr>
                <w:bCs/>
                <w:szCs w:val="20"/>
              </w:rPr>
              <w:t>support the Greens</w:t>
            </w:r>
            <w:r>
              <w:rPr>
                <w:bCs/>
                <w:szCs w:val="20"/>
              </w:rPr>
              <w:t>’</w:t>
            </w:r>
            <w:r w:rsidRPr="00D92DE7">
              <w:rPr>
                <w:bCs/>
                <w:szCs w:val="20"/>
              </w:rPr>
              <w:t xml:space="preserve"> </w:t>
            </w:r>
            <w:r>
              <w:rPr>
                <w:bCs/>
                <w:szCs w:val="20"/>
              </w:rPr>
              <w:t>plan to</w:t>
            </w:r>
            <w:r w:rsidRPr="00D92DE7">
              <w:rPr>
                <w:bCs/>
                <w:szCs w:val="20"/>
              </w:rPr>
              <w:t xml:space="preserve"> </w:t>
            </w:r>
            <w:r>
              <w:rPr>
                <w:bCs/>
                <w:szCs w:val="20"/>
              </w:rPr>
              <w:t xml:space="preserve">double energy efficiency by 2030, and to reach </w:t>
            </w:r>
            <w:r w:rsidRPr="00D92DE7">
              <w:rPr>
                <w:bCs/>
                <w:szCs w:val="20"/>
              </w:rPr>
              <w:t>net zero carbon pollution by 2040</w:t>
            </w:r>
            <w:r w:rsidRPr="00D92DE7">
              <w:rPr>
                <w:rStyle w:val="EndnoteReference"/>
                <w:szCs w:val="20"/>
              </w:rPr>
              <w:endnoteReference w:id="1"/>
            </w:r>
            <w:r w:rsidRPr="00D92DE7">
              <w:rPr>
                <w:bCs/>
                <w:szCs w:val="20"/>
              </w:rPr>
              <w:t xml:space="preserve"> t</w:t>
            </w:r>
            <w:r w:rsidRPr="00D92DE7">
              <w:rPr>
                <w:szCs w:val="20"/>
              </w:rPr>
              <w:t>he Greens will introduce:</w:t>
            </w:r>
          </w:p>
          <w:p w:rsidR="004C1147" w:rsidRDefault="004C1147" w:rsidP="004C1147">
            <w:pPr>
              <w:spacing w:line="240" w:lineRule="auto"/>
              <w:cnfStyle w:val="000000000000" w:firstRow="0" w:lastRow="0" w:firstColumn="0" w:lastColumn="0" w:oddVBand="0" w:evenVBand="0" w:oddHBand="0" w:evenHBand="0" w:firstRowFirstColumn="0" w:firstRowLastColumn="0" w:lastRowFirstColumn="0" w:lastRowLastColumn="0"/>
              <w:rPr>
                <w:b/>
                <w:szCs w:val="20"/>
              </w:rPr>
            </w:pPr>
          </w:p>
          <w:p w:rsidR="004C1147" w:rsidRPr="009D3031" w:rsidRDefault="004C1147" w:rsidP="006E2DC1">
            <w:pPr>
              <w:pStyle w:val="ListParagraph"/>
              <w:numPr>
                <w:ilvl w:val="0"/>
                <w:numId w:val="7"/>
              </w:numPr>
              <w:spacing w:after="0" w:line="240" w:lineRule="auto"/>
              <w:ind w:left="414" w:right="57" w:hanging="357"/>
              <w:contextualSpacing w:val="0"/>
              <w:cnfStyle w:val="000000000000" w:firstRow="0" w:lastRow="0" w:firstColumn="0" w:lastColumn="0" w:oddVBand="0" w:evenVBand="0" w:oddHBand="0" w:evenHBand="0" w:firstRowFirstColumn="0" w:firstRowLastColumn="0" w:lastRowFirstColumn="0" w:lastRowLastColumn="0"/>
              <w:rPr>
                <w:szCs w:val="20"/>
              </w:rPr>
            </w:pPr>
            <w:r w:rsidRPr="00CF7EA7">
              <w:rPr>
                <w:b/>
                <w:szCs w:val="20"/>
              </w:rPr>
              <w:t>A</w:t>
            </w:r>
            <w:r>
              <w:rPr>
                <w:b/>
                <w:szCs w:val="20"/>
              </w:rPr>
              <w:t xml:space="preserve"> </w:t>
            </w:r>
            <w:r w:rsidRPr="00CF7EA7">
              <w:rPr>
                <w:b/>
                <w:bCs/>
                <w:szCs w:val="20"/>
              </w:rPr>
              <w:t xml:space="preserve">national target </w:t>
            </w:r>
            <w:r>
              <w:rPr>
                <w:b/>
                <w:bCs/>
                <w:szCs w:val="20"/>
              </w:rPr>
              <w:t>of 100%</w:t>
            </w:r>
            <w:r w:rsidRPr="00CF7EA7">
              <w:rPr>
                <w:b/>
                <w:bCs/>
                <w:szCs w:val="20"/>
              </w:rPr>
              <w:t xml:space="preserve"> zero carbon buildings by 2040</w:t>
            </w:r>
          </w:p>
          <w:p w:rsidR="002F0D52" w:rsidRPr="002F0D52" w:rsidRDefault="002F0D52" w:rsidP="006E2DC1">
            <w:pPr>
              <w:pStyle w:val="ListParagraph"/>
              <w:numPr>
                <w:ilvl w:val="0"/>
                <w:numId w:val="7"/>
              </w:numPr>
              <w:spacing w:after="0" w:line="240" w:lineRule="auto"/>
              <w:ind w:left="414" w:right="57" w:hanging="357"/>
              <w:cnfStyle w:val="000000000000" w:firstRow="0" w:lastRow="0" w:firstColumn="0" w:lastColumn="0" w:oddVBand="0" w:evenVBand="0" w:oddHBand="0" w:evenHBand="0" w:firstRowFirstColumn="0" w:firstRowLastColumn="0" w:lastRowFirstColumn="0" w:lastRowLastColumn="0"/>
              <w:rPr>
                <w:rFonts w:eastAsia="Calibri"/>
                <w:bCs/>
                <w:szCs w:val="20"/>
              </w:rPr>
            </w:pPr>
            <w:r>
              <w:rPr>
                <w:rFonts w:eastAsia="Calibri"/>
                <w:bCs/>
                <w:szCs w:val="20"/>
              </w:rPr>
              <w:t xml:space="preserve">Drive the uptake of Environment Upgrade Agreements by having </w:t>
            </w:r>
            <w:r>
              <w:rPr>
                <w:lang w:val="en-AU"/>
              </w:rPr>
              <w:t>the federal government offer local councils $5 per tonne of abatement over the 10 year life of the project for signing up agreements.</w:t>
            </w:r>
          </w:p>
          <w:p w:rsidR="004C1147" w:rsidRDefault="004C1147" w:rsidP="006E2DC1">
            <w:pPr>
              <w:pStyle w:val="ListParagraph"/>
              <w:numPr>
                <w:ilvl w:val="0"/>
                <w:numId w:val="7"/>
              </w:numPr>
              <w:spacing w:after="0" w:line="240" w:lineRule="auto"/>
              <w:ind w:left="414" w:right="57" w:hanging="357"/>
              <w:cnfStyle w:val="000000000000" w:firstRow="0" w:lastRow="0" w:firstColumn="0" w:lastColumn="0" w:oddVBand="0" w:evenVBand="0" w:oddHBand="0" w:evenHBand="0" w:firstRowFirstColumn="0" w:firstRowLastColumn="0" w:lastRowFirstColumn="0" w:lastRowLastColumn="0"/>
              <w:rPr>
                <w:rFonts w:eastAsia="Calibri"/>
                <w:bCs/>
                <w:szCs w:val="20"/>
              </w:rPr>
            </w:pPr>
            <w:r w:rsidRPr="00B5420A">
              <w:rPr>
                <w:rFonts w:eastAsia="Calibri"/>
                <w:bCs/>
                <w:szCs w:val="20"/>
                <w:lang w:val="en-AU"/>
              </w:rPr>
              <w:t>A new</w:t>
            </w:r>
            <w:r>
              <w:rPr>
                <w:rFonts w:eastAsia="Calibri"/>
                <w:b/>
                <w:bCs/>
                <w:szCs w:val="20"/>
                <w:lang w:val="en-AU"/>
              </w:rPr>
              <w:t xml:space="preserve"> </w:t>
            </w:r>
            <w:r w:rsidRPr="00D92DE7">
              <w:rPr>
                <w:rFonts w:eastAsia="Calibri"/>
                <w:b/>
                <w:bCs/>
                <w:szCs w:val="20"/>
                <w:lang w:val="en-AU"/>
              </w:rPr>
              <w:t xml:space="preserve">$100m </w:t>
            </w:r>
            <w:r>
              <w:rPr>
                <w:rFonts w:eastAsia="Calibri"/>
                <w:b/>
                <w:bCs/>
                <w:szCs w:val="20"/>
                <w:lang w:val="en-AU"/>
              </w:rPr>
              <w:t xml:space="preserve">annual </w:t>
            </w:r>
            <w:r w:rsidRPr="00D92DE7">
              <w:rPr>
                <w:rFonts w:eastAsia="Calibri"/>
                <w:b/>
                <w:bCs/>
                <w:szCs w:val="20"/>
                <w:lang w:val="en-AU"/>
              </w:rPr>
              <w:t xml:space="preserve">loan facility through the CEFC for </w:t>
            </w:r>
            <w:r w:rsidRPr="00D92DE7">
              <w:rPr>
                <w:rFonts w:eastAsia="Calibri"/>
                <w:b/>
                <w:bCs/>
                <w:szCs w:val="20"/>
              </w:rPr>
              <w:t>large scale retrofits of commercial buildings</w:t>
            </w:r>
            <w:r w:rsidRPr="00D92DE7">
              <w:rPr>
                <w:rFonts w:eastAsia="Calibri"/>
                <w:bCs/>
                <w:szCs w:val="20"/>
              </w:rPr>
              <w:t xml:space="preserve"> with a focus on mid-tier commercial buildings (</w:t>
            </w:r>
            <w:r>
              <w:rPr>
                <w:rFonts w:eastAsia="Calibri"/>
                <w:bCs/>
                <w:szCs w:val="20"/>
              </w:rPr>
              <w:t xml:space="preserve">small and </w:t>
            </w:r>
            <w:r w:rsidRPr="00D92DE7">
              <w:rPr>
                <w:rFonts w:eastAsia="Calibri"/>
                <w:bCs/>
                <w:szCs w:val="20"/>
              </w:rPr>
              <w:t>medium size businesses)</w:t>
            </w:r>
          </w:p>
          <w:p w:rsidR="004C1147" w:rsidRPr="00457F7D" w:rsidRDefault="004C1147" w:rsidP="006E2DC1">
            <w:pPr>
              <w:pStyle w:val="ListParagraph"/>
              <w:numPr>
                <w:ilvl w:val="0"/>
                <w:numId w:val="7"/>
              </w:numPr>
              <w:spacing w:after="0" w:line="240" w:lineRule="auto"/>
              <w:ind w:left="414" w:right="57" w:hanging="357"/>
              <w:cnfStyle w:val="000000000000" w:firstRow="0" w:lastRow="0" w:firstColumn="0" w:lastColumn="0" w:oddVBand="0" w:evenVBand="0" w:oddHBand="0" w:evenHBand="0" w:firstRowFirstColumn="0" w:firstRowLastColumn="0" w:lastRowFirstColumn="0" w:lastRowLastColumn="0"/>
              <w:rPr>
                <w:bCs/>
                <w:szCs w:val="20"/>
              </w:rPr>
            </w:pPr>
            <w:r>
              <w:rPr>
                <w:b/>
                <w:bCs/>
                <w:szCs w:val="20"/>
                <w:lang w:val="en-AU"/>
              </w:rPr>
              <w:t xml:space="preserve">A new </w:t>
            </w:r>
            <w:r w:rsidRPr="00457F7D">
              <w:rPr>
                <w:b/>
                <w:bCs/>
                <w:szCs w:val="20"/>
                <w:lang w:val="en-AU"/>
              </w:rPr>
              <w:t>$50m annual</w:t>
            </w:r>
            <w:r>
              <w:rPr>
                <w:b/>
                <w:bCs/>
                <w:szCs w:val="20"/>
                <w:lang w:val="en-AU"/>
              </w:rPr>
              <w:t xml:space="preserve"> grant</w:t>
            </w:r>
            <w:r w:rsidRPr="00457F7D">
              <w:rPr>
                <w:b/>
                <w:bCs/>
                <w:szCs w:val="20"/>
                <w:lang w:val="en-AU"/>
              </w:rPr>
              <w:t xml:space="preserve"> funding for new buildings</w:t>
            </w:r>
            <w:r w:rsidRPr="00457F7D">
              <w:rPr>
                <w:bCs/>
                <w:szCs w:val="20"/>
                <w:lang w:val="en-AU"/>
              </w:rPr>
              <w:t xml:space="preserve"> to achieve </w:t>
            </w:r>
            <w:r w:rsidRPr="00457F7D">
              <w:rPr>
                <w:rFonts w:eastAsia="Calibri"/>
                <w:bCs/>
                <w:szCs w:val="20"/>
                <w:lang w:val="en-AU"/>
              </w:rPr>
              <w:t xml:space="preserve"> ‘world leadership’ </w:t>
            </w:r>
            <w:r>
              <w:rPr>
                <w:rFonts w:eastAsia="Calibri"/>
                <w:bCs/>
                <w:szCs w:val="20"/>
                <w:lang w:val="en-AU"/>
              </w:rPr>
              <w:t xml:space="preserve">6 Star </w:t>
            </w:r>
            <w:r w:rsidRPr="00457F7D">
              <w:rPr>
                <w:rFonts w:eastAsia="Calibri"/>
                <w:bCs/>
                <w:szCs w:val="20"/>
                <w:lang w:val="en-AU"/>
              </w:rPr>
              <w:t xml:space="preserve">Green Star </w:t>
            </w:r>
            <w:r>
              <w:rPr>
                <w:rFonts w:eastAsia="Calibri"/>
                <w:bCs/>
                <w:szCs w:val="20"/>
                <w:lang w:val="en-AU"/>
              </w:rPr>
              <w:t xml:space="preserve">certification or an </w:t>
            </w:r>
            <w:r w:rsidRPr="00457F7D">
              <w:rPr>
                <w:rFonts w:eastAsia="Calibri"/>
                <w:bCs/>
                <w:szCs w:val="20"/>
                <w:lang w:val="en-AU"/>
              </w:rPr>
              <w:t xml:space="preserve">equivalent rating </w:t>
            </w:r>
          </w:p>
          <w:p w:rsidR="004C1147" w:rsidRPr="00D92DE7" w:rsidRDefault="004C1147" w:rsidP="006E2DC1">
            <w:pPr>
              <w:pStyle w:val="ListParagraph"/>
              <w:numPr>
                <w:ilvl w:val="0"/>
                <w:numId w:val="7"/>
              </w:numPr>
              <w:spacing w:after="0" w:line="240" w:lineRule="auto"/>
              <w:ind w:left="414" w:right="57" w:hanging="357"/>
              <w:contextualSpacing w:val="0"/>
              <w:cnfStyle w:val="000000000000" w:firstRow="0" w:lastRow="0" w:firstColumn="0" w:lastColumn="0" w:oddVBand="0" w:evenVBand="0" w:oddHBand="0" w:evenHBand="0" w:firstRowFirstColumn="0" w:firstRowLastColumn="0" w:lastRowFirstColumn="0" w:lastRowLastColumn="0"/>
              <w:rPr>
                <w:szCs w:val="20"/>
              </w:rPr>
            </w:pPr>
            <w:r>
              <w:rPr>
                <w:b/>
                <w:bCs/>
                <w:szCs w:val="20"/>
              </w:rPr>
              <w:t xml:space="preserve">A new </w:t>
            </w:r>
            <w:r w:rsidRPr="00715DC6">
              <w:rPr>
                <w:b/>
                <w:bCs/>
                <w:szCs w:val="20"/>
              </w:rPr>
              <w:t>$10m Green roofs and walls</w:t>
            </w:r>
            <w:r w:rsidRPr="00D92DE7">
              <w:rPr>
                <w:bCs/>
                <w:szCs w:val="20"/>
              </w:rPr>
              <w:t xml:space="preserve"> </w:t>
            </w:r>
            <w:r w:rsidRPr="00D14195">
              <w:rPr>
                <w:b/>
                <w:bCs/>
                <w:szCs w:val="20"/>
              </w:rPr>
              <w:t>fund</w:t>
            </w:r>
            <w:r>
              <w:rPr>
                <w:bCs/>
                <w:szCs w:val="20"/>
              </w:rPr>
              <w:t xml:space="preserve"> </w:t>
            </w:r>
            <w:r w:rsidRPr="00D92DE7">
              <w:rPr>
                <w:bCs/>
                <w:szCs w:val="20"/>
              </w:rPr>
              <w:t>and</w:t>
            </w:r>
            <w:r>
              <w:rPr>
                <w:bCs/>
                <w:szCs w:val="20"/>
              </w:rPr>
              <w:t xml:space="preserve"> a </w:t>
            </w:r>
            <w:r w:rsidRPr="00D92DE7">
              <w:rPr>
                <w:bCs/>
                <w:szCs w:val="20"/>
              </w:rPr>
              <w:t xml:space="preserve">requirement for </w:t>
            </w:r>
            <w:r>
              <w:rPr>
                <w:bCs/>
                <w:szCs w:val="20"/>
              </w:rPr>
              <w:t>any b</w:t>
            </w:r>
            <w:r w:rsidRPr="00D92DE7">
              <w:rPr>
                <w:bCs/>
                <w:szCs w:val="20"/>
              </w:rPr>
              <w:t xml:space="preserve">uildings receiving government funding to include green walls or roofs </w:t>
            </w:r>
          </w:p>
          <w:p w:rsidR="004C1147" w:rsidRPr="00A25990" w:rsidRDefault="004C1147" w:rsidP="006E2DC1">
            <w:pPr>
              <w:pStyle w:val="ListParagraph"/>
              <w:numPr>
                <w:ilvl w:val="0"/>
                <w:numId w:val="7"/>
              </w:numPr>
              <w:spacing w:line="240" w:lineRule="auto"/>
              <w:ind w:left="414" w:hanging="357"/>
              <w:cnfStyle w:val="000000000000" w:firstRow="0" w:lastRow="0" w:firstColumn="0" w:lastColumn="0" w:oddVBand="0" w:evenVBand="0" w:oddHBand="0" w:evenHBand="0" w:firstRowFirstColumn="0" w:firstRowLastColumn="0" w:lastRowFirstColumn="0" w:lastRowLastColumn="0"/>
              <w:rPr>
                <w:szCs w:val="20"/>
              </w:rPr>
            </w:pPr>
            <w:r>
              <w:rPr>
                <w:bCs/>
                <w:szCs w:val="20"/>
              </w:rPr>
              <w:t xml:space="preserve">An urgent </w:t>
            </w:r>
            <w:r w:rsidRPr="00A25990">
              <w:rPr>
                <w:bCs/>
                <w:szCs w:val="20"/>
              </w:rPr>
              <w:t xml:space="preserve">review and upgrade of the </w:t>
            </w:r>
            <w:r w:rsidRPr="00A25990">
              <w:rPr>
                <w:b/>
                <w:bCs/>
                <w:szCs w:val="20"/>
              </w:rPr>
              <w:t>National Construction Code</w:t>
            </w:r>
            <w:r w:rsidRPr="00A25990">
              <w:rPr>
                <w:bCs/>
                <w:szCs w:val="20"/>
              </w:rPr>
              <w:t xml:space="preserve"> energy performance standards with a trajectory to net zero emissions by 2040, and an amendment of the Code to </w:t>
            </w:r>
            <w:r w:rsidRPr="00A25990">
              <w:rPr>
                <w:szCs w:val="20"/>
                <w:lang w:val="en"/>
              </w:rPr>
              <w:t>include end-of-trip facilities for bicycle users</w:t>
            </w:r>
          </w:p>
          <w:p w:rsidR="00640346" w:rsidRPr="002F0D52" w:rsidRDefault="004C1147" w:rsidP="006E2DC1">
            <w:pPr>
              <w:pStyle w:val="ListParagraph"/>
              <w:numPr>
                <w:ilvl w:val="0"/>
                <w:numId w:val="7"/>
              </w:numPr>
              <w:spacing w:line="240" w:lineRule="auto"/>
              <w:ind w:left="414" w:hanging="357"/>
              <w:cnfStyle w:val="000000000000" w:firstRow="0" w:lastRow="0" w:firstColumn="0" w:lastColumn="0" w:oddVBand="0" w:evenVBand="0" w:oddHBand="0" w:evenHBand="0" w:firstRowFirstColumn="0" w:firstRowLastColumn="0" w:lastRowFirstColumn="0" w:lastRowLastColumn="0"/>
              <w:rPr>
                <w:szCs w:val="20"/>
              </w:rPr>
            </w:pPr>
            <w:r>
              <w:rPr>
                <w:bCs/>
                <w:szCs w:val="20"/>
              </w:rPr>
              <w:t xml:space="preserve">Incentives for local governments, worth $10.1 million over forward estimates, to enroll commercial building owners in </w:t>
            </w:r>
            <w:r w:rsidRPr="00A25990">
              <w:rPr>
                <w:bCs/>
                <w:szCs w:val="20"/>
              </w:rPr>
              <w:t>Environmental Upgrade Agreements.</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lastRenderedPageBreak/>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9269CE" w:rsidRDefault="009269CE" w:rsidP="00A85F06">
            <w:pPr>
              <w:spacing w:line="240" w:lineRule="auto"/>
              <w:cnfStyle w:val="000000100000" w:firstRow="0" w:lastRow="0" w:firstColumn="0" w:lastColumn="0" w:oddVBand="0" w:evenVBand="0" w:oddHBand="1" w:evenHBand="0" w:firstRowFirstColumn="0" w:firstRowLastColumn="0" w:lastRowFirstColumn="0" w:lastRowLastColumn="0"/>
            </w:pPr>
            <w:r>
              <w:t xml:space="preserve">The Green </w:t>
            </w:r>
            <w:r w:rsidR="004C1147">
              <w:t xml:space="preserve">Buildings Plan </w:t>
            </w:r>
            <w:r>
              <w:t xml:space="preserve">will </w:t>
            </w:r>
            <w:r w:rsidRPr="00B85171">
              <w:t xml:space="preserve">transform our cities to cooler, more liveable, greener places to live, as well as </w:t>
            </w:r>
            <w:r>
              <w:t xml:space="preserve">reduce carbon emissions. </w:t>
            </w:r>
          </w:p>
          <w:p w:rsidR="009269CE" w:rsidRDefault="009269CE" w:rsidP="00A85F06">
            <w:pPr>
              <w:spacing w:line="240" w:lineRule="auto"/>
              <w:cnfStyle w:val="000000100000" w:firstRow="0" w:lastRow="0" w:firstColumn="0" w:lastColumn="0" w:oddVBand="0" w:evenVBand="0" w:oddHBand="1" w:evenHBand="0" w:firstRowFirstColumn="0" w:firstRowLastColumn="0" w:lastRowFirstColumn="0" w:lastRowLastColumn="0"/>
            </w:pPr>
          </w:p>
          <w:p w:rsidR="004C1147" w:rsidRPr="00FE6922" w:rsidRDefault="004C1147" w:rsidP="004C1147">
            <w:pPr>
              <w:spacing w:line="240" w:lineRule="exact"/>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FE6922">
              <w:rPr>
                <w:rFonts w:ascii="Calibri" w:hAnsi="Calibri" w:cs="Calibri"/>
                <w:szCs w:val="20"/>
              </w:rPr>
              <w:t xml:space="preserve">The Greens recognise the massive opportunity to reduce carbon pollution, drive innovation and </w:t>
            </w:r>
            <w:r>
              <w:rPr>
                <w:rFonts w:ascii="Calibri" w:hAnsi="Calibri" w:cs="Calibri"/>
                <w:szCs w:val="20"/>
              </w:rPr>
              <w:t xml:space="preserve">create new </w:t>
            </w:r>
            <w:r w:rsidRPr="00FE6922">
              <w:rPr>
                <w:rFonts w:ascii="Calibri" w:hAnsi="Calibri" w:cs="Calibri"/>
                <w:szCs w:val="20"/>
              </w:rPr>
              <w:t>jobs</w:t>
            </w:r>
            <w:r>
              <w:rPr>
                <w:rFonts w:ascii="Calibri" w:hAnsi="Calibri" w:cs="Calibri"/>
                <w:szCs w:val="20"/>
              </w:rPr>
              <w:t xml:space="preserve"> and </w:t>
            </w:r>
            <w:r w:rsidRPr="00FE6922">
              <w:rPr>
                <w:rFonts w:ascii="Calibri" w:hAnsi="Calibri" w:cs="Calibri"/>
                <w:szCs w:val="20"/>
              </w:rPr>
              <w:t>more comfortable, healthy places to work</w:t>
            </w:r>
            <w:r>
              <w:rPr>
                <w:rFonts w:ascii="Calibri" w:hAnsi="Calibri" w:cs="Calibri"/>
                <w:szCs w:val="20"/>
              </w:rPr>
              <w:t>, and transform our cities to cooler, more liveable places to live, work and play</w:t>
            </w:r>
            <w:r w:rsidRPr="00FE6922">
              <w:rPr>
                <w:rFonts w:ascii="Calibri" w:hAnsi="Calibri" w:cs="Calibri"/>
                <w:szCs w:val="20"/>
              </w:rPr>
              <w:t xml:space="preserve"> through a large scale </w:t>
            </w:r>
            <w:r>
              <w:rPr>
                <w:rFonts w:ascii="Calibri" w:hAnsi="Calibri" w:cs="Calibri"/>
                <w:szCs w:val="20"/>
              </w:rPr>
              <w:t>Green B</w:t>
            </w:r>
            <w:r w:rsidRPr="00FE6922">
              <w:rPr>
                <w:rFonts w:ascii="Calibri" w:hAnsi="Calibri" w:cs="Calibri"/>
                <w:szCs w:val="20"/>
              </w:rPr>
              <w:t xml:space="preserve">uildings program. </w:t>
            </w:r>
          </w:p>
          <w:p w:rsidR="004C1147" w:rsidRDefault="004C1147" w:rsidP="004C1147">
            <w:pPr>
              <w:spacing w:line="240" w:lineRule="exact"/>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p>
          <w:p w:rsidR="004C1147" w:rsidRDefault="004C1147" w:rsidP="004C1147">
            <w:pPr>
              <w:spacing w:line="240" w:lineRule="exact"/>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Pr>
                <w:rFonts w:ascii="Calibri" w:hAnsi="Calibri" w:cs="Calibri"/>
                <w:szCs w:val="20"/>
              </w:rPr>
              <w:t xml:space="preserve">Green buildings are cheaper to run and good for business. </w:t>
            </w:r>
            <w:r w:rsidRPr="00FE6922">
              <w:rPr>
                <w:rFonts w:ascii="Calibri" w:hAnsi="Calibri" w:cs="Calibri"/>
                <w:szCs w:val="20"/>
              </w:rPr>
              <w:t xml:space="preserve">Recent data shows green buildings consume </w:t>
            </w:r>
            <w:r>
              <w:rPr>
                <w:rFonts w:ascii="Calibri" w:hAnsi="Calibri" w:cs="Calibri"/>
                <w:szCs w:val="20"/>
              </w:rPr>
              <w:t>as much as 80% less energy</w:t>
            </w:r>
            <w:r>
              <w:rPr>
                <w:rStyle w:val="EndnoteReference"/>
                <w:rFonts w:ascii="Calibri" w:hAnsi="Calibri" w:cs="Calibri"/>
                <w:szCs w:val="20"/>
              </w:rPr>
              <w:endnoteReference w:id="2"/>
            </w:r>
            <w:r>
              <w:rPr>
                <w:rFonts w:ascii="Calibri" w:hAnsi="Calibri" w:cs="Calibri"/>
                <w:szCs w:val="20"/>
              </w:rPr>
              <w:t xml:space="preserve"> after energy efficiency retrofits. </w:t>
            </w:r>
          </w:p>
          <w:p w:rsidR="004C1147" w:rsidRDefault="004C1147" w:rsidP="004C1147">
            <w:pPr>
              <w:spacing w:line="240" w:lineRule="exact"/>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p>
          <w:p w:rsidR="004C1147" w:rsidRDefault="004C1147" w:rsidP="004C1147">
            <w:pPr>
              <w:spacing w:line="240" w:lineRule="exact"/>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Pr>
                <w:rFonts w:ascii="Calibri" w:hAnsi="Calibri" w:cs="Calibri"/>
                <w:szCs w:val="20"/>
              </w:rPr>
              <w:t>Australia’s commercial buildings account for about 10% of our national energy consumption</w:t>
            </w:r>
            <w:r>
              <w:rPr>
                <w:rStyle w:val="EndnoteReference"/>
                <w:rFonts w:ascii="Calibri" w:hAnsi="Calibri" w:cs="Calibri"/>
                <w:szCs w:val="20"/>
              </w:rPr>
              <w:endnoteReference w:id="3"/>
            </w:r>
            <w:r>
              <w:rPr>
                <w:rFonts w:ascii="Calibri" w:hAnsi="Calibri" w:cs="Calibri"/>
                <w:szCs w:val="20"/>
              </w:rPr>
              <w:t xml:space="preserve"> and represent the opportunity for some of the most </w:t>
            </w:r>
            <w:r w:rsidRPr="00FE6922">
              <w:rPr>
                <w:rFonts w:ascii="Calibri" w:hAnsi="Calibri" w:cs="Calibri"/>
                <w:szCs w:val="20"/>
              </w:rPr>
              <w:t xml:space="preserve">significant </w:t>
            </w:r>
            <w:r>
              <w:rPr>
                <w:rFonts w:ascii="Calibri" w:hAnsi="Calibri" w:cs="Calibri"/>
                <w:szCs w:val="20"/>
              </w:rPr>
              <w:t>pollution reduction</w:t>
            </w:r>
            <w:r w:rsidRPr="00FE6922">
              <w:rPr>
                <w:rFonts w:ascii="Calibri" w:hAnsi="Calibri" w:cs="Calibri"/>
                <w:szCs w:val="20"/>
              </w:rPr>
              <w:t xml:space="preserve"> </w:t>
            </w:r>
            <w:r>
              <w:rPr>
                <w:rFonts w:ascii="Calibri" w:hAnsi="Calibri" w:cs="Calibri"/>
                <w:szCs w:val="20"/>
              </w:rPr>
              <w:t xml:space="preserve">using </w:t>
            </w:r>
            <w:r w:rsidRPr="00FE6922">
              <w:rPr>
                <w:rFonts w:ascii="Calibri" w:hAnsi="Calibri" w:cs="Calibri"/>
                <w:szCs w:val="20"/>
              </w:rPr>
              <w:t>the lowest cost using technologies that are already available</w:t>
            </w:r>
            <w:r>
              <w:rPr>
                <w:rStyle w:val="EndnoteReference"/>
                <w:rFonts w:ascii="Calibri" w:hAnsi="Calibri" w:cs="Calibri"/>
                <w:szCs w:val="20"/>
              </w:rPr>
              <w:endnoteReference w:id="4"/>
            </w:r>
            <w:r w:rsidRPr="00FE6922">
              <w:rPr>
                <w:rFonts w:ascii="Calibri" w:hAnsi="Calibri" w:cs="Calibri"/>
                <w:szCs w:val="20"/>
              </w:rPr>
              <w:t>.</w:t>
            </w:r>
          </w:p>
          <w:p w:rsidR="004C1147" w:rsidRDefault="004C1147" w:rsidP="004C1147">
            <w:pPr>
              <w:spacing w:line="240" w:lineRule="exact"/>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p>
          <w:p w:rsidR="004C1147" w:rsidRDefault="004C1147" w:rsidP="004C1147">
            <w:pPr>
              <w:spacing w:line="240" w:lineRule="exact"/>
              <w:contextualSpacing/>
              <w:cnfStyle w:val="000000100000" w:firstRow="0" w:lastRow="0" w:firstColumn="0" w:lastColumn="0" w:oddVBand="0" w:evenVBand="0" w:oddHBand="1" w:evenHBand="0" w:firstRowFirstColumn="0" w:firstRowLastColumn="0" w:lastRowFirstColumn="0" w:lastRowLastColumn="0"/>
            </w:pPr>
            <w:r>
              <w:rPr>
                <w:rFonts w:ascii="Calibri" w:hAnsi="Calibri" w:cs="Calibri"/>
                <w:szCs w:val="20"/>
              </w:rPr>
              <w:t>In 2014 just 8% of Australian buildings were rated at the highest NABERS (National Australian Build Environment Rating System) category, and just 18% of all CBD office space had achieved a Green Star rating</w:t>
            </w:r>
            <w:r>
              <w:rPr>
                <w:rStyle w:val="EndnoteReference"/>
                <w:rFonts w:ascii="Calibri" w:hAnsi="Calibri" w:cs="Calibri"/>
                <w:szCs w:val="20"/>
              </w:rPr>
              <w:endnoteReference w:id="5"/>
            </w:r>
            <w:r>
              <w:rPr>
                <w:rFonts w:ascii="Calibri" w:hAnsi="Calibri" w:cs="Calibri"/>
                <w:szCs w:val="20"/>
              </w:rPr>
              <w:t xml:space="preserve">. </w:t>
            </w:r>
          </w:p>
          <w:p w:rsidR="00640346" w:rsidRPr="00CB40E1" w:rsidRDefault="00640346" w:rsidP="004C1147">
            <w:pPr>
              <w:spacing w:line="240" w:lineRule="auto"/>
              <w:cnfStyle w:val="000000100000" w:firstRow="0" w:lastRow="0" w:firstColumn="0" w:lastColumn="0" w:oddVBand="0" w:evenVBand="0" w:oddHBand="1" w:evenHBand="0" w:firstRowFirstColumn="0" w:firstRowLastColumn="0" w:lastRowFirstColumn="0" w:lastRowLastColumn="0"/>
              <w:rPr>
                <w:sz w:val="22"/>
              </w:rPr>
            </w:pP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t>What are the key assumptions that have been made in the policy, including:</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9269C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C1147"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 mix of capped grant</w:t>
            </w:r>
            <w:r w:rsidR="002F0D52">
              <w:rPr>
                <w:sz w:val="22"/>
              </w:rPr>
              <w:t>s and a new CEFC loan facility while the Environmental Upgrade Agreements would be demand driven.</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9269C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lastRenderedPageBreak/>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BE7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2F0D52"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-62.1</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2F0D52"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-64.7</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2F0D52"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-64.8</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2F0D52"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-64.8</w:t>
            </w:r>
          </w:p>
        </w:tc>
      </w:tr>
      <w:tr w:rsidR="00CF6DB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2F0D52"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-62.1</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2F0D52"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-64.7</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2F0D52" w:rsidP="002F0D52">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-64.8</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2F0D52"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-64.8</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N/A</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B16B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926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4C1147" w:rsidRPr="002F0D52" w:rsidRDefault="004C1147" w:rsidP="004C1147">
            <w:pPr>
              <w:spacing w:line="240" w:lineRule="exact"/>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2F0D52">
              <w:rPr>
                <w:rFonts w:ascii="Calibri" w:hAnsi="Calibri" w:cs="Calibri"/>
                <w:sz w:val="22"/>
              </w:rPr>
              <w:t xml:space="preserve">The opportunity is significant. </w:t>
            </w:r>
          </w:p>
          <w:p w:rsidR="004C1147" w:rsidRPr="002F0D52" w:rsidRDefault="004C1147" w:rsidP="004C1147">
            <w:pPr>
              <w:spacing w:line="240" w:lineRule="exact"/>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p>
          <w:p w:rsidR="004C1147" w:rsidRPr="002F0D52" w:rsidRDefault="004C1147" w:rsidP="004C1147">
            <w:pPr>
              <w:spacing w:line="240" w:lineRule="exact"/>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2F0D52">
              <w:rPr>
                <w:rFonts w:ascii="Calibri" w:hAnsi="Calibri" w:cs="Calibri"/>
                <w:sz w:val="22"/>
              </w:rPr>
              <w:t>It’s estimated there are 80,000 mid-tier buildings across Australia, and mid-tier offices account for about 52 million square metres of the 64 million square metres of office space in Australia</w:t>
            </w:r>
            <w:r w:rsidRPr="002F0D52">
              <w:rPr>
                <w:rStyle w:val="EndnoteReference"/>
                <w:rFonts w:ascii="Calibri" w:hAnsi="Calibri" w:cs="Calibri"/>
                <w:sz w:val="22"/>
              </w:rPr>
              <w:endnoteReference w:id="6"/>
            </w:r>
            <w:r w:rsidRPr="002F0D52">
              <w:rPr>
                <w:rFonts w:ascii="Calibri" w:hAnsi="Calibri" w:cs="Calibri"/>
                <w:sz w:val="22"/>
              </w:rPr>
              <w:t xml:space="preserve">. </w:t>
            </w:r>
          </w:p>
          <w:p w:rsidR="004C1147" w:rsidRPr="002F0D52" w:rsidRDefault="004C1147" w:rsidP="004C1147">
            <w:pPr>
              <w:spacing w:line="240" w:lineRule="exact"/>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p>
          <w:p w:rsidR="00640346" w:rsidRPr="00CB40E1" w:rsidRDefault="0064034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CF6DB6" w:rsidTr="009269CE">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lastRenderedPageBreak/>
              <w:t>Administration of policy:</w:t>
            </w:r>
          </w:p>
        </w:tc>
      </w:tr>
      <w:tr w:rsidR="00640346" w:rsidTr="00926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government organisation, etc)?</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Pr>
                <w:sz w:val="22"/>
              </w:rPr>
              <w:t>T</w:t>
            </w:r>
            <w:r w:rsidR="00FC6986">
              <w:rPr>
                <w:sz w:val="22"/>
              </w:rPr>
              <w:t>he CEFC and Dept of Environment.</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D52" w:rsidRPr="002F0D52" w:rsidRDefault="002F0D52" w:rsidP="002F0D52">
            <w:pPr>
              <w:spacing w:before="120" w:after="120"/>
              <w:ind w:left="57" w:right="57"/>
              <w:cnfStyle w:val="000000000000" w:firstRow="0" w:lastRow="0" w:firstColumn="0" w:lastColumn="0" w:oddVBand="0" w:evenVBand="0" w:oddHBand="0" w:evenHBand="0" w:firstRowFirstColumn="0" w:firstRowLastColumn="0" w:lastRowFirstColumn="0" w:lastRowLastColumn="0"/>
              <w:rPr>
                <w:sz w:val="22"/>
              </w:rPr>
            </w:pPr>
            <w:r w:rsidRPr="002F0D52">
              <w:rPr>
                <w:sz w:val="22"/>
              </w:rPr>
              <w:t>For the environmental upgrade agreements, state legislation requires changing and that local governments need to invest in skills and processes to be able to take advantage of the scheme. It is assumed that the price signal alone would be enough to encourage state and local governments to modify their laws and regulations.</w:t>
            </w:r>
          </w:p>
          <w:p w:rsidR="00640346" w:rsidRPr="00CB40E1" w:rsidRDefault="00640346"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September 2016</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F0D52" w:rsidRPr="002F0D52" w:rsidRDefault="002F0D52" w:rsidP="002F0D52">
            <w:pPr>
              <w:spacing w:before="120" w:after="120"/>
              <w:ind w:left="57" w:right="57"/>
              <w:cnfStyle w:val="000000100000" w:firstRow="0" w:lastRow="0" w:firstColumn="0" w:lastColumn="0" w:oddVBand="0" w:evenVBand="0" w:oddHBand="1" w:evenHBand="0" w:firstRowFirstColumn="0" w:firstRowLastColumn="0" w:lastRowFirstColumn="0" w:lastRowLastColumn="0"/>
              <w:rPr>
                <w:sz w:val="22"/>
              </w:rPr>
            </w:pPr>
            <w:r w:rsidRPr="002F0D52">
              <w:rPr>
                <w:sz w:val="22"/>
              </w:rPr>
              <w:t>Currently City of Sydney, City of Melbourne, City of Parramatta, North Sydney, City of Newcastle and Lake Macquarie Council have implemented EUAs.</w:t>
            </w:r>
          </w:p>
          <w:p w:rsidR="00640346" w:rsidRPr="00CB40E1" w:rsidRDefault="0064034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 w:id="1">
    <w:p w:rsidR="004C1147" w:rsidRPr="005A15C9" w:rsidRDefault="004C1147" w:rsidP="004C1147">
      <w:pPr>
        <w:pStyle w:val="NormalWeb"/>
        <w:shd w:val="clear" w:color="auto" w:fill="FFFFFF"/>
        <w:spacing w:before="0" w:beforeAutospacing="0" w:after="0" w:afterAutospacing="0"/>
        <w:rPr>
          <w:sz w:val="14"/>
          <w:szCs w:val="14"/>
        </w:rPr>
      </w:pPr>
      <w:r w:rsidRPr="005A15C9">
        <w:rPr>
          <w:rStyle w:val="EndnoteReference"/>
          <w:rFonts w:asciiTheme="minorHAnsi" w:hAnsiTheme="minorHAnsi"/>
          <w:sz w:val="14"/>
          <w:szCs w:val="14"/>
        </w:rPr>
        <w:endnoteRef/>
      </w:r>
      <w:r w:rsidRPr="005A15C9">
        <w:rPr>
          <w:rFonts w:asciiTheme="minorHAnsi" w:hAnsiTheme="minorHAnsi"/>
          <w:sz w:val="14"/>
          <w:szCs w:val="14"/>
        </w:rPr>
        <w:t xml:space="preserve"> The Greens </w:t>
      </w:r>
      <w:r w:rsidRPr="005A15C9">
        <w:rPr>
          <w:rFonts w:asciiTheme="minorHAnsi" w:hAnsiTheme="minorHAnsi" w:cs="Tahoma"/>
          <w:sz w:val="14"/>
          <w:szCs w:val="14"/>
        </w:rPr>
        <w:t>post-2020 targets announced in April 2015 are for a 40-50 per cent emissions reduction on 2000 levels by 2025; a 60-80 per cent reduction by 2030; and net-zero pollution by 2040.</w:t>
      </w:r>
    </w:p>
  </w:endnote>
  <w:endnote w:id="2">
    <w:p w:rsidR="004C1147" w:rsidRPr="005A15C9" w:rsidRDefault="004C1147" w:rsidP="004C1147">
      <w:pPr>
        <w:pStyle w:val="EndnoteText"/>
        <w:rPr>
          <w:sz w:val="14"/>
          <w:szCs w:val="14"/>
        </w:rPr>
      </w:pPr>
      <w:r w:rsidRPr="005A15C9">
        <w:rPr>
          <w:rStyle w:val="EndnoteReference"/>
          <w:sz w:val="14"/>
          <w:szCs w:val="14"/>
        </w:rPr>
        <w:endnoteRef/>
      </w:r>
      <w:r w:rsidRPr="005A15C9">
        <w:rPr>
          <w:sz w:val="14"/>
          <w:szCs w:val="14"/>
        </w:rPr>
        <w:t xml:space="preserve"> </w:t>
      </w:r>
      <w:r w:rsidRPr="005A15C9">
        <w:rPr>
          <w:rFonts w:cs="Calibri"/>
          <w:sz w:val="14"/>
          <w:szCs w:val="14"/>
        </w:rPr>
        <w:t>Green Building Council Australia 2012</w:t>
      </w:r>
    </w:p>
  </w:endnote>
  <w:endnote w:id="3">
    <w:p w:rsidR="004C1147" w:rsidRPr="005A15C9" w:rsidRDefault="004C1147" w:rsidP="004C1147">
      <w:pPr>
        <w:pStyle w:val="EndnoteText"/>
        <w:rPr>
          <w:sz w:val="14"/>
          <w:szCs w:val="14"/>
        </w:rPr>
      </w:pPr>
      <w:r w:rsidRPr="005A15C9">
        <w:rPr>
          <w:rStyle w:val="EndnoteReference"/>
          <w:sz w:val="14"/>
          <w:szCs w:val="14"/>
        </w:rPr>
        <w:endnoteRef/>
      </w:r>
      <w:r w:rsidRPr="005A15C9">
        <w:rPr>
          <w:sz w:val="14"/>
          <w:szCs w:val="14"/>
        </w:rPr>
        <w:t xml:space="preserve"> Green Building Council (2015) </w:t>
      </w:r>
      <w:r w:rsidRPr="005A15C9">
        <w:rPr>
          <w:i/>
          <w:sz w:val="14"/>
          <w:szCs w:val="14"/>
        </w:rPr>
        <w:t>Mid-Tier Commercial Office Buildings in Australia: A national pathway to improving energy productivity</w:t>
      </w:r>
      <w:r w:rsidRPr="005A15C9">
        <w:rPr>
          <w:sz w:val="14"/>
          <w:szCs w:val="14"/>
        </w:rPr>
        <w:t xml:space="preserve"> at https://www.gbca.org.au/uploads/97/36449/Mid-Tier%20Commercial%20Office%20Buildings%20Pathway%20report.pdf</w:t>
      </w:r>
    </w:p>
  </w:endnote>
  <w:endnote w:id="4">
    <w:p w:rsidR="004C1147" w:rsidRPr="005A15C9" w:rsidRDefault="004C1147" w:rsidP="004C1147">
      <w:pPr>
        <w:pStyle w:val="EndnoteText"/>
        <w:rPr>
          <w:sz w:val="14"/>
          <w:szCs w:val="14"/>
        </w:rPr>
      </w:pPr>
      <w:r w:rsidRPr="005A15C9">
        <w:rPr>
          <w:rStyle w:val="EndnoteReference"/>
          <w:sz w:val="14"/>
          <w:szCs w:val="14"/>
        </w:rPr>
        <w:endnoteRef/>
      </w:r>
      <w:r w:rsidRPr="005A15C9">
        <w:rPr>
          <w:sz w:val="14"/>
          <w:szCs w:val="14"/>
        </w:rPr>
        <w:t xml:space="preserve"> </w:t>
      </w:r>
      <w:r w:rsidRPr="005A15C9">
        <w:rPr>
          <w:rFonts w:cs="Calibri"/>
          <w:sz w:val="14"/>
          <w:szCs w:val="14"/>
        </w:rPr>
        <w:t>ClimateWorks and Allen Consulting Group research, cited by Green Building Council submission to the ERF, 2014</w:t>
      </w:r>
    </w:p>
  </w:endnote>
  <w:endnote w:id="5">
    <w:p w:rsidR="004C1147" w:rsidRPr="005A15C9" w:rsidRDefault="004C1147" w:rsidP="004C1147">
      <w:pPr>
        <w:pStyle w:val="EndnoteText"/>
        <w:rPr>
          <w:sz w:val="14"/>
          <w:szCs w:val="14"/>
        </w:rPr>
      </w:pPr>
      <w:r w:rsidRPr="005A15C9">
        <w:rPr>
          <w:rStyle w:val="EndnoteReference"/>
          <w:sz w:val="14"/>
          <w:szCs w:val="14"/>
        </w:rPr>
        <w:endnoteRef/>
      </w:r>
      <w:r w:rsidRPr="005A15C9">
        <w:rPr>
          <w:sz w:val="14"/>
          <w:szCs w:val="14"/>
        </w:rPr>
        <w:t xml:space="preserve"> http://theconversation.com/green-building-revolution-only-in-high-end-new-cbd-offices-24535</w:t>
      </w:r>
    </w:p>
  </w:endnote>
  <w:endnote w:id="6">
    <w:p w:rsidR="004C1147" w:rsidRPr="005A15C9" w:rsidRDefault="004C1147" w:rsidP="004C1147">
      <w:pPr>
        <w:pStyle w:val="EndnoteText"/>
        <w:rPr>
          <w:sz w:val="14"/>
          <w:szCs w:val="14"/>
        </w:rPr>
      </w:pPr>
      <w:r w:rsidRPr="005A15C9">
        <w:rPr>
          <w:rStyle w:val="EndnoteReference"/>
          <w:sz w:val="14"/>
          <w:szCs w:val="14"/>
        </w:rPr>
        <w:endnoteRef/>
      </w:r>
      <w:r w:rsidRPr="005A15C9">
        <w:rPr>
          <w:sz w:val="14"/>
          <w:szCs w:val="14"/>
        </w:rPr>
        <w:t xml:space="preserve"> Australian Sustainable Built Environment Council (2016) Low Carbon, High Performance. How buildings can make a major contribution to Australia’s emissions and productivity goals. May 2016.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6E2D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FF0702">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FF0702">
            <w:rPr>
              <w:noProof/>
              <w:color w:val="788184"/>
              <w:szCs w:val="20"/>
            </w:rPr>
            <w:t>4</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6E2D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FF0702">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FF0702">
            <w:rPr>
              <w:noProof/>
              <w:color w:val="788184"/>
              <w:szCs w:val="20"/>
            </w:rPr>
            <w:t>4</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332F5AFB"/>
    <w:multiLevelType w:val="hybridMultilevel"/>
    <w:tmpl w:val="01E62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E4D38AC"/>
    <w:multiLevelType w:val="hybridMultilevel"/>
    <w:tmpl w:val="C75EDE4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14239B"/>
    <w:rsid w:val="002F0D52"/>
    <w:rsid w:val="00485140"/>
    <w:rsid w:val="004C1147"/>
    <w:rsid w:val="004C5CC2"/>
    <w:rsid w:val="00515A85"/>
    <w:rsid w:val="0055581F"/>
    <w:rsid w:val="005F7DE0"/>
    <w:rsid w:val="00640346"/>
    <w:rsid w:val="00660385"/>
    <w:rsid w:val="006E2DC1"/>
    <w:rsid w:val="007202A8"/>
    <w:rsid w:val="007616C6"/>
    <w:rsid w:val="007854E4"/>
    <w:rsid w:val="007B029A"/>
    <w:rsid w:val="007C4F2D"/>
    <w:rsid w:val="00834885"/>
    <w:rsid w:val="008B1774"/>
    <w:rsid w:val="008F588A"/>
    <w:rsid w:val="00902D2D"/>
    <w:rsid w:val="009269CE"/>
    <w:rsid w:val="009E5FB7"/>
    <w:rsid w:val="00A85F06"/>
    <w:rsid w:val="00BC559C"/>
    <w:rsid w:val="00CB40E1"/>
    <w:rsid w:val="00CF6DB6"/>
    <w:rsid w:val="00D134CA"/>
    <w:rsid w:val="00E15AAE"/>
    <w:rsid w:val="00F954CF"/>
    <w:rsid w:val="00FC6986"/>
    <w:rsid w:val="00FF0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aliases w:val="List Paragraph1,Recommendation,List Paragraph11"/>
    <w:basedOn w:val="Normal"/>
    <w:link w:val="ListParagraphChar"/>
    <w:uiPriority w:val="34"/>
    <w:qFormat/>
    <w:rsid w:val="00A85F06"/>
    <w:pPr>
      <w:spacing w:after="200" w:line="276" w:lineRule="auto"/>
      <w:ind w:left="720"/>
      <w:contextualSpacing/>
    </w:pPr>
    <w:rPr>
      <w:lang w:val="en-US"/>
    </w:rPr>
  </w:style>
  <w:style w:type="character" w:customStyle="1" w:styleId="ListParagraphChar">
    <w:name w:val="List Paragraph Char"/>
    <w:aliases w:val="List Paragraph1 Char,Recommendation Char,List Paragraph11 Char"/>
    <w:link w:val="ListParagraph"/>
    <w:uiPriority w:val="34"/>
    <w:locked/>
    <w:rsid w:val="00A85F06"/>
    <w:rPr>
      <w:lang w:val="en-US"/>
    </w:rPr>
  </w:style>
  <w:style w:type="character" w:styleId="EndnoteReference">
    <w:name w:val="endnote reference"/>
    <w:basedOn w:val="DefaultParagraphFont"/>
    <w:uiPriority w:val="99"/>
    <w:unhideWhenUsed/>
    <w:rsid w:val="004C1147"/>
    <w:rPr>
      <w:vertAlign w:val="superscript"/>
    </w:rPr>
  </w:style>
  <w:style w:type="paragraph" w:styleId="NormalWeb">
    <w:name w:val="Normal (Web)"/>
    <w:basedOn w:val="Normal"/>
    <w:uiPriority w:val="99"/>
    <w:unhideWhenUsed/>
    <w:rsid w:val="004C11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4C1147"/>
    <w:pPr>
      <w:spacing w:line="240" w:lineRule="auto"/>
    </w:pPr>
    <w:rPr>
      <w:sz w:val="20"/>
      <w:szCs w:val="20"/>
    </w:rPr>
  </w:style>
  <w:style w:type="character" w:customStyle="1" w:styleId="EndnoteTextChar">
    <w:name w:val="Endnote Text Char"/>
    <w:basedOn w:val="DefaultParagraphFont"/>
    <w:link w:val="EndnoteText"/>
    <w:uiPriority w:val="99"/>
    <w:rsid w:val="004C114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aliases w:val="List Paragraph1,Recommendation,List Paragraph11"/>
    <w:basedOn w:val="Normal"/>
    <w:link w:val="ListParagraphChar"/>
    <w:uiPriority w:val="34"/>
    <w:qFormat/>
    <w:rsid w:val="00A85F06"/>
    <w:pPr>
      <w:spacing w:after="200" w:line="276" w:lineRule="auto"/>
      <w:ind w:left="720"/>
      <w:contextualSpacing/>
    </w:pPr>
    <w:rPr>
      <w:lang w:val="en-US"/>
    </w:rPr>
  </w:style>
  <w:style w:type="character" w:customStyle="1" w:styleId="ListParagraphChar">
    <w:name w:val="List Paragraph Char"/>
    <w:aliases w:val="List Paragraph1 Char,Recommendation Char,List Paragraph11 Char"/>
    <w:link w:val="ListParagraph"/>
    <w:uiPriority w:val="34"/>
    <w:locked/>
    <w:rsid w:val="00A85F06"/>
    <w:rPr>
      <w:lang w:val="en-US"/>
    </w:rPr>
  </w:style>
  <w:style w:type="character" w:styleId="EndnoteReference">
    <w:name w:val="endnote reference"/>
    <w:basedOn w:val="DefaultParagraphFont"/>
    <w:uiPriority w:val="99"/>
    <w:unhideWhenUsed/>
    <w:rsid w:val="004C1147"/>
    <w:rPr>
      <w:vertAlign w:val="superscript"/>
    </w:rPr>
  </w:style>
  <w:style w:type="paragraph" w:styleId="NormalWeb">
    <w:name w:val="Normal (Web)"/>
    <w:basedOn w:val="Normal"/>
    <w:uiPriority w:val="99"/>
    <w:unhideWhenUsed/>
    <w:rsid w:val="004C11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4C1147"/>
    <w:pPr>
      <w:spacing w:line="240" w:lineRule="auto"/>
    </w:pPr>
    <w:rPr>
      <w:sz w:val="20"/>
      <w:szCs w:val="20"/>
    </w:rPr>
  </w:style>
  <w:style w:type="character" w:customStyle="1" w:styleId="EndnoteTextChar">
    <w:name w:val="Endnote Text Char"/>
    <w:basedOn w:val="DefaultParagraphFont"/>
    <w:link w:val="EndnoteText"/>
    <w:uiPriority w:val="99"/>
    <w:rsid w:val="004C11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4</cp:revision>
  <cp:lastPrinted>2016-04-20T06:27:00Z</cp:lastPrinted>
  <dcterms:created xsi:type="dcterms:W3CDTF">2016-06-30T03:05:00Z</dcterms:created>
  <dcterms:modified xsi:type="dcterms:W3CDTF">2016-06-30T06:46:00Z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