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B20E3A"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t>Saving</w:t>
            </w:r>
            <w:r w:rsidR="00C47C60">
              <w:t xml:space="preserve"> the Reef</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C47C60"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C47C60"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B20E3A" w:rsidP="00B20E3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30</w:t>
            </w:r>
            <w:r w:rsidR="00C47C60">
              <w:rPr>
                <w:sz w:val="22"/>
              </w:rPr>
              <w:t xml:space="preserve">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C47C60"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C47C6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9 June 2016, Senator Larissa Waters.  </w:t>
            </w:r>
            <w:hyperlink r:id="rId8" w:history="1">
              <w:r w:rsidRPr="005B5E4F">
                <w:rPr>
                  <w:rStyle w:val="Hyperlink"/>
                  <w:sz w:val="22"/>
                </w:rPr>
                <w:t>http://greens.org.au/save-the-reef</w:t>
              </w:r>
            </w:hyperlink>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23C47">
            <w:pPr>
              <w:pStyle w:val="TableTextCentred"/>
              <w:keepNext/>
              <w:jc w:val="left"/>
              <w:rPr>
                <w:sz w:val="22"/>
              </w:rPr>
            </w:pPr>
            <w:bookmarkStart w:id="0" w:name="_GoBack"/>
            <w:r w:rsidRPr="00CB40E1">
              <w:rPr>
                <w:b/>
                <w:sz w:val="22"/>
              </w:rPr>
              <w:lastRenderedPageBreak/>
              <w:t>Description of policy</w:t>
            </w:r>
          </w:p>
        </w:tc>
      </w:tr>
      <w:bookmarkEnd w:id="0"/>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7A4014" w:rsidRPr="00B20E3A" w:rsidRDefault="007A4014" w:rsidP="007A4014">
            <w:pPr>
              <w:contextualSpacing/>
              <w:cnfStyle w:val="000000000000" w:firstRow="0" w:lastRow="0" w:firstColumn="0" w:lastColumn="0" w:oddVBand="0" w:evenVBand="0" w:oddHBand="0" w:evenHBand="0" w:firstRowFirstColumn="0" w:firstRowLastColumn="0" w:lastRowFirstColumn="0" w:lastRowLastColumn="0"/>
              <w:rPr>
                <w:sz w:val="22"/>
              </w:rPr>
            </w:pPr>
            <w:r w:rsidRPr="00B20E3A">
              <w:rPr>
                <w:b/>
                <w:sz w:val="22"/>
              </w:rPr>
              <w:t xml:space="preserve">Develop world-class water quality monitoring and reporting - $15 million over the next 4 years </w:t>
            </w:r>
            <w:r w:rsidRPr="00B20E3A">
              <w:rPr>
                <w:sz w:val="22"/>
              </w:rPr>
              <w:t xml:space="preserve">would be assigned to GBRMPA specifically to invest in robust, property-level water quality monitoring and reporting.  </w:t>
            </w:r>
          </w:p>
          <w:p w:rsidR="00745102" w:rsidRPr="00B20E3A" w:rsidRDefault="00745102" w:rsidP="007A4014">
            <w:pPr>
              <w:contextualSpacing/>
              <w:cnfStyle w:val="000000000000" w:firstRow="0" w:lastRow="0" w:firstColumn="0" w:lastColumn="0" w:oddVBand="0" w:evenVBand="0" w:oddHBand="0" w:evenHBand="0" w:firstRowFirstColumn="0" w:firstRowLastColumn="0" w:lastRowFirstColumn="0" w:lastRowLastColumn="0"/>
              <w:rPr>
                <w:b/>
                <w:sz w:val="22"/>
              </w:rPr>
            </w:pPr>
          </w:p>
          <w:p w:rsidR="007A4014" w:rsidRPr="00B20E3A" w:rsidRDefault="007A4014" w:rsidP="007A4014">
            <w:pPr>
              <w:contextualSpacing/>
              <w:cnfStyle w:val="000000000000" w:firstRow="0" w:lastRow="0" w:firstColumn="0" w:lastColumn="0" w:oddVBand="0" w:evenVBand="0" w:oddHBand="0" w:evenHBand="0" w:firstRowFirstColumn="0" w:firstRowLastColumn="0" w:lastRowFirstColumn="0" w:lastRowLastColumn="0"/>
              <w:rPr>
                <w:sz w:val="22"/>
              </w:rPr>
            </w:pPr>
            <w:r w:rsidRPr="00B20E3A">
              <w:rPr>
                <w:b/>
                <w:sz w:val="22"/>
              </w:rPr>
              <w:t xml:space="preserve">Strengthen our Reef guardians and scientists.  </w:t>
            </w:r>
          </w:p>
          <w:p w:rsidR="00745102" w:rsidRPr="00B20E3A" w:rsidRDefault="007A4014" w:rsidP="00745102">
            <w:pPr>
              <w:pStyle w:val="ListParagraph"/>
              <w:widowControl/>
              <w:numPr>
                <w:ilvl w:val="0"/>
                <w:numId w:val="6"/>
              </w:numPr>
              <w:contextualSpacing/>
              <w:cnfStyle w:val="000000000000" w:firstRow="0" w:lastRow="0" w:firstColumn="0" w:lastColumn="0" w:oddVBand="0" w:evenVBand="0" w:oddHBand="0" w:evenHBand="0" w:firstRowFirstColumn="0" w:firstRowLastColumn="0" w:lastRowFirstColumn="0" w:lastRowLastColumn="0"/>
              <w:rPr>
                <w:sz w:val="22"/>
              </w:rPr>
            </w:pPr>
            <w:r w:rsidRPr="00B20E3A">
              <w:rPr>
                <w:b/>
                <w:sz w:val="22"/>
              </w:rPr>
              <w:t>Additional funding of $20 million per year for 4 years</w:t>
            </w:r>
            <w:r w:rsidRPr="00B20E3A">
              <w:rPr>
                <w:sz w:val="22"/>
              </w:rPr>
              <w:t xml:space="preserve"> to GBRMPA to help the Reef deal with the impacts of global warming and coral bleaching, reduce local pressures like water pollution, coastal development and fishing, and to invest in research to reduce those local pressures.  </w:t>
            </w:r>
          </w:p>
          <w:p w:rsidR="007A4014" w:rsidRPr="00B20E3A" w:rsidRDefault="007A4014" w:rsidP="00745102">
            <w:pPr>
              <w:ind w:left="0"/>
              <w:contextualSpacing/>
              <w:cnfStyle w:val="000000000000" w:firstRow="0" w:lastRow="0" w:firstColumn="0" w:lastColumn="0" w:oddVBand="0" w:evenVBand="0" w:oddHBand="0" w:evenHBand="0" w:firstRowFirstColumn="0" w:firstRowLastColumn="0" w:lastRowFirstColumn="0" w:lastRowLastColumn="0"/>
              <w:rPr>
                <w:sz w:val="22"/>
              </w:rPr>
            </w:pPr>
            <w:r w:rsidRPr="00B20E3A">
              <w:rPr>
                <w:b/>
                <w:sz w:val="22"/>
              </w:rPr>
              <w:t xml:space="preserve">Stop illegal fishing and poaching in the protected “Green Zones” </w:t>
            </w:r>
            <w:r w:rsidRPr="00B20E3A">
              <w:rPr>
                <w:sz w:val="22"/>
              </w:rPr>
              <w:t>by providing Vessel Monitoring Systems (VMS) for commercial fishing vessels.  [$5 million]</w:t>
            </w:r>
          </w:p>
          <w:p w:rsidR="007A4014" w:rsidRPr="00B20E3A" w:rsidRDefault="007A4014" w:rsidP="007A4014">
            <w:pPr>
              <w:contextualSpacing/>
              <w:cnfStyle w:val="000000000000" w:firstRow="0" w:lastRow="0" w:firstColumn="0" w:lastColumn="0" w:oddVBand="0" w:evenVBand="0" w:oddHBand="0" w:evenHBand="0" w:firstRowFirstColumn="0" w:firstRowLastColumn="0" w:lastRowFirstColumn="0" w:lastRowLastColumn="0"/>
              <w:rPr>
                <w:b/>
                <w:sz w:val="22"/>
              </w:rPr>
            </w:pPr>
          </w:p>
          <w:p w:rsidR="007A4014" w:rsidRPr="00B20E3A" w:rsidRDefault="007A4014" w:rsidP="007A4014">
            <w:pPr>
              <w:contextualSpacing/>
              <w:cnfStyle w:val="000000000000" w:firstRow="0" w:lastRow="0" w:firstColumn="0" w:lastColumn="0" w:oddVBand="0" w:evenVBand="0" w:oddHBand="0" w:evenHBand="0" w:firstRowFirstColumn="0" w:firstRowLastColumn="0" w:lastRowFirstColumn="0" w:lastRowLastColumn="0"/>
              <w:rPr>
                <w:sz w:val="22"/>
              </w:rPr>
            </w:pPr>
            <w:r w:rsidRPr="00B20E3A">
              <w:rPr>
                <w:b/>
                <w:sz w:val="22"/>
              </w:rPr>
              <w:t>Grant funding</w:t>
            </w:r>
            <w:r w:rsidRPr="00B20E3A">
              <w:rPr>
                <w:sz w:val="22"/>
              </w:rPr>
              <w:t xml:space="preserve"> – additional injection of </w:t>
            </w:r>
            <w:r w:rsidRPr="00B20E3A">
              <w:rPr>
                <w:b/>
                <w:sz w:val="22"/>
              </w:rPr>
              <w:t xml:space="preserve">Federal grant funding of $225 million over five years </w:t>
            </w:r>
            <w:r w:rsidRPr="00B20E3A">
              <w:rPr>
                <w:sz w:val="22"/>
              </w:rPr>
              <w:t xml:space="preserve">under the </w:t>
            </w:r>
            <w:r w:rsidRPr="00B20E3A">
              <w:rPr>
                <w:i/>
                <w:sz w:val="22"/>
              </w:rPr>
              <w:t>Reef Water Quality Programme</w:t>
            </w:r>
            <w:r w:rsidRPr="00B20E3A">
              <w:rPr>
                <w:sz w:val="22"/>
              </w:rPr>
              <w:t xml:space="preserve"> to assist farmers to transition to more sustainable practices in relation to water quality pollution.  (Administered by the Department of Environment).  </w:t>
            </w:r>
          </w:p>
          <w:p w:rsidR="00C47C60" w:rsidRPr="00B20E3A" w:rsidRDefault="00C47C60" w:rsidP="004F75B5">
            <w:pPr>
              <w:pStyle w:val="TableTextCentred"/>
              <w:jc w:val="left"/>
              <w:cnfStyle w:val="000000000000" w:firstRow="0" w:lastRow="0" w:firstColumn="0" w:lastColumn="0" w:oddVBand="0" w:evenVBand="0" w:oddHBand="0" w:evenHBand="0" w:firstRowFirstColumn="0" w:firstRowLastColumn="0" w:lastRowFirstColumn="0" w:lastRowLastColumn="0"/>
              <w:rPr>
                <w:b/>
                <w:sz w:val="22"/>
              </w:rPr>
            </w:pPr>
          </w:p>
          <w:p w:rsidR="00640346" w:rsidRPr="00B20E3A" w:rsidRDefault="00C47C6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B20E3A">
              <w:rPr>
                <w:b/>
                <w:sz w:val="22"/>
              </w:rPr>
              <w:t>Create a $1.2 billion loan facility over 5 years</w:t>
            </w:r>
            <w:r w:rsidRPr="00B20E3A">
              <w:rPr>
                <w:sz w:val="22"/>
              </w:rPr>
              <w:t xml:space="preserve"> to help farmers transition to low-p</w:t>
            </w:r>
            <w:r w:rsidR="00B20E3A" w:rsidRPr="00B20E3A">
              <w:rPr>
                <w:sz w:val="22"/>
              </w:rPr>
              <w:t>ollution farming methods.  The loan facility</w:t>
            </w:r>
            <w:r w:rsidRPr="00B20E3A">
              <w:rPr>
                <w:sz w:val="22"/>
              </w:rPr>
              <w:t xml:space="preserve"> would be $240 million per year</w:t>
            </w:r>
            <w:r w:rsidR="00B20E3A" w:rsidRPr="00B20E3A">
              <w:rPr>
                <w:sz w:val="22"/>
              </w:rPr>
              <w:t xml:space="preserve"> for five years with</w:t>
            </w:r>
            <w:r w:rsidRPr="00B20E3A">
              <w:rPr>
                <w:sz w:val="22"/>
              </w:rPr>
              <w:t xml:space="preserve"> expected loan terms </w:t>
            </w:r>
            <w:r w:rsidR="00B20E3A" w:rsidRPr="00B20E3A">
              <w:rPr>
                <w:sz w:val="22"/>
              </w:rPr>
              <w:t>of</w:t>
            </w:r>
            <w:r w:rsidRPr="00B20E3A">
              <w:rPr>
                <w:sz w:val="22"/>
              </w:rPr>
              <w:t xml:space="preserve"> 10 years.  This facility would make low interest loans at the cost of government borrowing for pollution-reduction activities create a return on investment. This would help highly leveraged farmers who may be at their credit limit to borrow money.  GBRMPA would supervise this facility, but would draw on the expertise of the CEFC in project management and financing work.  This is not expected to require additional funding for the CEFC</w:t>
            </w:r>
          </w:p>
          <w:p w:rsidR="00C47C60" w:rsidRPr="00CB40E1" w:rsidRDefault="00C47C6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C47C60"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C47C60" w:rsidRPr="00CB40E1" w:rsidRDefault="00C47C60"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C47C60" w:rsidRPr="00CB40E1" w:rsidRDefault="00C47C60" w:rsidP="00D861B3">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E</w:t>
            </w:r>
            <w:r w:rsidRPr="00C676A8">
              <w:rPr>
                <w:sz w:val="22"/>
              </w:rPr>
              <w:t>cologically sustainable management of the Great Barrier Reef</w:t>
            </w:r>
            <w:r w:rsidR="00B20E3A">
              <w:rPr>
                <w:sz w:val="22"/>
              </w:rPr>
              <w:t xml:space="preserve"> to survive the current threats of water and greenhouse pollution</w:t>
            </w:r>
            <w:r w:rsidRPr="00C676A8">
              <w:rPr>
                <w:sz w:val="22"/>
              </w:rPr>
              <w:t xml:space="preserve">.  </w:t>
            </w:r>
          </w:p>
        </w:tc>
      </w:tr>
      <w:tr w:rsidR="00C47C60"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47C60" w:rsidRPr="00CB40E1" w:rsidRDefault="00C47C60" w:rsidP="0014239B">
            <w:pPr>
              <w:pStyle w:val="TableTextCentred"/>
              <w:jc w:val="left"/>
              <w:rPr>
                <w:sz w:val="22"/>
              </w:rPr>
            </w:pPr>
            <w:r w:rsidRPr="00CB40E1">
              <w:rPr>
                <w:b/>
                <w:sz w:val="22"/>
              </w:rPr>
              <w:t>What are the key assumptions that have been made in the policy, including:</w:t>
            </w:r>
          </w:p>
        </w:tc>
      </w:tr>
      <w:tr w:rsidR="00C47C60"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C47C60" w:rsidRPr="00CB40E1" w:rsidRDefault="00C47C60" w:rsidP="00640346">
            <w:pPr>
              <w:pStyle w:val="TableText"/>
              <w:rPr>
                <w:sz w:val="22"/>
              </w:rPr>
            </w:pPr>
            <w:r w:rsidRPr="00CB40E1">
              <w:rPr>
                <w:sz w:val="22"/>
              </w:rPr>
              <w:t>Is the policy part of a package?</w:t>
            </w:r>
          </w:p>
          <w:p w:rsidR="00C47C60" w:rsidRPr="00CB40E1" w:rsidRDefault="00C47C60"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C47C60" w:rsidRPr="00CB40E1" w:rsidRDefault="00C47C6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8B2B99">
            <w:pPr>
              <w:pStyle w:val="TableText"/>
              <w:rPr>
                <w:sz w:val="22"/>
              </w:rPr>
            </w:pPr>
            <w:r w:rsidRPr="00CB40E1">
              <w:rPr>
                <w:sz w:val="22"/>
              </w:rPr>
              <w:lastRenderedPageBreak/>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C47C6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Capped</w:t>
            </w:r>
          </w:p>
        </w:tc>
      </w:tr>
      <w:tr w:rsidR="00C47C60"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C47C60" w:rsidRPr="00CB40E1" w:rsidRDefault="00C47C60" w:rsidP="00640346">
            <w:pPr>
              <w:pStyle w:val="TableText"/>
              <w:rPr>
                <w:sz w:val="22"/>
              </w:rPr>
            </w:pPr>
            <w:r w:rsidRPr="00CB40E1">
              <w:rPr>
                <w:sz w:val="22"/>
              </w:rPr>
              <w:t>Will third parties (for instance the States/Territories) have a role in funding or delivering the policy?</w:t>
            </w:r>
          </w:p>
          <w:p w:rsidR="00C47C60" w:rsidRPr="00CB40E1" w:rsidRDefault="00C47C60"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C47C60" w:rsidRPr="00CB40E1" w:rsidRDefault="00C47C6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w:t>
            </w:r>
            <w:proofErr w:type="spellStart"/>
            <w:r>
              <w:rPr>
                <w:sz w:val="22"/>
              </w:rPr>
              <w:t>govt</w:t>
            </w:r>
            <w:proofErr w:type="spellEnd"/>
            <w:r>
              <w:rPr>
                <w:sz w:val="22"/>
              </w:rPr>
              <w:t xml:space="preserve"> contribution is capped</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40346">
            <w:pPr>
              <w:pStyle w:val="TableText"/>
              <w:rPr>
                <w:sz w:val="22"/>
              </w:rPr>
            </w:pPr>
            <w:r w:rsidRPr="00CB40E1">
              <w:rPr>
                <w:sz w:val="22"/>
              </w:rPr>
              <w:t>Are there associated savings, offsets or expenses?</w:t>
            </w:r>
          </w:p>
          <w:p w:rsidR="00C47C60" w:rsidRPr="00CB40E1" w:rsidRDefault="00C47C60"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C47C6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40346">
            <w:pPr>
              <w:pStyle w:val="TableText"/>
              <w:rPr>
                <w:sz w:val="22"/>
              </w:rPr>
            </w:pPr>
            <w:r w:rsidRPr="00CB40E1">
              <w:rPr>
                <w:sz w:val="22"/>
              </w:rPr>
              <w:t xml:space="preserve">Does the policy relate to a previous budget measure? </w:t>
            </w:r>
          </w:p>
          <w:p w:rsidR="00C47C60" w:rsidRPr="00CB40E1" w:rsidRDefault="00C47C60"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C47C6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C47C60"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40346">
            <w:pPr>
              <w:pStyle w:val="TableText"/>
              <w:rPr>
                <w:sz w:val="22"/>
              </w:rPr>
            </w:pPr>
            <w:r w:rsidRPr="00CB40E1">
              <w:rPr>
                <w:sz w:val="22"/>
              </w:rPr>
              <w:t>Will the funding/program cost require indexation?</w:t>
            </w:r>
          </w:p>
          <w:p w:rsidR="00C47C60" w:rsidRPr="00CB40E1" w:rsidRDefault="00C47C60"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Default="00C47C60" w:rsidP="00C47C60">
            <w:pPr>
              <w:spacing w:before="120" w:after="120"/>
              <w:ind w:left="57" w:right="57"/>
              <w:cnfStyle w:val="000000100000" w:firstRow="0" w:lastRow="0" w:firstColumn="0" w:lastColumn="0" w:oddVBand="0" w:evenVBand="0" w:oddHBand="1" w:evenHBand="0" w:firstRowFirstColumn="0" w:firstRowLastColumn="0" w:lastRowFirstColumn="0" w:lastRowLastColumn="0"/>
            </w:pPr>
            <w:r>
              <w:t xml:space="preserve">The funding proposed will not require indexation. </w:t>
            </w:r>
          </w:p>
          <w:p w:rsidR="00C47C60" w:rsidRPr="00CB40E1" w:rsidRDefault="00C47C6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47C60" w:rsidRPr="00CB40E1" w:rsidRDefault="00C47C60" w:rsidP="00660385">
            <w:pPr>
              <w:pStyle w:val="TableTextCentred"/>
              <w:keepNext/>
              <w:keepLines/>
              <w:jc w:val="left"/>
              <w:rPr>
                <w:sz w:val="22"/>
              </w:rPr>
            </w:pPr>
            <w:r w:rsidRPr="00CB40E1">
              <w:rPr>
                <w:b/>
                <w:sz w:val="22"/>
              </w:rPr>
              <w:t>Expected impacts of the proposal</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C47C60"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C47C60"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C47C60"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C47C60"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C47C60" w:rsidRPr="00CB40E1" w:rsidRDefault="00C47C60"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C47C60" w:rsidRPr="00CB40E1" w:rsidRDefault="00C47C60"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C47C60" w:rsidRPr="00CB40E1" w:rsidRDefault="00C47C60"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C47C60" w:rsidRPr="00CB40E1" w:rsidRDefault="00C47C60"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C47C60" w:rsidRPr="00CB40E1" w:rsidRDefault="00C47C60"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B20E3A"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-115</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B20E3A"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-118.3</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B20E3A"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-121.1</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B20E3A"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-131</w:t>
            </w:r>
          </w:p>
        </w:tc>
      </w:tr>
      <w:tr w:rsidR="007A4014" w:rsidTr="008E3F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7A4014" w:rsidRPr="00CB40E1" w:rsidRDefault="007A4014"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7A4014" w:rsidRPr="007A4014" w:rsidRDefault="00B20E3A" w:rsidP="00D861B3">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-162.2</w:t>
            </w:r>
          </w:p>
        </w:tc>
        <w:tc>
          <w:tcPr>
            <w:tcW w:w="877" w:type="pct"/>
            <w:tcBorders>
              <w:top w:val="single" w:sz="4" w:space="0" w:color="788184"/>
              <w:left w:val="single" w:sz="4" w:space="0" w:color="788184"/>
              <w:bottom w:val="single" w:sz="4" w:space="0" w:color="788184"/>
              <w:right w:val="single" w:sz="4" w:space="0" w:color="788184"/>
            </w:tcBorders>
            <w:shd w:val="clear" w:color="auto" w:fill="auto"/>
            <w:vAlign w:val="bottom"/>
          </w:tcPr>
          <w:p w:rsidR="007A4014" w:rsidRPr="007A4014" w:rsidRDefault="00B20E3A" w:rsidP="00D861B3">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-157.5</w:t>
            </w:r>
          </w:p>
        </w:tc>
        <w:tc>
          <w:tcPr>
            <w:tcW w:w="876" w:type="pct"/>
            <w:tcBorders>
              <w:top w:val="single" w:sz="4" w:space="0" w:color="788184"/>
              <w:left w:val="single" w:sz="4" w:space="0" w:color="788184"/>
              <w:bottom w:val="single" w:sz="4" w:space="0" w:color="788184"/>
              <w:right w:val="single" w:sz="4" w:space="0" w:color="788184"/>
            </w:tcBorders>
            <w:shd w:val="clear" w:color="auto" w:fill="auto"/>
            <w:vAlign w:val="bottom"/>
          </w:tcPr>
          <w:p w:rsidR="007A4014" w:rsidRPr="007A4014" w:rsidRDefault="00B20E3A" w:rsidP="00D861B3">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-152.8</w:t>
            </w:r>
          </w:p>
        </w:tc>
        <w:tc>
          <w:tcPr>
            <w:tcW w:w="878" w:type="pct"/>
            <w:tcBorders>
              <w:top w:val="single" w:sz="4" w:space="0" w:color="788184"/>
              <w:left w:val="single" w:sz="4" w:space="0" w:color="788184"/>
              <w:bottom w:val="single" w:sz="4" w:space="0" w:color="788184"/>
              <w:right w:val="single" w:sz="4" w:space="0" w:color="788184"/>
            </w:tcBorders>
            <w:shd w:val="clear" w:color="auto" w:fill="auto"/>
            <w:vAlign w:val="bottom"/>
          </w:tcPr>
          <w:p w:rsidR="007A4014" w:rsidRPr="007A4014" w:rsidRDefault="00B20E3A" w:rsidP="00D861B3">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-149.7</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C47C60"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7A401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Nil</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E15AAE">
            <w:pPr>
              <w:pStyle w:val="TableText"/>
              <w:rPr>
                <w:sz w:val="22"/>
              </w:rPr>
            </w:pPr>
            <w:r w:rsidRPr="00CB40E1">
              <w:rPr>
                <w:sz w:val="22"/>
              </w:rPr>
              <w:lastRenderedPageBreak/>
              <w:t>Has the policy been costed by a third party?</w:t>
            </w:r>
          </w:p>
          <w:p w:rsidR="00C47C60" w:rsidRPr="00CB40E1" w:rsidRDefault="00C47C60"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7A4014"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E15AAE">
            <w:pPr>
              <w:pStyle w:val="TableText"/>
              <w:rPr>
                <w:sz w:val="22"/>
              </w:rPr>
            </w:pPr>
            <w:r w:rsidRPr="00CB40E1">
              <w:rPr>
                <w:sz w:val="22"/>
              </w:rPr>
              <w:t>What is the expected community impact of the policy?</w:t>
            </w:r>
          </w:p>
          <w:p w:rsidR="00C47C60" w:rsidRPr="00CB40E1" w:rsidRDefault="00C47C60" w:rsidP="00E15AAE">
            <w:pPr>
              <w:pStyle w:val="TableText"/>
              <w:rPr>
                <w:sz w:val="22"/>
              </w:rPr>
            </w:pPr>
            <w:r w:rsidRPr="00CB40E1">
              <w:rPr>
                <w:sz w:val="22"/>
              </w:rPr>
              <w:t>How many people will be affected by the policy?</w:t>
            </w:r>
          </w:p>
          <w:p w:rsidR="00C47C60" w:rsidRPr="00CB40E1" w:rsidRDefault="00C47C60" w:rsidP="00E15AAE">
            <w:pPr>
              <w:pStyle w:val="TableText"/>
              <w:rPr>
                <w:sz w:val="22"/>
              </w:rPr>
            </w:pPr>
            <w:r w:rsidRPr="00CB40E1">
              <w:rPr>
                <w:sz w:val="22"/>
              </w:rPr>
              <w:t>What is the likely take up?</w:t>
            </w:r>
          </w:p>
          <w:p w:rsidR="00C47C60" w:rsidRPr="00CB40E1" w:rsidRDefault="00C47C60"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7A4014" w:rsidRDefault="007A4014" w:rsidP="007A4014">
            <w:pPr>
              <w:spacing w:before="120" w:after="120"/>
              <w:ind w:left="57" w:right="57"/>
              <w:cnfStyle w:val="000000100000" w:firstRow="0" w:lastRow="0" w:firstColumn="0" w:lastColumn="0" w:oddVBand="0" w:evenVBand="0" w:oddHBand="1" w:evenHBand="0" w:firstRowFirstColumn="0" w:firstRowLastColumn="0" w:lastRowFirstColumn="0" w:lastRowLastColumn="0"/>
            </w:pPr>
            <w:r>
              <w:t xml:space="preserve">Increased profitability of some farming operations.  Other farming operations may scale back their activities as a result of the legal cap on pollution/ </w:t>
            </w:r>
          </w:p>
          <w:p w:rsidR="007A4014" w:rsidRDefault="007A4014" w:rsidP="007A4014">
            <w:pPr>
              <w:spacing w:before="120" w:after="120"/>
              <w:ind w:left="57" w:right="57"/>
              <w:cnfStyle w:val="000000100000" w:firstRow="0" w:lastRow="0" w:firstColumn="0" w:lastColumn="0" w:oddVBand="0" w:evenVBand="0" w:oddHBand="1" w:evenHBand="0" w:firstRowFirstColumn="0" w:firstRowLastColumn="0" w:lastRowFirstColumn="0" w:lastRowLastColumn="0"/>
            </w:pPr>
            <w:r>
              <w:t xml:space="preserve">Most of the population of the GBR coast may be affected indirectly by this policy.  Anyone who owns a property which could be the source of pollution may be affected. </w:t>
            </w:r>
          </w:p>
          <w:p w:rsidR="00C47C60" w:rsidRPr="00CB40E1" w:rsidRDefault="007A4014" w:rsidP="007A4014">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t>Likely take up of the policy will be universal among farmers (since the legal cap on pollution will be mandatory)</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47C60" w:rsidRPr="00CB40E1" w:rsidRDefault="00C47C60" w:rsidP="00660385">
            <w:pPr>
              <w:pStyle w:val="TableTextCentred"/>
              <w:keepNext/>
              <w:keepLines/>
              <w:jc w:val="left"/>
              <w:rPr>
                <w:sz w:val="22"/>
              </w:rPr>
            </w:pPr>
            <w:r w:rsidRPr="00CB40E1">
              <w:rPr>
                <w:b/>
                <w:sz w:val="22"/>
              </w:rPr>
              <w:t>Administration of policy:</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7A4014" w:rsidRDefault="007A4014" w:rsidP="007A4014">
            <w:pPr>
              <w:spacing w:before="120" w:after="120"/>
              <w:ind w:left="57" w:right="57"/>
              <w:cnfStyle w:val="000000100000" w:firstRow="0" w:lastRow="0" w:firstColumn="0" w:lastColumn="0" w:oddVBand="0" w:evenVBand="0" w:oddHBand="1" w:evenHBand="0" w:firstRowFirstColumn="0" w:firstRowLastColumn="0" w:lastRowFirstColumn="0" w:lastRowLastColumn="0"/>
            </w:pPr>
            <w:r>
              <w:t xml:space="preserve">The Great Barrier Reef Marine Park Authority will administer the policy, with support from the CEFC.  No extra expense is expected for the CEFC.  </w:t>
            </w:r>
          </w:p>
          <w:p w:rsidR="00C47C60" w:rsidRPr="00CB40E1" w:rsidRDefault="007A4014" w:rsidP="007A4014">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t xml:space="preserve">The </w:t>
            </w:r>
            <w:proofErr w:type="spellStart"/>
            <w:r>
              <w:t>Dept</w:t>
            </w:r>
            <w:proofErr w:type="spellEnd"/>
            <w:r>
              <w:t xml:space="preserve"> of Environment currently administers the </w:t>
            </w:r>
            <w:r w:rsidRPr="00822BA7">
              <w:rPr>
                <w:i/>
              </w:rPr>
              <w:t>Reef Water Quality Programme</w:t>
            </w:r>
            <w:r>
              <w:t xml:space="preserve"> and </w:t>
            </w:r>
            <w:r>
              <w:rPr>
                <w:i/>
              </w:rPr>
              <w:t>Reef Trust</w:t>
            </w:r>
            <w:r>
              <w:t xml:space="preserve">, and the extra grant funding of $225million over 5 years would also be administered by the </w:t>
            </w:r>
            <w:proofErr w:type="spellStart"/>
            <w:r>
              <w:t>Dept</w:t>
            </w:r>
            <w:proofErr w:type="spellEnd"/>
            <w:r>
              <w:t xml:space="preserve"> of Environment.  </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7A4014"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7A4014" w:rsidP="00B20E3A">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t xml:space="preserve">1 </w:t>
            </w:r>
            <w:r w:rsidR="00B20E3A">
              <w:t>September</w:t>
            </w:r>
            <w:r>
              <w:t xml:space="preserve"> 2016</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745102" w:rsidRDefault="00745102" w:rsidP="00745102">
            <w:pPr>
              <w:spacing w:before="120" w:after="120"/>
              <w:ind w:left="57" w:right="57"/>
              <w:cnfStyle w:val="000000000000" w:firstRow="0" w:lastRow="0" w:firstColumn="0" w:lastColumn="0" w:oddVBand="0" w:evenVBand="0" w:oddHBand="0" w:evenHBand="0" w:firstRowFirstColumn="0" w:firstRowLastColumn="0" w:lastRowFirstColumn="0" w:lastRowLastColumn="0"/>
            </w:pPr>
            <w:r>
              <w:t xml:space="preserve">Up to 10 years for the legal cap on pollution and water quality finance facility.  </w:t>
            </w:r>
          </w:p>
          <w:p w:rsidR="00745102" w:rsidRDefault="00745102" w:rsidP="00745102">
            <w:pPr>
              <w:spacing w:before="120" w:after="120"/>
              <w:ind w:left="57" w:right="57"/>
              <w:cnfStyle w:val="000000000000" w:firstRow="0" w:lastRow="0" w:firstColumn="0" w:lastColumn="0" w:oddVBand="0" w:evenVBand="0" w:oddHBand="0" w:evenHBand="0" w:firstRowFirstColumn="0" w:firstRowLastColumn="0" w:lastRowFirstColumn="0" w:lastRowLastColumn="0"/>
            </w:pPr>
            <w:r>
              <w:t xml:space="preserve">Five years for additional grant funding for water quality. </w:t>
            </w:r>
          </w:p>
          <w:p w:rsidR="00745102" w:rsidRDefault="00745102" w:rsidP="00745102">
            <w:pPr>
              <w:spacing w:before="120" w:after="120"/>
              <w:ind w:left="57" w:right="57"/>
              <w:cnfStyle w:val="000000000000" w:firstRow="0" w:lastRow="0" w:firstColumn="0" w:lastColumn="0" w:oddVBand="0" w:evenVBand="0" w:oddHBand="0" w:evenHBand="0" w:firstRowFirstColumn="0" w:firstRowLastColumn="0" w:lastRowFirstColumn="0" w:lastRowLastColumn="0"/>
            </w:pPr>
            <w:r>
              <w:t xml:space="preserve">Four years for $20p.a. additional funding for GBRMPA.  </w:t>
            </w:r>
          </w:p>
          <w:p w:rsidR="00C47C60" w:rsidRPr="00CB40E1" w:rsidRDefault="00745102" w:rsidP="00745102">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t xml:space="preserve">Three years for additional $15m for GBRMPA for water quality monitoring.  </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745102"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C47C60"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745102" w:rsidRDefault="00745102" w:rsidP="00745102">
            <w:pPr>
              <w:pStyle w:val="FootnoteText"/>
              <w:cnfStyle w:val="000000000000" w:firstRow="0" w:lastRow="0" w:firstColumn="0" w:lastColumn="0" w:oddVBand="0" w:evenVBand="0" w:oddHBand="0" w:evenHBand="0" w:firstRowFirstColumn="0" w:firstRowLastColumn="0" w:lastRowFirstColumn="0" w:lastRowLastColumn="0"/>
            </w:pPr>
            <w:r>
              <w:t xml:space="preserve">GBR Natural Resource Management </w:t>
            </w:r>
            <w:proofErr w:type="spellStart"/>
            <w:r>
              <w:t>Organisations</w:t>
            </w:r>
            <w:proofErr w:type="spellEnd"/>
            <w:r>
              <w:t xml:space="preserve">, Jan 2015, </w:t>
            </w:r>
            <w:r w:rsidRPr="008D2ACD">
              <w:rPr>
                <w:i/>
              </w:rPr>
              <w:t>Investment proposal Water quality, catchment and coastal repair</w:t>
            </w:r>
            <w:r>
              <w:rPr>
                <w:i/>
              </w:rPr>
              <w:t xml:space="preserve">, first edition.  </w:t>
            </w:r>
            <w:hyperlink r:id="rId9" w:history="1">
              <w:r w:rsidRPr="008F5C0A">
                <w:rPr>
                  <w:rStyle w:val="Hyperlink"/>
                </w:rPr>
                <w:t>http://www.rgc.org.au/wp-content/uploads/2015/01/Investment-Plan-NRM-proposal-190115.pdf</w:t>
              </w:r>
            </w:hyperlink>
            <w:r w:rsidRPr="008F5C0A">
              <w:t xml:space="preserve"> </w:t>
            </w:r>
          </w:p>
          <w:p w:rsidR="00C47C60" w:rsidRPr="00CB40E1" w:rsidRDefault="00745102" w:rsidP="00745102">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t xml:space="preserve">the </w:t>
            </w:r>
            <w:r>
              <w:rPr>
                <w:i/>
              </w:rPr>
              <w:t xml:space="preserve">Interim Report </w:t>
            </w:r>
            <w:r>
              <w:t xml:space="preserve">of the GBR Water Science Taskforce </w:t>
            </w:r>
            <w:hyperlink r:id="rId10" w:history="1">
              <w:r w:rsidRPr="002332B6">
                <w:rPr>
                  <w:rStyle w:val="Hyperlink"/>
                </w:rPr>
                <w:t>http://www.gbr.qld.gov.au/documents/gbrwst-interim-report-highres.pdf</w:t>
              </w:r>
            </w:hyperlink>
            <w:r>
              <w:t xml:space="preserve">  </w:t>
            </w:r>
          </w:p>
        </w:tc>
      </w:tr>
      <w:tr w:rsidR="00C47C60"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C47C60" w:rsidRPr="00CB40E1" w:rsidRDefault="00C47C60"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745102"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C47C60"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47C60" w:rsidRPr="00CB40E1" w:rsidRDefault="00C47C60" w:rsidP="00660385">
            <w:pPr>
              <w:pStyle w:val="TableTextCentred"/>
              <w:jc w:val="left"/>
              <w:rPr>
                <w:b/>
                <w:sz w:val="22"/>
              </w:rPr>
            </w:pPr>
            <w:r w:rsidRPr="00CB40E1">
              <w:rPr>
                <w:b/>
                <w:sz w:val="22"/>
              </w:rPr>
              <w:lastRenderedPageBreak/>
              <w:t>NOTE:</w:t>
            </w:r>
          </w:p>
          <w:p w:rsidR="00C47C60" w:rsidRPr="00CB40E1" w:rsidRDefault="00C47C60" w:rsidP="00660385">
            <w:pPr>
              <w:pStyle w:val="TableTextCentred"/>
              <w:jc w:val="left"/>
              <w:rPr>
                <w:i/>
                <w:sz w:val="22"/>
              </w:rPr>
            </w:pPr>
            <w:r w:rsidRPr="00CB40E1">
              <w:rPr>
                <w:i/>
                <w:sz w:val="22"/>
              </w:rPr>
              <w:t>Please note that:</w:t>
            </w:r>
          </w:p>
          <w:p w:rsidR="00C47C60" w:rsidRPr="00CB40E1" w:rsidRDefault="00C47C60" w:rsidP="00660385">
            <w:pPr>
              <w:pStyle w:val="TableTextBullet1"/>
              <w:numPr>
                <w:ilvl w:val="0"/>
                <w:numId w:val="0"/>
              </w:numPr>
              <w:ind w:left="113"/>
              <w:rPr>
                <w:i/>
                <w:sz w:val="22"/>
              </w:rPr>
            </w:pPr>
            <w:r w:rsidRPr="00CB40E1">
              <w:rPr>
                <w:i/>
                <w:sz w:val="22"/>
              </w:rPr>
              <w:t>The costing will be on the basis of information provided in this costing request.</w:t>
            </w:r>
          </w:p>
          <w:p w:rsidR="00C47C60" w:rsidRPr="00CB40E1" w:rsidRDefault="00C47C60"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p w:rsidR="007A4014" w:rsidRDefault="007A4014"/>
    <w:p w:rsidR="007A4014" w:rsidRDefault="007A4014"/>
    <w:p w:rsidR="007A4014" w:rsidRDefault="007A4014">
      <w:r>
        <w:t>COST TABLE</w:t>
      </w:r>
    </w:p>
    <w:p w:rsidR="007A4014" w:rsidRDefault="007A4014"/>
    <w:tbl>
      <w:tblPr>
        <w:tblW w:w="10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276"/>
        <w:gridCol w:w="1420"/>
        <w:gridCol w:w="1420"/>
        <w:gridCol w:w="1420"/>
        <w:gridCol w:w="1128"/>
      </w:tblGrid>
      <w:tr w:rsidR="007A4014" w:rsidRPr="007A4014" w:rsidTr="007A4014">
        <w:trPr>
          <w:trHeight w:val="300"/>
        </w:trPr>
        <w:tc>
          <w:tcPr>
            <w:tcW w:w="3559" w:type="dxa"/>
            <w:shd w:val="clear" w:color="auto" w:fill="auto"/>
            <w:noWrap/>
            <w:vAlign w:val="bottom"/>
            <w:hideMark/>
          </w:tcPr>
          <w:p w:rsidR="007A4014" w:rsidRPr="007A4014" w:rsidRDefault="00B20E3A" w:rsidP="007A4014">
            <w:pPr>
              <w:spacing w:line="240" w:lineRule="auto"/>
              <w:rPr>
                <w:rFonts w:ascii="Calibri" w:eastAsia="Times New Roman" w:hAnsi="Calibri" w:cs="Times New Roman"/>
                <w:b/>
                <w:bCs/>
                <w:color w:val="000000"/>
                <w:u w:val="single"/>
                <w:lang w:eastAsia="en-AU"/>
              </w:rPr>
            </w:pPr>
            <w:r>
              <w:rPr>
                <w:rFonts w:ascii="Calibri" w:eastAsia="Times New Roman" w:hAnsi="Calibri" w:cs="Times New Roman"/>
                <w:b/>
                <w:bCs/>
                <w:color w:val="000000"/>
                <w:u w:val="single"/>
                <w:lang w:eastAsia="en-AU"/>
              </w:rPr>
              <w:t>Saving our Reef</w:t>
            </w:r>
          </w:p>
        </w:tc>
        <w:tc>
          <w:tcPr>
            <w:tcW w:w="1276"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128"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r>
      <w:tr w:rsidR="007A4014" w:rsidRPr="007A4014" w:rsidTr="007A4014">
        <w:trPr>
          <w:trHeight w:val="300"/>
        </w:trPr>
        <w:tc>
          <w:tcPr>
            <w:tcW w:w="3559"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Measure ($m)</w:t>
            </w:r>
          </w:p>
        </w:tc>
        <w:tc>
          <w:tcPr>
            <w:tcW w:w="1276"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16-17</w:t>
            </w: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17-18</w:t>
            </w: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18-19</w:t>
            </w: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19-20</w:t>
            </w:r>
          </w:p>
        </w:tc>
        <w:tc>
          <w:tcPr>
            <w:tcW w:w="1128"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MEASURE TOTAL</w:t>
            </w:r>
          </w:p>
        </w:tc>
      </w:tr>
      <w:tr w:rsidR="007A4014" w:rsidRPr="007A4014" w:rsidTr="007A4014">
        <w:trPr>
          <w:trHeight w:val="300"/>
        </w:trPr>
        <w:tc>
          <w:tcPr>
            <w:tcW w:w="3559"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Additional WQ grant funding</w:t>
            </w:r>
          </w:p>
        </w:tc>
        <w:tc>
          <w:tcPr>
            <w:tcW w:w="1276"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47.6</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47.6</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47.6</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47.6</w:t>
            </w:r>
          </w:p>
        </w:tc>
        <w:tc>
          <w:tcPr>
            <w:tcW w:w="1128"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190.4</w:t>
            </w:r>
          </w:p>
        </w:tc>
      </w:tr>
      <w:tr w:rsidR="007A4014" w:rsidRPr="007A4014" w:rsidTr="007A4014">
        <w:trPr>
          <w:trHeight w:val="300"/>
        </w:trPr>
        <w:tc>
          <w:tcPr>
            <w:tcW w:w="3559"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Loan facility (underlying fiscal balance terms)</w:t>
            </w:r>
          </w:p>
        </w:tc>
        <w:tc>
          <w:tcPr>
            <w:tcW w:w="1276"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53.28</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38.64</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24.48</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1.2</w:t>
            </w:r>
          </w:p>
        </w:tc>
        <w:tc>
          <w:tcPr>
            <w:tcW w:w="1128"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117.6</w:t>
            </w:r>
          </w:p>
        </w:tc>
      </w:tr>
      <w:tr w:rsidR="007A4014" w:rsidRPr="007A4014" w:rsidTr="007A4014">
        <w:trPr>
          <w:trHeight w:val="300"/>
        </w:trPr>
        <w:tc>
          <w:tcPr>
            <w:tcW w:w="3559"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WQ monitoring funding for GBRMPA</w:t>
            </w:r>
          </w:p>
        </w:tc>
        <w:tc>
          <w:tcPr>
            <w:tcW w:w="1276"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3.8</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3.8</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3.8</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3.8</w:t>
            </w:r>
          </w:p>
        </w:tc>
        <w:tc>
          <w:tcPr>
            <w:tcW w:w="1128"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15.2</w:t>
            </w:r>
          </w:p>
        </w:tc>
      </w:tr>
      <w:tr w:rsidR="007A4014" w:rsidRPr="007A4014" w:rsidTr="007A4014">
        <w:trPr>
          <w:trHeight w:val="300"/>
        </w:trPr>
        <w:tc>
          <w:tcPr>
            <w:tcW w:w="3559"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Strengthen Reef Guardians (GBRMPA and AIMS)</w:t>
            </w:r>
          </w:p>
        </w:tc>
        <w:tc>
          <w:tcPr>
            <w:tcW w:w="1276"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20</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20</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20</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20</w:t>
            </w:r>
          </w:p>
        </w:tc>
        <w:tc>
          <w:tcPr>
            <w:tcW w:w="1128"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80</w:t>
            </w:r>
          </w:p>
        </w:tc>
      </w:tr>
      <w:tr w:rsidR="007A4014" w:rsidRPr="007A4014" w:rsidTr="007A4014">
        <w:trPr>
          <w:trHeight w:val="300"/>
        </w:trPr>
        <w:tc>
          <w:tcPr>
            <w:tcW w:w="3559"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Remote GPS monitors for commercial fishers</w:t>
            </w:r>
          </w:p>
        </w:tc>
        <w:tc>
          <w:tcPr>
            <w:tcW w:w="1276"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5</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0</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0</w:t>
            </w:r>
          </w:p>
        </w:tc>
        <w:tc>
          <w:tcPr>
            <w:tcW w:w="1420"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color w:val="000000"/>
                <w:lang w:eastAsia="en-AU"/>
              </w:rPr>
            </w:pPr>
            <w:r w:rsidRPr="007A4014">
              <w:rPr>
                <w:rFonts w:ascii="Calibri" w:eastAsia="Times New Roman" w:hAnsi="Calibri" w:cs="Times New Roman"/>
                <w:color w:val="000000"/>
                <w:lang w:eastAsia="en-AU"/>
              </w:rPr>
              <w:t>0</w:t>
            </w:r>
          </w:p>
        </w:tc>
        <w:tc>
          <w:tcPr>
            <w:tcW w:w="1128" w:type="dxa"/>
            <w:shd w:val="clear" w:color="auto" w:fill="auto"/>
            <w:noWrap/>
            <w:vAlign w:val="bottom"/>
            <w:hideMark/>
          </w:tcPr>
          <w:p w:rsidR="007A4014" w:rsidRPr="007A4014" w:rsidRDefault="007A4014" w:rsidP="007A4014">
            <w:pPr>
              <w:spacing w:line="240" w:lineRule="auto"/>
              <w:jc w:val="right"/>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5</w:t>
            </w:r>
          </w:p>
        </w:tc>
      </w:tr>
      <w:tr w:rsidR="007A4014" w:rsidRPr="007A4014" w:rsidTr="007A4014">
        <w:trPr>
          <w:trHeight w:val="300"/>
        </w:trPr>
        <w:tc>
          <w:tcPr>
            <w:tcW w:w="3559"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276"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420"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color w:val="000000"/>
                <w:lang w:eastAsia="en-AU"/>
              </w:rPr>
            </w:pPr>
          </w:p>
        </w:tc>
        <w:tc>
          <w:tcPr>
            <w:tcW w:w="1128"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b/>
                <w:bCs/>
                <w:color w:val="000000"/>
                <w:lang w:eastAsia="en-AU"/>
              </w:rPr>
            </w:pPr>
          </w:p>
        </w:tc>
      </w:tr>
      <w:tr w:rsidR="007A4014" w:rsidRPr="007A4014" w:rsidTr="007A4014">
        <w:trPr>
          <w:trHeight w:val="300"/>
        </w:trPr>
        <w:tc>
          <w:tcPr>
            <w:tcW w:w="3559" w:type="dxa"/>
            <w:shd w:val="clear" w:color="auto" w:fill="auto"/>
            <w:noWrap/>
            <w:vAlign w:val="bottom"/>
            <w:hideMark/>
          </w:tcPr>
          <w:p w:rsidR="007A4014" w:rsidRPr="007A4014" w:rsidRDefault="007A4014" w:rsidP="007A4014">
            <w:pPr>
              <w:spacing w:line="240" w:lineRule="auto"/>
              <w:rPr>
                <w:rFonts w:ascii="Calibri" w:eastAsia="Times New Roman" w:hAnsi="Calibri" w:cs="Times New Roman"/>
                <w:b/>
                <w:bCs/>
                <w:color w:val="000000"/>
                <w:lang w:eastAsia="en-AU"/>
              </w:rPr>
            </w:pPr>
            <w:r w:rsidRPr="007A4014">
              <w:rPr>
                <w:rFonts w:ascii="Calibri" w:eastAsia="Times New Roman" w:hAnsi="Calibri" w:cs="Times New Roman"/>
                <w:b/>
                <w:bCs/>
                <w:color w:val="000000"/>
                <w:lang w:eastAsia="en-AU"/>
              </w:rPr>
              <w:t>TOTAL (w/ yearly totals)</w:t>
            </w:r>
          </w:p>
        </w:tc>
        <w:tc>
          <w:tcPr>
            <w:tcW w:w="1276" w:type="dxa"/>
            <w:shd w:val="clear" w:color="auto" w:fill="auto"/>
            <w:noWrap/>
            <w:vAlign w:val="bottom"/>
            <w:hideMark/>
          </w:tcPr>
          <w:p w:rsidR="007A4014" w:rsidRDefault="007A4014">
            <w:pPr>
              <w:jc w:val="right"/>
              <w:rPr>
                <w:rFonts w:ascii="Calibri" w:hAnsi="Calibri"/>
                <w:b/>
                <w:bCs/>
                <w:color w:val="000000"/>
              </w:rPr>
            </w:pPr>
            <w:r>
              <w:rPr>
                <w:rFonts w:ascii="Calibri" w:hAnsi="Calibri"/>
                <w:b/>
                <w:bCs/>
                <w:color w:val="000000"/>
              </w:rPr>
              <w:t>129.68</w:t>
            </w:r>
          </w:p>
        </w:tc>
        <w:tc>
          <w:tcPr>
            <w:tcW w:w="1420" w:type="dxa"/>
            <w:shd w:val="clear" w:color="auto" w:fill="auto"/>
            <w:noWrap/>
            <w:vAlign w:val="bottom"/>
            <w:hideMark/>
          </w:tcPr>
          <w:p w:rsidR="007A4014" w:rsidRDefault="007A4014">
            <w:pPr>
              <w:jc w:val="right"/>
              <w:rPr>
                <w:rFonts w:ascii="Calibri" w:hAnsi="Calibri"/>
                <w:b/>
                <w:bCs/>
                <w:color w:val="000000"/>
              </w:rPr>
            </w:pPr>
            <w:r>
              <w:rPr>
                <w:rFonts w:ascii="Calibri" w:hAnsi="Calibri"/>
                <w:b/>
                <w:bCs/>
                <w:color w:val="000000"/>
              </w:rPr>
              <w:t>110.04</w:t>
            </w:r>
          </w:p>
        </w:tc>
        <w:tc>
          <w:tcPr>
            <w:tcW w:w="1420" w:type="dxa"/>
            <w:shd w:val="clear" w:color="auto" w:fill="auto"/>
            <w:noWrap/>
            <w:vAlign w:val="bottom"/>
            <w:hideMark/>
          </w:tcPr>
          <w:p w:rsidR="007A4014" w:rsidRDefault="007A4014">
            <w:pPr>
              <w:jc w:val="right"/>
              <w:rPr>
                <w:rFonts w:ascii="Calibri" w:hAnsi="Calibri"/>
                <w:b/>
                <w:bCs/>
                <w:color w:val="000000"/>
              </w:rPr>
            </w:pPr>
            <w:r>
              <w:rPr>
                <w:rFonts w:ascii="Calibri" w:hAnsi="Calibri"/>
                <w:b/>
                <w:bCs/>
                <w:color w:val="000000"/>
              </w:rPr>
              <w:t>95.88</w:t>
            </w:r>
          </w:p>
        </w:tc>
        <w:tc>
          <w:tcPr>
            <w:tcW w:w="1420" w:type="dxa"/>
            <w:shd w:val="clear" w:color="auto" w:fill="auto"/>
            <w:noWrap/>
            <w:vAlign w:val="bottom"/>
            <w:hideMark/>
          </w:tcPr>
          <w:p w:rsidR="007A4014" w:rsidRDefault="007A4014">
            <w:pPr>
              <w:jc w:val="right"/>
              <w:rPr>
                <w:rFonts w:ascii="Calibri" w:hAnsi="Calibri"/>
                <w:b/>
                <w:bCs/>
                <w:color w:val="000000"/>
              </w:rPr>
            </w:pPr>
            <w:r>
              <w:rPr>
                <w:rFonts w:ascii="Calibri" w:hAnsi="Calibri"/>
                <w:b/>
                <w:bCs/>
                <w:color w:val="000000"/>
              </w:rPr>
              <w:t>72.6</w:t>
            </w:r>
          </w:p>
        </w:tc>
        <w:tc>
          <w:tcPr>
            <w:tcW w:w="1128" w:type="dxa"/>
            <w:shd w:val="clear" w:color="auto" w:fill="auto"/>
            <w:noWrap/>
            <w:vAlign w:val="bottom"/>
            <w:hideMark/>
          </w:tcPr>
          <w:p w:rsidR="007A4014" w:rsidRDefault="007A4014">
            <w:pPr>
              <w:jc w:val="right"/>
              <w:rPr>
                <w:rFonts w:ascii="Calibri" w:hAnsi="Calibri"/>
                <w:b/>
                <w:bCs/>
                <w:color w:val="000000"/>
                <w:u w:val="single"/>
              </w:rPr>
            </w:pPr>
            <w:r>
              <w:rPr>
                <w:rFonts w:ascii="Calibri" w:hAnsi="Calibri"/>
                <w:b/>
                <w:bCs/>
                <w:color w:val="000000"/>
                <w:u w:val="single"/>
              </w:rPr>
              <w:t>408.2</w:t>
            </w:r>
          </w:p>
        </w:tc>
      </w:tr>
    </w:tbl>
    <w:p w:rsidR="007A4014" w:rsidRDefault="007A4014"/>
    <w:sectPr w:rsidR="007A4014" w:rsidSect="00BC559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7D" w:rsidRDefault="000B2C7D" w:rsidP="008F588A">
      <w:pPr>
        <w:spacing w:line="240" w:lineRule="auto"/>
      </w:pPr>
      <w:r>
        <w:separator/>
      </w:r>
    </w:p>
  </w:endnote>
  <w:endnote w:type="continuationSeparator" w:id="0">
    <w:p w:rsidR="000B2C7D" w:rsidRDefault="000B2C7D"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0B2C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C721E8">
            <w:rPr>
              <w:noProof/>
              <w:color w:val="788184"/>
              <w:szCs w:val="20"/>
            </w:rPr>
            <w:t>5</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C721E8">
            <w:rPr>
              <w:noProof/>
              <w:color w:val="788184"/>
              <w:szCs w:val="20"/>
            </w:rPr>
            <w:t>5</w:t>
          </w:r>
          <w:r w:rsidRPr="008F588A">
            <w:rPr>
              <w:color w:val="788184"/>
              <w:szCs w:val="20"/>
            </w:rPr>
            <w:fldChar w:fldCharType="end"/>
          </w:r>
        </w:p>
      </w:tc>
    </w:tr>
  </w:tbl>
  <w:p w:rsidR="008F588A" w:rsidRPr="00CB40E1" w:rsidRDefault="008F588A" w:rsidP="008F588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0B2C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D15148">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D15148">
            <w:rPr>
              <w:noProof/>
              <w:color w:val="788184"/>
              <w:szCs w:val="20"/>
            </w:rPr>
            <w:t>5</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7D" w:rsidRDefault="000B2C7D" w:rsidP="008F588A">
      <w:pPr>
        <w:spacing w:line="240" w:lineRule="auto"/>
      </w:pPr>
      <w:r>
        <w:separator/>
      </w:r>
    </w:p>
  </w:footnote>
  <w:footnote w:type="continuationSeparator" w:id="0">
    <w:p w:rsidR="000B2C7D" w:rsidRDefault="000B2C7D"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46131A5B"/>
    <w:multiLevelType w:val="hybridMultilevel"/>
    <w:tmpl w:val="F73EA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D"/>
    <w:rsid w:val="000B2C7D"/>
    <w:rsid w:val="00123C47"/>
    <w:rsid w:val="0014239B"/>
    <w:rsid w:val="00515A85"/>
    <w:rsid w:val="0055581F"/>
    <w:rsid w:val="005F7DE0"/>
    <w:rsid w:val="00640346"/>
    <w:rsid w:val="00660385"/>
    <w:rsid w:val="007202A8"/>
    <w:rsid w:val="00745102"/>
    <w:rsid w:val="007A4014"/>
    <w:rsid w:val="007B029A"/>
    <w:rsid w:val="008F588A"/>
    <w:rsid w:val="00902D2D"/>
    <w:rsid w:val="00A849F1"/>
    <w:rsid w:val="00B20E3A"/>
    <w:rsid w:val="00BC559C"/>
    <w:rsid w:val="00C47C60"/>
    <w:rsid w:val="00C721E8"/>
    <w:rsid w:val="00CB40E1"/>
    <w:rsid w:val="00CF6DB6"/>
    <w:rsid w:val="00D134CA"/>
    <w:rsid w:val="00D15148"/>
    <w:rsid w:val="00E15AAE"/>
    <w:rsid w:val="00F76BB5"/>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34"/>
    <w:qFormat/>
    <w:rsid w:val="007A4014"/>
    <w:pPr>
      <w:widowControl w:val="0"/>
      <w:spacing w:line="240" w:lineRule="auto"/>
    </w:pPr>
    <w:rPr>
      <w:lang w:val="en-US"/>
    </w:rPr>
  </w:style>
  <w:style w:type="paragraph" w:styleId="FootnoteText">
    <w:name w:val="footnote text"/>
    <w:basedOn w:val="Normal"/>
    <w:link w:val="FootnoteTextChar"/>
    <w:uiPriority w:val="99"/>
    <w:semiHidden/>
    <w:unhideWhenUsed/>
    <w:rsid w:val="007A4014"/>
    <w:pPr>
      <w:widowControl w:val="0"/>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7A4014"/>
    <w:rPr>
      <w:sz w:val="20"/>
      <w:szCs w:val="20"/>
      <w:lang w:val="en-US"/>
    </w:rPr>
  </w:style>
  <w:style w:type="character" w:styleId="FootnoteReference">
    <w:name w:val="footnote reference"/>
    <w:basedOn w:val="DefaultParagraphFont"/>
    <w:uiPriority w:val="99"/>
    <w:semiHidden/>
    <w:unhideWhenUsed/>
    <w:rsid w:val="007A4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styleId="ListParagraph">
    <w:name w:val="List Paragraph"/>
    <w:basedOn w:val="Normal"/>
    <w:uiPriority w:val="34"/>
    <w:qFormat/>
    <w:rsid w:val="007A4014"/>
    <w:pPr>
      <w:widowControl w:val="0"/>
      <w:spacing w:line="240" w:lineRule="auto"/>
    </w:pPr>
    <w:rPr>
      <w:lang w:val="en-US"/>
    </w:rPr>
  </w:style>
  <w:style w:type="paragraph" w:styleId="FootnoteText">
    <w:name w:val="footnote text"/>
    <w:basedOn w:val="Normal"/>
    <w:link w:val="FootnoteTextChar"/>
    <w:uiPriority w:val="99"/>
    <w:semiHidden/>
    <w:unhideWhenUsed/>
    <w:rsid w:val="007A4014"/>
    <w:pPr>
      <w:widowControl w:val="0"/>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7A4014"/>
    <w:rPr>
      <w:sz w:val="20"/>
      <w:szCs w:val="20"/>
      <w:lang w:val="en-US"/>
    </w:rPr>
  </w:style>
  <w:style w:type="character" w:styleId="FootnoteReference">
    <w:name w:val="footnote reference"/>
    <w:basedOn w:val="DefaultParagraphFont"/>
    <w:uiPriority w:val="99"/>
    <w:semiHidden/>
    <w:unhideWhenUsed/>
    <w:rsid w:val="007A4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ave-the-ree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br.qld.gov.au/documents/gbrwst-interim-report-highres.pdf" TargetMode="External"/><Relationship Id="rId4" Type="http://schemas.openxmlformats.org/officeDocument/2006/relationships/settings" Target="settings.xml"/><Relationship Id="rId9" Type="http://schemas.openxmlformats.org/officeDocument/2006/relationships/hyperlink" Target="http://www.rgc.org.au/wp-content/uploads/2015/01/Investment-Plan-NRM-proposal-190115.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IE5\0VP2DY1G\Policy%20costing%20request%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costing request - caretaker.dotm</Template>
  <TotalTime>3</TotalTime>
  <Pages>5</Pages>
  <Words>1198</Words>
  <Characters>6512</Characters>
  <Application>Microsoft Office Word</Application>
  <DocSecurity>0</DocSecurity>
  <Lines>255</Lines>
  <Paragraphs>142</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5</cp:revision>
  <cp:lastPrinted>2016-04-20T06:27:00Z</cp:lastPrinted>
  <dcterms:created xsi:type="dcterms:W3CDTF">2016-06-30T02:24:00Z</dcterms:created>
  <dcterms:modified xsi:type="dcterms:W3CDTF">2016-06-30T06:36:00Z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