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8F588A" w:rsidP="003157D3">
            <w:pPr>
              <w:pStyle w:val="TableHeading"/>
              <w:rPr>
                <w:rFonts w:eastAsia="Times New Roman"/>
                <w:color w:val="auto"/>
                <w:sz w:val="22"/>
                <w:lang w:eastAsia="en-AU"/>
              </w:rPr>
            </w:pPr>
            <w:r w:rsidRPr="0021706F">
              <w:rPr>
                <w:rFonts w:eastAsia="Times New Roman"/>
                <w:color w:val="auto"/>
                <w:sz w:val="22"/>
                <w:lang w:eastAsia="en-AU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8D2D41" w:rsidP="00E74BDB">
            <w:pPr>
              <w:pStyle w:val="TableHeadingCentred"/>
              <w:jc w:val="left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b w:val="0"/>
                <w:sz w:val="22"/>
                <w:lang w:eastAsia="en-AU"/>
              </w:rPr>
              <w:t xml:space="preserve">Helping </w:t>
            </w:r>
            <w:r w:rsidR="00E74BDB">
              <w:rPr>
                <w:rFonts w:eastAsia="Times New Roman"/>
                <w:b w:val="0"/>
                <w:sz w:val="22"/>
                <w:lang w:eastAsia="en-AU"/>
              </w:rPr>
              <w:t>O</w:t>
            </w:r>
            <w:r w:rsidR="00651D72">
              <w:rPr>
                <w:rFonts w:eastAsia="Times New Roman"/>
                <w:b w:val="0"/>
                <w:sz w:val="22"/>
                <w:lang w:eastAsia="en-AU"/>
              </w:rPr>
              <w:t>lder Australians</w:t>
            </w:r>
          </w:p>
        </w:tc>
      </w:tr>
      <w:tr w:rsidR="008F588A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8F588A" w:rsidRPr="0021706F" w:rsidRDefault="008F588A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651D72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Senator Richard di Natale</w:t>
            </w:r>
          </w:p>
        </w:tc>
      </w:tr>
      <w:tr w:rsidR="00F954CF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F954CF" w:rsidRPr="0021706F" w:rsidRDefault="00F954CF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P</w:t>
            </w:r>
            <w:r w:rsidR="00515A85" w:rsidRPr="0021706F">
              <w:rPr>
                <w:rFonts w:eastAsia="Times New Roman"/>
                <w:sz w:val="22"/>
                <w:lang w:eastAsia="en-AU"/>
              </w:rPr>
              <w:t>arliamentary p</w:t>
            </w:r>
            <w:r w:rsidRPr="0021706F">
              <w:rPr>
                <w:rFonts w:eastAsia="Times New Roman"/>
                <w:sz w:val="22"/>
                <w:lang w:eastAsia="en-AU"/>
              </w:rPr>
              <w:t>arty</w:t>
            </w:r>
            <w:r w:rsidR="00515A85" w:rsidRPr="0021706F">
              <w:rPr>
                <w:rFonts w:eastAsia="Times New Roman"/>
                <w:sz w:val="22"/>
                <w:lang w:eastAsia="en-AU"/>
              </w:rPr>
              <w:t>:</w:t>
            </w:r>
            <w:r w:rsidRPr="0021706F">
              <w:rPr>
                <w:rFonts w:eastAsia="Times New Roman"/>
                <w:sz w:val="22"/>
                <w:lang w:eastAsia="en-AU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21706F" w:rsidRDefault="0021706F" w:rsidP="0021706F">
            <w:pPr>
              <w:pStyle w:val="TableTextCentred"/>
              <w:jc w:val="left"/>
              <w:rPr>
                <w:sz w:val="22"/>
              </w:rPr>
            </w:pPr>
            <w:r w:rsidRPr="0021706F">
              <w:rPr>
                <w:sz w:val="22"/>
              </w:rPr>
              <w:t>Australian Greens</w:t>
            </w:r>
          </w:p>
        </w:tc>
      </w:tr>
      <w:tr w:rsidR="008F588A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8F588A" w:rsidRPr="0021706F" w:rsidRDefault="008F588A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E74BDB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29 June 2016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8F588A" w:rsidP="0021706F">
            <w:pPr>
              <w:pStyle w:val="TableTextCentred"/>
              <w:jc w:val="left"/>
              <w:rPr>
                <w:i/>
                <w:sz w:val="22"/>
              </w:rPr>
            </w:pPr>
            <w:r w:rsidRPr="0021706F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8F588A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Has a costing of this policy been requested under Section 29 of the Charter of Budget Honesty (</w:t>
            </w:r>
            <w:proofErr w:type="spellStart"/>
            <w:r w:rsidRPr="0021706F">
              <w:rPr>
                <w:rFonts w:eastAsia="Times New Roman"/>
                <w:sz w:val="22"/>
                <w:lang w:eastAsia="en-AU"/>
              </w:rPr>
              <w:t>ie</w:t>
            </w:r>
            <w:proofErr w:type="spellEnd"/>
            <w:r w:rsidRPr="0021706F">
              <w:rPr>
                <w:rFonts w:eastAsia="Times New Roman"/>
                <w:sz w:val="22"/>
                <w:lang w:eastAsia="en-AU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21706F" w:rsidP="0021706F">
            <w:pPr>
              <w:pStyle w:val="TableTextCentred"/>
              <w:jc w:val="left"/>
              <w:rPr>
                <w:sz w:val="22"/>
              </w:rPr>
            </w:pPr>
            <w:r w:rsidRPr="0021706F">
              <w:rPr>
                <w:sz w:val="22"/>
              </w:rPr>
              <w:t>No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Default="00651D72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Announced by Australian Greens Senator Rachel </w:t>
            </w:r>
            <w:proofErr w:type="spellStart"/>
            <w:r>
              <w:rPr>
                <w:sz w:val="22"/>
              </w:rPr>
              <w:t>Siewert</w:t>
            </w:r>
            <w:proofErr w:type="spellEnd"/>
            <w:r>
              <w:rPr>
                <w:sz w:val="22"/>
              </w:rPr>
              <w:t xml:space="preserve">, 21 June 2016: </w:t>
            </w:r>
            <w:hyperlink r:id="rId9" w:history="1">
              <w:r w:rsidRPr="000D0FF4">
                <w:rPr>
                  <w:rStyle w:val="Hyperlink"/>
                  <w:sz w:val="22"/>
                </w:rPr>
                <w:t>http://rachel-siewert.greensmps.org.au/content/media-releases/greens-announce-support-older-australians</w:t>
              </w:r>
            </w:hyperlink>
            <w:r>
              <w:rPr>
                <w:sz w:val="22"/>
              </w:rPr>
              <w:t xml:space="preserve">; </w:t>
            </w:r>
            <w:hyperlink r:id="rId10" w:history="1">
              <w:r w:rsidRPr="000D0FF4">
                <w:rPr>
                  <w:rStyle w:val="Hyperlink"/>
                  <w:sz w:val="22"/>
                </w:rPr>
                <w:t>http://greens.org.au/olderaustralians</w:t>
              </w:r>
            </w:hyperlink>
            <w:r>
              <w:rPr>
                <w:sz w:val="22"/>
              </w:rPr>
              <w:t xml:space="preserve">. </w:t>
            </w:r>
          </w:p>
          <w:p w:rsidR="002B1B99" w:rsidRDefault="002B1B99" w:rsidP="0021706F">
            <w:pPr>
              <w:pStyle w:val="TableTextCentred"/>
              <w:jc w:val="left"/>
              <w:rPr>
                <w:sz w:val="22"/>
              </w:rPr>
            </w:pPr>
          </w:p>
          <w:p w:rsidR="002B1B99" w:rsidRPr="0021706F" w:rsidRDefault="002B1B99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Palliative care component announced 27 May 2016: </w:t>
            </w:r>
            <w:hyperlink r:id="rId11" w:history="1">
              <w:r w:rsidRPr="00A16C20">
                <w:rPr>
                  <w:rStyle w:val="Hyperlink"/>
                  <w:sz w:val="22"/>
                </w:rPr>
                <w:t>http://greens.org.au/palliative-care</w:t>
              </w:r>
            </w:hyperlink>
            <w:r>
              <w:rPr>
                <w:sz w:val="22"/>
              </w:rPr>
              <w:t xml:space="preserve">; </w:t>
            </w:r>
            <w:hyperlink r:id="rId12" w:history="1">
              <w:r w:rsidRPr="00A16C20">
                <w:rPr>
                  <w:rStyle w:val="Hyperlink"/>
                  <w:sz w:val="22"/>
                </w:rPr>
                <w:t>http://rachel-siewert.greensmps.org.au/content/media-releases/greens-launch-palliative-care-package-ensure-support-when-it-matters-most</w:t>
              </w:r>
            </w:hyperlink>
            <w:r>
              <w:rPr>
                <w:sz w:val="22"/>
              </w:rPr>
              <w:t>.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8F588A" w:rsidP="00092B41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b/>
                <w:sz w:val="22"/>
              </w:rPr>
              <w:lastRenderedPageBreak/>
              <w:t>Description of policy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Default="00651D72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The policy includes commitments to:</w:t>
            </w:r>
          </w:p>
          <w:p w:rsidR="00651D72" w:rsidRDefault="00651D72" w:rsidP="002B1B99">
            <w:pPr>
              <w:pStyle w:val="TableTextCentred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Provide $5m over three years for a national mature age worker strategy (2017-18 to 2019-20). </w:t>
            </w:r>
          </w:p>
          <w:p w:rsidR="00651D72" w:rsidRDefault="00A22B71" w:rsidP="002B1B99">
            <w:pPr>
              <w:pStyle w:val="TableTextCentred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From 1 July 2017, allow</w:t>
            </w:r>
            <w:r w:rsidR="00651D72">
              <w:rPr>
                <w:sz w:val="22"/>
              </w:rPr>
              <w:t xml:space="preserve"> individuals aged 45 and older who are currently eligible for lower levels of </w:t>
            </w:r>
            <w:proofErr w:type="spellStart"/>
            <w:r w:rsidR="00651D72">
              <w:rPr>
                <w:sz w:val="22"/>
              </w:rPr>
              <w:t>jobactive</w:t>
            </w:r>
            <w:proofErr w:type="spellEnd"/>
            <w:r w:rsidR="00651D72">
              <w:rPr>
                <w:sz w:val="22"/>
              </w:rPr>
              <w:t xml:space="preserve"> support to volunteer for Stream B. </w:t>
            </w:r>
          </w:p>
          <w:p w:rsidR="00651D72" w:rsidRDefault="00651D72" w:rsidP="002B1B99">
            <w:pPr>
              <w:pStyle w:val="TableTextCentred"/>
              <w:numPr>
                <w:ilvl w:val="0"/>
                <w:numId w:val="6"/>
              </w:numPr>
              <w:jc w:val="left"/>
              <w:rPr>
                <w:sz w:val="22"/>
              </w:rPr>
            </w:pPr>
            <w:r w:rsidRPr="00651D72">
              <w:rPr>
                <w:sz w:val="22"/>
              </w:rPr>
              <w:t>Working across jurisdictions through the Council of Australian Governments to remove any remaining legal barriers to mature age workers.</w:t>
            </w:r>
          </w:p>
          <w:p w:rsidR="00651D72" w:rsidRDefault="00651D72" w:rsidP="002B1B99">
            <w:pPr>
              <w:pStyle w:val="TableTextCentred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$4m over two years (</w:t>
            </w:r>
            <w:r w:rsidR="00AE231F">
              <w:rPr>
                <w:sz w:val="22"/>
              </w:rPr>
              <w:t>2016-17 and 2017-18</w:t>
            </w:r>
            <w:r>
              <w:rPr>
                <w:sz w:val="22"/>
              </w:rPr>
              <w:t xml:space="preserve">) for a national aged care workforce strategy, building on the work currently underway in the Senate Community Affairs inquiry into the aged care workforce. </w:t>
            </w:r>
          </w:p>
          <w:p w:rsidR="00651D72" w:rsidRDefault="00651D72" w:rsidP="002B1B99">
            <w:pPr>
              <w:pStyle w:val="TableTextCentred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Additional funding and support for dementia recommended by Alzheimer’s Australia</w:t>
            </w:r>
            <w:r w:rsidR="00D12EDC">
              <w:rPr>
                <w:sz w:val="22"/>
              </w:rPr>
              <w:t>, from 1 September 2016</w:t>
            </w:r>
            <w:r>
              <w:rPr>
                <w:sz w:val="22"/>
              </w:rPr>
              <w:t>:</w:t>
            </w:r>
          </w:p>
          <w:p w:rsidR="00651D72" w:rsidRDefault="00651D72" w:rsidP="002B1B99">
            <w:pPr>
              <w:pStyle w:val="TableTextCentred"/>
              <w:numPr>
                <w:ilvl w:val="1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$4m over four years for a national dementia strategy</w:t>
            </w:r>
          </w:p>
          <w:p w:rsidR="00651D72" w:rsidRDefault="00651D72" w:rsidP="002B1B99">
            <w:pPr>
              <w:pStyle w:val="TableTextCentred"/>
              <w:numPr>
                <w:ilvl w:val="1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$5.2m to support Dementia Friendly Communities</w:t>
            </w:r>
          </w:p>
          <w:p w:rsidR="00651D72" w:rsidRDefault="00651D72" w:rsidP="002B1B99">
            <w:pPr>
              <w:pStyle w:val="TableTextCentred"/>
              <w:numPr>
                <w:ilvl w:val="1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$8m for Dementia Risk Reduction program</w:t>
            </w:r>
          </w:p>
          <w:p w:rsidR="00651D72" w:rsidRDefault="00651D72" w:rsidP="002B1B99">
            <w:pPr>
              <w:pStyle w:val="TableTextCentred"/>
              <w:numPr>
                <w:ilvl w:val="1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$6m over four years for the Timely Diagnostic Initiative</w:t>
            </w:r>
          </w:p>
          <w:p w:rsidR="00651D72" w:rsidRDefault="00651D72" w:rsidP="002B1B99">
            <w:pPr>
              <w:pStyle w:val="TableTextCentred"/>
              <w:numPr>
                <w:ilvl w:val="1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$20m over four years for Post Diagnostic Dementia Services and Supports</w:t>
            </w:r>
          </w:p>
          <w:p w:rsidR="00651D72" w:rsidRDefault="00651D72" w:rsidP="002B1B99">
            <w:pPr>
              <w:pStyle w:val="TableTextCentred"/>
              <w:numPr>
                <w:ilvl w:val="1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$64m over four years for High Quality Ongoing Care and Support</w:t>
            </w:r>
          </w:p>
          <w:p w:rsidR="00651D72" w:rsidRDefault="00651D72" w:rsidP="002B1B99">
            <w:pPr>
              <w:pStyle w:val="TableTextCentred"/>
              <w:numPr>
                <w:ilvl w:val="1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$8.8m for End-of-Life Care</w:t>
            </w:r>
          </w:p>
          <w:p w:rsidR="002453C6" w:rsidRDefault="00651D72" w:rsidP="002B1B99">
            <w:pPr>
              <w:pStyle w:val="TableTextCentred"/>
              <w:numPr>
                <w:ilvl w:val="1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$20.8m for research</w:t>
            </w:r>
            <w:r w:rsidR="002453C6" w:rsidRPr="004A38DA">
              <w:rPr>
                <w:sz w:val="22"/>
              </w:rPr>
              <w:t xml:space="preserve"> </w:t>
            </w:r>
          </w:p>
          <w:p w:rsidR="00D12EDC" w:rsidRDefault="00D12EDC" w:rsidP="002B1B99">
            <w:pPr>
              <w:pStyle w:val="TableTextCentred"/>
              <w:numPr>
                <w:ilvl w:val="0"/>
                <w:numId w:val="6"/>
              </w:numPr>
              <w:jc w:val="left"/>
              <w:rPr>
                <w:sz w:val="22"/>
              </w:rPr>
            </w:pPr>
            <w:r w:rsidRPr="00D12EDC">
              <w:rPr>
                <w:sz w:val="22"/>
              </w:rPr>
              <w:t>Developing a national pla</w:t>
            </w:r>
            <w:r>
              <w:rPr>
                <w:sz w:val="22"/>
              </w:rPr>
              <w:t xml:space="preserve">n to work towards full consumer </w:t>
            </w:r>
            <w:r w:rsidRPr="00D12EDC">
              <w:rPr>
                <w:sz w:val="22"/>
              </w:rPr>
              <w:t>directed care as recommended b</w:t>
            </w:r>
            <w:r>
              <w:rPr>
                <w:sz w:val="22"/>
              </w:rPr>
              <w:t xml:space="preserve">y the Productivity Commission. This will involve work by existing public service agencies, in consultation with peak bodies and sector stakeholders. </w:t>
            </w:r>
            <w:r w:rsidR="00F13C2B">
              <w:rPr>
                <w:sz w:val="22"/>
              </w:rPr>
              <w:t>Work on this is to</w:t>
            </w:r>
            <w:r>
              <w:rPr>
                <w:sz w:val="22"/>
              </w:rPr>
              <w:t xml:space="preserve"> start from 1 September 2016.</w:t>
            </w:r>
          </w:p>
          <w:p w:rsidR="002B1B99" w:rsidRDefault="002B1B99" w:rsidP="002B1B99">
            <w:pPr>
              <w:pStyle w:val="TableTextCentred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The Palliative Care component includes </w:t>
            </w:r>
          </w:p>
          <w:p w:rsidR="002B1B99" w:rsidRDefault="002B1B99" w:rsidP="002B1B99">
            <w:pPr>
              <w:pStyle w:val="TableTextCentred"/>
              <w:numPr>
                <w:ilvl w:val="1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An increase in funding for palliative care by $15m annually, to go to states and territories</w:t>
            </w:r>
          </w:p>
          <w:p w:rsidR="002B1B99" w:rsidRDefault="002B1B99" w:rsidP="002B1B99">
            <w:pPr>
              <w:pStyle w:val="TableTextCentred"/>
              <w:numPr>
                <w:ilvl w:val="1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Working through COAG to develop nationally consistent model legislation for advance care planning</w:t>
            </w:r>
          </w:p>
          <w:p w:rsidR="002B1B99" w:rsidRDefault="002B1B99" w:rsidP="002B1B99">
            <w:pPr>
              <w:pStyle w:val="TableTextCentred"/>
              <w:numPr>
                <w:ilvl w:val="1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Capped funding of $5m to Palliative Care Australia (including departmental costs), to develop a model for a National Cooperative for Palliative and End of Life Care. </w:t>
            </w:r>
          </w:p>
          <w:p w:rsidR="002B1B99" w:rsidRDefault="002B1B99" w:rsidP="002B1B99">
            <w:pPr>
              <w:pStyle w:val="TableTextCentred"/>
              <w:numPr>
                <w:ilvl w:val="1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Provide $10m in capped funding (including departmental costs) for a national awareness campaign, and </w:t>
            </w:r>
          </w:p>
          <w:p w:rsidR="002B1B99" w:rsidRPr="00D12EDC" w:rsidRDefault="002B1B99" w:rsidP="002B1B99">
            <w:pPr>
              <w:pStyle w:val="TableTextCentred"/>
              <w:numPr>
                <w:ilvl w:val="1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$1m in capped funding (including departmental costs) for research projects.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lastRenderedPageBreak/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Default="002453C6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To provide increased support for older Australians, including through strategies to improve mature age participation, and measures to improve aged care. </w:t>
            </w:r>
          </w:p>
          <w:p w:rsidR="002B1B99" w:rsidRPr="0021706F" w:rsidRDefault="002B1B99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To improve palliative care in Australia, including funding for state and territory services, as set out above. 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640346" w:rsidP="0021706F">
            <w:pPr>
              <w:pStyle w:val="TableTextCentred"/>
              <w:jc w:val="left"/>
              <w:rPr>
                <w:sz w:val="22"/>
              </w:rPr>
            </w:pPr>
            <w:r w:rsidRPr="0021706F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Is the policy part of a package?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2453C6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Default="002453C6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The following components are capped amounts:</w:t>
            </w:r>
          </w:p>
          <w:p w:rsidR="002453C6" w:rsidRDefault="002453C6" w:rsidP="002453C6">
            <w:pPr>
              <w:pStyle w:val="TableTextCentred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National mature age worker strategy</w:t>
            </w:r>
          </w:p>
          <w:p w:rsidR="002453C6" w:rsidRDefault="002453C6" w:rsidP="002453C6">
            <w:pPr>
              <w:pStyle w:val="TableTextCentred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National aged care workforce strategy</w:t>
            </w:r>
          </w:p>
          <w:p w:rsidR="002453C6" w:rsidRDefault="002B1B99" w:rsidP="002453C6">
            <w:pPr>
              <w:pStyle w:val="TableTextCentred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Funding for dementia projects</w:t>
            </w:r>
          </w:p>
          <w:p w:rsidR="002B1B99" w:rsidRDefault="002B1B99" w:rsidP="002453C6">
            <w:pPr>
              <w:pStyle w:val="TableTextCentred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All palliative care components except for work on model legislation</w:t>
            </w:r>
          </w:p>
          <w:p w:rsidR="002453C6" w:rsidRDefault="00A22B71" w:rsidP="002453C6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Enabling individuals to volunteer for stream B </w:t>
            </w:r>
            <w:proofErr w:type="spellStart"/>
            <w:r>
              <w:rPr>
                <w:sz w:val="22"/>
              </w:rPr>
              <w:t>jobactive</w:t>
            </w:r>
            <w:proofErr w:type="spellEnd"/>
            <w:r>
              <w:rPr>
                <w:sz w:val="22"/>
              </w:rPr>
              <w:t xml:space="preserve"> services is demand driven. </w:t>
            </w:r>
          </w:p>
          <w:p w:rsidR="002B1B99" w:rsidRPr="0021706F" w:rsidRDefault="002B1B99" w:rsidP="002453C6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Work on model legislation under the palliative care component is as required to advance work through the Council of Australian Governments. 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Will third parties (for instance the States/Territories) have a role in funding or delivering the policy?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Default="00A22B71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A range of community organisations will be involved in implementing particular aspects, particularly where recommended by Alzheimer’s Australia. </w:t>
            </w:r>
          </w:p>
          <w:p w:rsidR="002B1B99" w:rsidRPr="0021706F" w:rsidRDefault="002B1B99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$15m will be provided annually to state and territory governments under the palliative care component. 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Are there associated savings, offsets or expenses?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A22B71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 xml:space="preserve">Does the policy relate to a previous budget measure? 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22B71" w:rsidRPr="00A22B71" w:rsidRDefault="004A38DA" w:rsidP="004A38DA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A22B71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Will the funding/program cost require indexation?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A22B71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8F588A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b/>
                <w:sz w:val="22"/>
              </w:rPr>
              <w:lastRenderedPageBreak/>
              <w:t>Expected impacts of the proposal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640346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8F588A" w:rsidP="0021706F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21706F">
              <w:rPr>
                <w:b/>
                <w:sz w:val="22"/>
              </w:rPr>
              <w:t>Estimated financial implications (outturn prices)</w:t>
            </w:r>
            <w:r w:rsidRPr="0021706F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RPr="0021706F" w:rsidTr="0021706F">
        <w:trPr>
          <w:cantSplit/>
        </w:trPr>
        <w:tc>
          <w:tcPr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center"/>
          </w:tcPr>
          <w:p w:rsidR="00640346" w:rsidRPr="0021706F" w:rsidRDefault="00640346" w:rsidP="0021706F">
            <w:pPr>
              <w:pStyle w:val="TableText"/>
              <w:keepNext/>
              <w:keepLines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21706F" w:rsidRDefault="00640346" w:rsidP="0021706F">
            <w:pPr>
              <w:keepNext/>
              <w:keepLines/>
              <w:spacing w:before="70" w:after="70"/>
              <w:ind w:left="113" w:right="113"/>
              <w:jc w:val="right"/>
              <w:rPr>
                <w:rFonts w:eastAsia="Times New Roman"/>
                <w:lang w:eastAsia="en-AU"/>
              </w:rPr>
            </w:pPr>
            <w:r w:rsidRPr="0021706F">
              <w:rPr>
                <w:rFonts w:eastAsia="Times New Roman"/>
                <w:lang w:eastAsia="en-AU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21706F" w:rsidRDefault="00640346" w:rsidP="0021706F">
            <w:pPr>
              <w:keepNext/>
              <w:keepLines/>
              <w:spacing w:before="70" w:after="70"/>
              <w:ind w:left="113" w:right="113"/>
              <w:jc w:val="right"/>
              <w:rPr>
                <w:rFonts w:eastAsia="Times New Roman"/>
                <w:lang w:eastAsia="en-AU"/>
              </w:rPr>
            </w:pPr>
            <w:r w:rsidRPr="0021706F">
              <w:rPr>
                <w:rFonts w:eastAsia="Times New Roman"/>
                <w:lang w:eastAsia="en-AU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21706F" w:rsidRDefault="00640346" w:rsidP="0021706F">
            <w:pPr>
              <w:keepNext/>
              <w:keepLines/>
              <w:spacing w:before="70" w:after="70"/>
              <w:ind w:left="113" w:right="113"/>
              <w:jc w:val="right"/>
              <w:rPr>
                <w:rFonts w:eastAsia="Times New Roman"/>
                <w:lang w:eastAsia="en-AU"/>
              </w:rPr>
            </w:pPr>
            <w:r w:rsidRPr="0021706F">
              <w:rPr>
                <w:rFonts w:eastAsia="Times New Roman"/>
                <w:lang w:eastAsia="en-AU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21706F" w:rsidRDefault="00640346" w:rsidP="0021706F">
            <w:pPr>
              <w:keepNext/>
              <w:keepLines/>
              <w:spacing w:before="70" w:after="70"/>
              <w:ind w:left="113" w:right="113"/>
              <w:jc w:val="right"/>
              <w:rPr>
                <w:rFonts w:eastAsia="Times New Roman"/>
                <w:lang w:eastAsia="en-AU"/>
              </w:rPr>
            </w:pPr>
            <w:r w:rsidRPr="0021706F">
              <w:rPr>
                <w:rFonts w:eastAsia="Times New Roman"/>
                <w:lang w:eastAsia="en-AU"/>
              </w:rPr>
              <w:t>2019–20</w:t>
            </w:r>
          </w:p>
        </w:tc>
      </w:tr>
      <w:tr w:rsidR="00CF6DB6" w:rsidRPr="0021706F" w:rsidTr="0021706F">
        <w:trPr>
          <w:cantSplit/>
        </w:trPr>
        <w:tc>
          <w:tcPr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CF6DB6" w:rsidRPr="0021706F" w:rsidRDefault="00CF6DB6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CF6DB6" w:rsidRPr="0021706F" w:rsidRDefault="00D12EDC" w:rsidP="002B1B99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2B1B99">
              <w:rPr>
                <w:sz w:val="22"/>
              </w:rPr>
              <w:t>60.6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CF6DB6" w:rsidRPr="0021706F" w:rsidRDefault="002B1B99" w:rsidP="0021706F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-112.5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CF6DB6" w:rsidRPr="0021706F" w:rsidRDefault="00D12EDC" w:rsidP="002B1B99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2B1B99">
              <w:rPr>
                <w:sz w:val="22"/>
              </w:rPr>
              <w:t>148.5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CF6DB6" w:rsidRPr="0021706F" w:rsidRDefault="00D12EDC" w:rsidP="002B1B99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2B1B99">
              <w:rPr>
                <w:sz w:val="22"/>
              </w:rPr>
              <w:t>169.1</w:t>
            </w:r>
          </w:p>
        </w:tc>
      </w:tr>
      <w:tr w:rsidR="002B1B99" w:rsidRPr="0021706F" w:rsidTr="0021706F">
        <w:trPr>
          <w:cantSplit/>
        </w:trPr>
        <w:tc>
          <w:tcPr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2B1B99" w:rsidRPr="0021706F" w:rsidRDefault="002B1B99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2B1B99" w:rsidRPr="0021706F" w:rsidRDefault="002B1B99" w:rsidP="003C0801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-60.6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2B1B99" w:rsidRPr="0021706F" w:rsidRDefault="002B1B99" w:rsidP="003C0801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-112.5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2B1B99" w:rsidRPr="0021706F" w:rsidRDefault="002B1B99" w:rsidP="003C0801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-148.5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2B1B99" w:rsidRPr="0021706F" w:rsidRDefault="002B1B99" w:rsidP="003C0801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-169.1</w:t>
            </w:r>
          </w:p>
        </w:tc>
      </w:tr>
      <w:tr w:rsidR="00CF6DB6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21706F" w:rsidRDefault="007202A8" w:rsidP="0021706F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21706F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E15AAE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D12EDC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E15AAE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Has the policy been costed by a third party?</w:t>
            </w:r>
          </w:p>
          <w:p w:rsidR="00640346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D12EDC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E15AAE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What is the expected community impact of the policy?</w:t>
            </w:r>
          </w:p>
          <w:p w:rsidR="00E15AAE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How many people will be affected by the policy?</w:t>
            </w:r>
          </w:p>
          <w:p w:rsidR="00E15AAE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What is the likely take up?</w:t>
            </w:r>
          </w:p>
          <w:p w:rsidR="00640346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D12EDC" w:rsidP="00FE530B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Improve</w:t>
            </w:r>
            <w:r w:rsidR="00FE530B">
              <w:rPr>
                <w:sz w:val="22"/>
              </w:rPr>
              <w:t xml:space="preserve">d aged care workforce planning, aged care </w:t>
            </w:r>
            <w:r>
              <w:rPr>
                <w:sz w:val="22"/>
              </w:rPr>
              <w:t xml:space="preserve">and dementia care. </w:t>
            </w:r>
          </w:p>
        </w:tc>
      </w:tr>
      <w:tr w:rsidR="00CF6DB6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CF6DB6" w:rsidRPr="0021706F" w:rsidRDefault="00CF6DB6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b/>
                <w:sz w:val="22"/>
              </w:rPr>
              <w:t>Administration of policy: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21706F">
            <w:pPr>
              <w:pStyle w:val="TableText"/>
              <w:keepNext/>
              <w:keepLines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Who will administer the policy (for example, Australian Government entity, the States, non</w:t>
            </w:r>
            <w:r w:rsidRPr="0021706F">
              <w:rPr>
                <w:rFonts w:eastAsia="Times New Roman"/>
                <w:sz w:val="22"/>
                <w:lang w:eastAsia="en-AU"/>
              </w:rPr>
              <w:noBreakHyphen/>
              <w:t xml:space="preserve">government organisation, </w:t>
            </w:r>
            <w:proofErr w:type="spellStart"/>
            <w:r w:rsidRPr="0021706F">
              <w:rPr>
                <w:rFonts w:eastAsia="Times New Roman"/>
                <w:sz w:val="22"/>
                <w:lang w:eastAsia="en-AU"/>
              </w:rPr>
              <w:t>etc</w:t>
            </w:r>
            <w:proofErr w:type="spellEnd"/>
            <w:r w:rsidRPr="0021706F">
              <w:rPr>
                <w:rFonts w:eastAsia="Times New Roman"/>
                <w:sz w:val="22"/>
                <w:lang w:eastAsia="en-AU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A22B71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 xml:space="preserve">Commonwealth responsible unless otherwise specified. 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21706F">
            <w:pPr>
              <w:pStyle w:val="TableText"/>
              <w:keepNext/>
              <w:keepLines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A22B71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A22B71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2016-17 financial year unless otherwise specified. 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A22B71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Forward estimates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A22B71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lastRenderedPageBreak/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A22B71" w:rsidRDefault="00444F57" w:rsidP="0021706F">
            <w:pPr>
              <w:pStyle w:val="TableTextCentred"/>
              <w:jc w:val="left"/>
              <w:rPr>
                <w:sz w:val="22"/>
              </w:rPr>
            </w:pPr>
            <w:hyperlink r:id="rId13" w:history="1">
              <w:r w:rsidR="00A22B71" w:rsidRPr="00A22B71">
                <w:rPr>
                  <w:rStyle w:val="Hyperlink"/>
                  <w:sz w:val="22"/>
                </w:rPr>
                <w:t>Alzheimer’s Australia pre-budget submission</w:t>
              </w:r>
            </w:hyperlink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A22B71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640346" w:rsidP="0021706F">
            <w:pPr>
              <w:pStyle w:val="TableTextCentred"/>
              <w:jc w:val="left"/>
              <w:rPr>
                <w:b/>
                <w:sz w:val="22"/>
              </w:rPr>
            </w:pPr>
            <w:r w:rsidRPr="0021706F">
              <w:rPr>
                <w:b/>
                <w:sz w:val="22"/>
              </w:rPr>
              <w:t>NOTE:</w:t>
            </w:r>
          </w:p>
          <w:p w:rsidR="00640346" w:rsidRPr="0021706F" w:rsidRDefault="00640346" w:rsidP="0021706F">
            <w:pPr>
              <w:pStyle w:val="TableTextCentred"/>
              <w:jc w:val="left"/>
              <w:rPr>
                <w:i/>
                <w:sz w:val="22"/>
              </w:rPr>
            </w:pPr>
            <w:r w:rsidRPr="0021706F">
              <w:rPr>
                <w:i/>
                <w:sz w:val="22"/>
              </w:rPr>
              <w:t>Please note that:</w:t>
            </w:r>
          </w:p>
          <w:p w:rsidR="00CB40E1" w:rsidRPr="0021706F" w:rsidRDefault="00CB40E1" w:rsidP="0021706F">
            <w:pPr>
              <w:pStyle w:val="TableTextBullet1"/>
              <w:numPr>
                <w:ilvl w:val="0"/>
                <w:numId w:val="0"/>
              </w:numPr>
              <w:spacing w:before="70" w:after="70" w:line="260" w:lineRule="atLeast"/>
              <w:ind w:left="113" w:right="113"/>
              <w:rPr>
                <w:i/>
                <w:sz w:val="22"/>
              </w:rPr>
            </w:pPr>
            <w:r w:rsidRPr="0021706F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21706F" w:rsidRDefault="00CB40E1" w:rsidP="0021706F">
            <w:pPr>
              <w:pStyle w:val="TableTextBullet1"/>
              <w:numPr>
                <w:ilvl w:val="0"/>
                <w:numId w:val="0"/>
              </w:numPr>
              <w:spacing w:before="70" w:after="70" w:line="260" w:lineRule="atLeast"/>
              <w:ind w:left="113" w:right="113"/>
              <w:rPr>
                <w:sz w:val="22"/>
              </w:rPr>
            </w:pPr>
            <w:r w:rsidRPr="0021706F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0D" w:rsidRDefault="00496C0D" w:rsidP="008F588A">
      <w:pPr>
        <w:spacing w:line="240" w:lineRule="auto"/>
      </w:pPr>
      <w:r>
        <w:separator/>
      </w:r>
    </w:p>
  </w:endnote>
  <w:endnote w:type="continuationSeparator" w:id="0">
    <w:p w:rsidR="00496C0D" w:rsidRDefault="00496C0D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2410"/>
    </w:tblGrid>
    <w:tr w:rsidR="008F588A" w:rsidRPr="0021706F" w:rsidTr="0021706F">
      <w:tc>
        <w:tcPr>
          <w:tcW w:w="8080" w:type="dxa"/>
          <w:shd w:val="clear" w:color="auto" w:fill="auto"/>
        </w:tcPr>
        <w:p w:rsidR="008F588A" w:rsidRPr="0021706F" w:rsidRDefault="008F588A" w:rsidP="0021706F">
          <w:pPr>
            <w:pStyle w:val="Footer"/>
            <w:spacing w:before="180" w:after="60"/>
            <w:rPr>
              <w:rFonts w:eastAsia="Times New Roman"/>
              <w:b/>
              <w:sz w:val="20"/>
              <w:lang w:eastAsia="en-AU"/>
            </w:rPr>
          </w:pPr>
        </w:p>
      </w:tc>
      <w:tc>
        <w:tcPr>
          <w:tcW w:w="2410" w:type="dxa"/>
          <w:shd w:val="clear" w:color="auto" w:fill="auto"/>
        </w:tcPr>
        <w:p w:rsidR="008F588A" w:rsidRPr="0021706F" w:rsidRDefault="008F588A" w:rsidP="0021706F">
          <w:pPr>
            <w:pStyle w:val="Footer"/>
            <w:spacing w:before="180" w:after="60"/>
            <w:jc w:val="right"/>
            <w:rPr>
              <w:rFonts w:eastAsia="Times New Roman"/>
              <w:b/>
              <w:color w:val="788184"/>
              <w:sz w:val="20"/>
              <w:lang w:eastAsia="en-AU"/>
            </w:rPr>
          </w:pP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Page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begin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instrText xml:space="preserve"> PAGE  \* Arabic  \* MERGEFORMAT </w:instrTex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separate"/>
          </w:r>
          <w:r w:rsidR="00444F57">
            <w:rPr>
              <w:rFonts w:eastAsia="Times New Roman"/>
              <w:b/>
              <w:noProof/>
              <w:color w:val="788184"/>
              <w:sz w:val="20"/>
              <w:szCs w:val="20"/>
              <w:lang w:eastAsia="en-AU"/>
            </w:rPr>
            <w:t>4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end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of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begin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instrText xml:space="preserve"> NUMPAGES  \* Arabic  \* MERGEFORMAT </w:instrTex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separate"/>
          </w:r>
          <w:r w:rsidR="00444F57">
            <w:rPr>
              <w:rFonts w:eastAsia="Times New Roman"/>
              <w:b/>
              <w:noProof/>
              <w:color w:val="788184"/>
              <w:sz w:val="20"/>
              <w:szCs w:val="20"/>
              <w:lang w:eastAsia="en-AU"/>
            </w:rPr>
            <w:t>5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2410"/>
    </w:tblGrid>
    <w:tr w:rsidR="008F588A" w:rsidRPr="0021706F" w:rsidTr="0021706F">
      <w:tc>
        <w:tcPr>
          <w:tcW w:w="8080" w:type="dxa"/>
          <w:shd w:val="clear" w:color="auto" w:fill="auto"/>
        </w:tcPr>
        <w:p w:rsidR="008F588A" w:rsidRPr="0021706F" w:rsidRDefault="00CF6DB6" w:rsidP="0021706F">
          <w:pPr>
            <w:pStyle w:val="Footer"/>
            <w:spacing w:before="180" w:after="60"/>
            <w:rPr>
              <w:rFonts w:eastAsia="Times New Roman"/>
              <w:b/>
              <w:sz w:val="20"/>
              <w:lang w:eastAsia="en-AU"/>
            </w:rPr>
          </w:pP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Parliamentary Budget Office   </w:t>
          </w:r>
          <w:r w:rsidR="008F588A"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>PO Box 6010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</w:t>
          </w:r>
          <w:r w:rsidR="008F588A"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 Parliament House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</w:t>
          </w:r>
          <w:r w:rsidR="008F588A"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Canberra ACT 2600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br/>
            <w:t xml:space="preserve">Tel: 02 6277 9500   Email: pbo@pbo.gov.au   </w:t>
          </w:r>
          <w:r w:rsidR="008F588A"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21706F" w:rsidRDefault="008F588A" w:rsidP="0021706F">
          <w:pPr>
            <w:pStyle w:val="Footer"/>
            <w:spacing w:before="180" w:after="60"/>
            <w:jc w:val="right"/>
            <w:rPr>
              <w:rFonts w:eastAsia="Times New Roman"/>
              <w:b/>
              <w:color w:val="788184"/>
              <w:sz w:val="20"/>
              <w:lang w:eastAsia="en-AU"/>
            </w:rPr>
          </w:pP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Page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begin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instrText xml:space="preserve"> PAGE  \* Arabic  \* MERGEFORMAT </w:instrTex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separate"/>
          </w:r>
          <w:r w:rsidR="00444F57">
            <w:rPr>
              <w:rFonts w:eastAsia="Times New Roman"/>
              <w:b/>
              <w:noProof/>
              <w:color w:val="788184"/>
              <w:sz w:val="20"/>
              <w:szCs w:val="20"/>
              <w:lang w:eastAsia="en-AU"/>
            </w:rPr>
            <w:t>1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end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of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begin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instrText xml:space="preserve"> NUMPAGES  \* Arabic  \* MERGEFORMAT </w:instrTex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separate"/>
          </w:r>
          <w:r w:rsidR="00444F57">
            <w:rPr>
              <w:rFonts w:eastAsia="Times New Roman"/>
              <w:b/>
              <w:noProof/>
              <w:color w:val="788184"/>
              <w:sz w:val="20"/>
              <w:szCs w:val="20"/>
              <w:lang w:eastAsia="en-AU"/>
            </w:rPr>
            <w:t>5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0D" w:rsidRDefault="00496C0D" w:rsidP="008F588A">
      <w:pPr>
        <w:spacing w:line="240" w:lineRule="auto"/>
      </w:pPr>
      <w:r>
        <w:separator/>
      </w:r>
    </w:p>
  </w:footnote>
  <w:footnote w:type="continuationSeparator" w:id="0">
    <w:p w:rsidR="00496C0D" w:rsidRDefault="00496C0D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092B41" w:rsidP="00CB40E1">
    <w:pPr>
      <w:pStyle w:val="Header"/>
    </w:pPr>
    <w:r>
      <w:rPr>
        <w:noProof/>
        <w:lang w:eastAsia="en-AU"/>
      </w:rPr>
      <w:drawing>
        <wp:inline distT="0" distB="0" distL="0" distR="0">
          <wp:extent cx="2703195" cy="569595"/>
          <wp:effectExtent l="0" t="0" r="1905" b="1905"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19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0EE63E6C"/>
    <w:multiLevelType w:val="hybridMultilevel"/>
    <w:tmpl w:val="0736FEB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3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>
    <w:nsid w:val="1CFA6167"/>
    <w:multiLevelType w:val="hybridMultilevel"/>
    <w:tmpl w:val="02D4001A"/>
    <w:lvl w:ilvl="0" w:tplc="0C0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5CC12D87"/>
    <w:multiLevelType w:val="hybridMultilevel"/>
    <w:tmpl w:val="BCE65A6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61193D65"/>
    <w:multiLevelType w:val="hybridMultilevel"/>
    <w:tmpl w:val="147EA04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attachedTemplate r:id="rId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320AF"/>
    <w:rsid w:val="00092B41"/>
    <w:rsid w:val="000B2C7D"/>
    <w:rsid w:val="0014239B"/>
    <w:rsid w:val="0021706F"/>
    <w:rsid w:val="002453C6"/>
    <w:rsid w:val="002B1B99"/>
    <w:rsid w:val="002B7D33"/>
    <w:rsid w:val="003157D3"/>
    <w:rsid w:val="003A184B"/>
    <w:rsid w:val="003C0801"/>
    <w:rsid w:val="00444F57"/>
    <w:rsid w:val="00445B75"/>
    <w:rsid w:val="00496C0D"/>
    <w:rsid w:val="004A38DA"/>
    <w:rsid w:val="00515A85"/>
    <w:rsid w:val="0055581F"/>
    <w:rsid w:val="005F7DE0"/>
    <w:rsid w:val="00622C84"/>
    <w:rsid w:val="00640346"/>
    <w:rsid w:val="00651D72"/>
    <w:rsid w:val="00660385"/>
    <w:rsid w:val="00665DC9"/>
    <w:rsid w:val="007202A8"/>
    <w:rsid w:val="007B029A"/>
    <w:rsid w:val="008D2D41"/>
    <w:rsid w:val="008F588A"/>
    <w:rsid w:val="00902D2D"/>
    <w:rsid w:val="00A22B71"/>
    <w:rsid w:val="00AE231F"/>
    <w:rsid w:val="00BC559C"/>
    <w:rsid w:val="00CB40E1"/>
    <w:rsid w:val="00CF6DB6"/>
    <w:rsid w:val="00D12EDC"/>
    <w:rsid w:val="00D134CA"/>
    <w:rsid w:val="00D65A5E"/>
    <w:rsid w:val="00E15AAE"/>
    <w:rsid w:val="00E74BDB"/>
    <w:rsid w:val="00F13C2B"/>
    <w:rsid w:val="00F954CF"/>
    <w:rsid w:val="00FD4304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line="300" w:lineRule="atLeast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mbria" w:hAnsi="Cambria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link w:val="Heading2"/>
    <w:rsid w:val="00CF6DB6"/>
    <w:rPr>
      <w:rFonts w:ascii="Cambria" w:hAnsi="Cambria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uiPriority w:val="99"/>
    <w:unhideWhenUsed/>
    <w:rsid w:val="00CF6DB6"/>
    <w:rPr>
      <w:color w:val="0000FF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after="200"/>
      <w:ind w:left="283"/>
    </w:pPr>
    <w:rPr>
      <w:rFonts w:eastAsia="Times New Roman"/>
      <w:szCs w:val="22"/>
    </w:rPr>
  </w:style>
  <w:style w:type="table" w:customStyle="1" w:styleId="Style1">
    <w:name w:val="Style1"/>
    <w:basedOn w:val="TableNormal"/>
    <w:uiPriority w:val="99"/>
    <w:rsid w:val="00515A85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line="300" w:lineRule="atLeast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mbria" w:hAnsi="Cambria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link w:val="Heading2"/>
    <w:rsid w:val="00CF6DB6"/>
    <w:rPr>
      <w:rFonts w:ascii="Cambria" w:hAnsi="Cambria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uiPriority w:val="99"/>
    <w:unhideWhenUsed/>
    <w:rsid w:val="00CF6DB6"/>
    <w:rPr>
      <w:color w:val="0000FF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after="200"/>
      <w:ind w:left="283"/>
    </w:pPr>
    <w:rPr>
      <w:rFonts w:eastAsia="Times New Roman"/>
      <w:szCs w:val="22"/>
    </w:rPr>
  </w:style>
  <w:style w:type="table" w:customStyle="1" w:styleId="Style1">
    <w:name w:val="Style1"/>
    <w:basedOn w:val="TableNormal"/>
    <w:uiPriority w:val="99"/>
    <w:rsid w:val="00515A85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ghtdementia.org.au/sites/default/files/NATIONAL/documents/Alzheimers-Australia-Pre-Budget-Submission-2016-17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achel-siewert.greensmps.org.au/content/media-releases/greens-launch-palliative-care-package-ensure-support-when-it-matters-mos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eens.org.au/palliative-car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greens.org.au/olderaustralians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rachel-siewert.greensmps.org.au/content/media-releases/greens-announce-support-older-australians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iganl\AppData\Local\Microsoft\Windows\Temporary%20Internet%20Files\Content.IE5\0VP2DY1G\Policy%20costing%20request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9720-3F4D-4181-ABA6-B6CE44F3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costing request - caretaker.dotm</Template>
  <TotalTime>2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GRB059 - Policy costing request - 29 June 2016</vt:lpstr>
    </vt:vector>
  </TitlesOfParts>
  <Company>Parliament of Australia</Company>
  <LinksUpToDate>false</LinksUpToDate>
  <CharactersWithSpaces>8096</CharactersWithSpaces>
  <SharedDoc>false</SharedDoc>
  <HLinks>
    <vt:vector size="30" baseType="variant">
      <vt:variant>
        <vt:i4>2490425</vt:i4>
      </vt:variant>
      <vt:variant>
        <vt:i4>12</vt:i4>
      </vt:variant>
      <vt:variant>
        <vt:i4>0</vt:i4>
      </vt:variant>
      <vt:variant>
        <vt:i4>5</vt:i4>
      </vt:variant>
      <vt:variant>
        <vt:lpwstr>https://fightdementia.org.au/sites/default/files/NATIONAL/documents/Alzheimers-Australia-Pre-Budget-Submission-2016-17.pdf</vt:lpwstr>
      </vt:variant>
      <vt:variant>
        <vt:lpwstr/>
      </vt:variant>
      <vt:variant>
        <vt:i4>7405631</vt:i4>
      </vt:variant>
      <vt:variant>
        <vt:i4>9</vt:i4>
      </vt:variant>
      <vt:variant>
        <vt:i4>0</vt:i4>
      </vt:variant>
      <vt:variant>
        <vt:i4>5</vt:i4>
      </vt:variant>
      <vt:variant>
        <vt:lpwstr>http://rachel-siewert.greensmps.org.au/content/media-releases/greens-launch-palliative-care-package-ensure-support-when-it-matters-most</vt:lpwstr>
      </vt:variant>
      <vt:variant>
        <vt:lpwstr/>
      </vt:variant>
      <vt:variant>
        <vt:i4>1966170</vt:i4>
      </vt:variant>
      <vt:variant>
        <vt:i4>6</vt:i4>
      </vt:variant>
      <vt:variant>
        <vt:i4>0</vt:i4>
      </vt:variant>
      <vt:variant>
        <vt:i4>5</vt:i4>
      </vt:variant>
      <vt:variant>
        <vt:lpwstr>http://greens.org.au/palliative-care</vt:lpwstr>
      </vt:variant>
      <vt:variant>
        <vt:lpwstr/>
      </vt:variant>
      <vt:variant>
        <vt:i4>6160463</vt:i4>
      </vt:variant>
      <vt:variant>
        <vt:i4>3</vt:i4>
      </vt:variant>
      <vt:variant>
        <vt:i4>0</vt:i4>
      </vt:variant>
      <vt:variant>
        <vt:i4>5</vt:i4>
      </vt:variant>
      <vt:variant>
        <vt:lpwstr>http://greens.org.au/olderaustralians</vt:lpwstr>
      </vt:variant>
      <vt:variant>
        <vt:lpwstr/>
      </vt:variant>
      <vt:variant>
        <vt:i4>2818147</vt:i4>
      </vt:variant>
      <vt:variant>
        <vt:i4>0</vt:i4>
      </vt:variant>
      <vt:variant>
        <vt:i4>0</vt:i4>
      </vt:variant>
      <vt:variant>
        <vt:i4>5</vt:i4>
      </vt:variant>
      <vt:variant>
        <vt:lpwstr>http://rachel-siewert.greensmps.org.au/content/media-releases/greens-announce-support-older-australians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GRN059 - Policy costing request - 29 June 2016</dc:title>
  <dc:creator>Australian Greens</dc:creator>
  <cp:lastModifiedBy>Milligan, Louise (PBO)</cp:lastModifiedBy>
  <cp:revision>4</cp:revision>
  <cp:lastPrinted>2016-04-20T04:27:00Z</cp:lastPrinted>
  <dcterms:created xsi:type="dcterms:W3CDTF">2016-06-29T13:31:00Z</dcterms:created>
  <dcterms:modified xsi:type="dcterms:W3CDTF">2016-06-29T21:46:00Z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