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r w:rsidRPr="00BC559C">
        <w:t>Policy costing request—during the caretaker period for a general election</w:t>
      </w:r>
    </w:p>
    <w:tbl>
      <w:tblPr>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CellMar>
          <w:left w:w="0" w:type="dxa"/>
          <w:right w:w="0" w:type="dxa"/>
        </w:tblCellMar>
        <w:tblLook w:val="04A0" w:firstRow="1" w:lastRow="0" w:firstColumn="1" w:lastColumn="0" w:noHBand="0" w:noVBand="1"/>
      </w:tblPr>
      <w:tblGrid>
        <w:gridCol w:w="3108"/>
        <w:gridCol w:w="636"/>
        <w:gridCol w:w="1186"/>
        <w:gridCol w:w="1849"/>
        <w:gridCol w:w="1846"/>
        <w:gridCol w:w="1851"/>
      </w:tblGrid>
      <w:tr w:rsidR="008F588A"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D7DDE9"/>
          </w:tcPr>
          <w:p w:rsidR="008F588A" w:rsidRPr="0021706F" w:rsidRDefault="008F588A" w:rsidP="003157D3">
            <w:pPr>
              <w:pStyle w:val="TableHeading"/>
              <w:rPr>
                <w:rFonts w:eastAsia="Times New Roman"/>
                <w:color w:val="auto"/>
                <w:sz w:val="22"/>
                <w:lang w:eastAsia="en-AU"/>
              </w:rPr>
            </w:pPr>
            <w:r w:rsidRPr="0021706F">
              <w:rPr>
                <w:rFonts w:eastAsia="Times New Roman"/>
                <w:color w:val="auto"/>
                <w:sz w:val="22"/>
                <w:lang w:eastAsia="en-AU"/>
              </w:rPr>
              <w:t>Name of policy:</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D7DDE9"/>
          </w:tcPr>
          <w:p w:rsidR="008F588A" w:rsidRPr="0021706F" w:rsidRDefault="00C863AB" w:rsidP="00C863AB">
            <w:pPr>
              <w:pStyle w:val="TableHeadingCentred"/>
              <w:jc w:val="left"/>
              <w:rPr>
                <w:rFonts w:eastAsia="Times New Roman"/>
                <w:sz w:val="22"/>
                <w:lang w:eastAsia="en-AU"/>
              </w:rPr>
            </w:pPr>
            <w:r>
              <w:rPr>
                <w:rFonts w:eastAsia="Times New Roman"/>
                <w:b w:val="0"/>
                <w:sz w:val="22"/>
                <w:lang w:eastAsia="en-AU"/>
              </w:rPr>
              <w:t>Child Abuse</w:t>
            </w:r>
            <w:r w:rsidR="003301CF">
              <w:rPr>
                <w:rFonts w:eastAsia="Times New Roman"/>
                <w:b w:val="0"/>
                <w:sz w:val="22"/>
                <w:lang w:eastAsia="en-AU"/>
              </w:rPr>
              <w:t xml:space="preserve"> </w:t>
            </w:r>
            <w:r>
              <w:rPr>
                <w:rFonts w:eastAsia="Times New Roman"/>
                <w:b w:val="0"/>
                <w:sz w:val="22"/>
                <w:lang w:eastAsia="en-AU"/>
              </w:rPr>
              <w:t>R</w:t>
            </w:r>
            <w:r w:rsidR="003301CF">
              <w:rPr>
                <w:rFonts w:eastAsia="Times New Roman"/>
                <w:b w:val="0"/>
                <w:sz w:val="22"/>
                <w:lang w:eastAsia="en-AU"/>
              </w:rPr>
              <w:t xml:space="preserve">edress </w:t>
            </w:r>
            <w:r>
              <w:rPr>
                <w:rFonts w:eastAsia="Times New Roman"/>
                <w:b w:val="0"/>
                <w:sz w:val="22"/>
                <w:lang w:eastAsia="en-AU"/>
              </w:rPr>
              <w:t>S</w:t>
            </w:r>
            <w:r w:rsidR="003301CF">
              <w:rPr>
                <w:rFonts w:eastAsia="Times New Roman"/>
                <w:b w:val="0"/>
                <w:sz w:val="22"/>
                <w:lang w:eastAsia="en-AU"/>
              </w:rPr>
              <w:t>cheme</w:t>
            </w:r>
          </w:p>
        </w:tc>
      </w:tr>
      <w:tr w:rsidR="008F588A"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8F588A" w:rsidRPr="0021706F" w:rsidRDefault="008F588A" w:rsidP="003157D3">
            <w:pPr>
              <w:pStyle w:val="TableText"/>
              <w:rPr>
                <w:rFonts w:eastAsia="Times New Roman"/>
                <w:sz w:val="22"/>
                <w:lang w:eastAsia="en-AU"/>
              </w:rPr>
            </w:pPr>
            <w:r w:rsidRPr="0021706F">
              <w:rPr>
                <w:rFonts w:eastAsia="Times New Roman"/>
                <w:sz w:val="22"/>
                <w:lang w:eastAsia="en-AU"/>
              </w:rPr>
              <w:t>Person requesting costing:</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C51E41" w:rsidP="0021706F">
            <w:pPr>
              <w:pStyle w:val="TableTextCentred"/>
              <w:jc w:val="left"/>
              <w:rPr>
                <w:sz w:val="22"/>
              </w:rPr>
            </w:pPr>
            <w:r>
              <w:rPr>
                <w:sz w:val="22"/>
              </w:rPr>
              <w:t>Senator Richard D</w:t>
            </w:r>
            <w:r w:rsidR="003301CF">
              <w:rPr>
                <w:sz w:val="22"/>
              </w:rPr>
              <w:t>i Natale</w:t>
            </w:r>
          </w:p>
        </w:tc>
      </w:tr>
      <w:tr w:rsidR="00F954CF"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F954CF" w:rsidRPr="0021706F" w:rsidRDefault="00F954CF" w:rsidP="003157D3">
            <w:pPr>
              <w:pStyle w:val="TableText"/>
              <w:rPr>
                <w:rFonts w:eastAsia="Times New Roman"/>
                <w:sz w:val="22"/>
                <w:lang w:eastAsia="en-AU"/>
              </w:rPr>
            </w:pPr>
            <w:r w:rsidRPr="0021706F">
              <w:rPr>
                <w:rFonts w:eastAsia="Times New Roman"/>
                <w:sz w:val="22"/>
                <w:lang w:eastAsia="en-AU"/>
              </w:rPr>
              <w:t>P</w:t>
            </w:r>
            <w:r w:rsidR="00515A85" w:rsidRPr="0021706F">
              <w:rPr>
                <w:rFonts w:eastAsia="Times New Roman"/>
                <w:sz w:val="22"/>
                <w:lang w:eastAsia="en-AU"/>
              </w:rPr>
              <w:t>arliamentary p</w:t>
            </w:r>
            <w:r w:rsidRPr="0021706F">
              <w:rPr>
                <w:rFonts w:eastAsia="Times New Roman"/>
                <w:sz w:val="22"/>
                <w:lang w:eastAsia="en-AU"/>
              </w:rPr>
              <w:t>arty</w:t>
            </w:r>
            <w:r w:rsidR="00515A85" w:rsidRPr="0021706F">
              <w:rPr>
                <w:rFonts w:eastAsia="Times New Roman"/>
                <w:sz w:val="22"/>
                <w:lang w:eastAsia="en-AU"/>
              </w:rPr>
              <w:t>:</w:t>
            </w:r>
            <w:r w:rsidRPr="0021706F">
              <w:rPr>
                <w:rFonts w:eastAsia="Times New Roman"/>
                <w:sz w:val="22"/>
                <w:lang w:eastAsia="en-AU"/>
              </w:rPr>
              <w:t xml:space="preserve"> </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F954CF" w:rsidRPr="0021706F" w:rsidRDefault="0021706F" w:rsidP="0021706F">
            <w:pPr>
              <w:pStyle w:val="TableTextCentred"/>
              <w:jc w:val="left"/>
              <w:rPr>
                <w:sz w:val="22"/>
              </w:rPr>
            </w:pPr>
            <w:r w:rsidRPr="0021706F">
              <w:rPr>
                <w:sz w:val="22"/>
              </w:rPr>
              <w:t>Australian Greens</w:t>
            </w:r>
          </w:p>
        </w:tc>
      </w:tr>
      <w:tr w:rsidR="008F588A"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8F588A" w:rsidRPr="0021706F" w:rsidRDefault="008F588A" w:rsidP="003157D3">
            <w:pPr>
              <w:pStyle w:val="TableText"/>
              <w:rPr>
                <w:rFonts w:eastAsia="Times New Roman"/>
                <w:sz w:val="22"/>
                <w:lang w:eastAsia="en-AU"/>
              </w:rPr>
            </w:pPr>
            <w:r w:rsidRPr="0021706F">
              <w:rPr>
                <w:rFonts w:eastAsia="Times New Roman"/>
                <w:sz w:val="22"/>
                <w:lang w:eastAsia="en-AU"/>
              </w:rPr>
              <w:t>Date of request to cost the policy:</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C863AB" w:rsidP="0021706F">
            <w:pPr>
              <w:pStyle w:val="TableTextCentred"/>
              <w:jc w:val="left"/>
              <w:rPr>
                <w:sz w:val="22"/>
              </w:rPr>
            </w:pPr>
            <w:r>
              <w:rPr>
                <w:sz w:val="22"/>
              </w:rPr>
              <w:t>28 June</w:t>
            </w:r>
          </w:p>
        </w:tc>
      </w:tr>
      <w:tr w:rsidR="008F588A"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8F588A" w:rsidP="0021706F">
            <w:pPr>
              <w:pStyle w:val="TableTextCentred"/>
              <w:jc w:val="left"/>
              <w:rPr>
                <w:i/>
                <w:sz w:val="22"/>
              </w:rPr>
            </w:pPr>
            <w:r w:rsidRPr="0021706F">
              <w:rPr>
                <w:i/>
                <w:sz w:val="22"/>
              </w:rPr>
              <w:t>Note:  This policy costing request and the response to this request will be made publicly available.</w:t>
            </w:r>
          </w:p>
        </w:tc>
      </w:tr>
      <w:tr w:rsidR="008F588A"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8F588A" w:rsidRPr="0021706F" w:rsidRDefault="00640346" w:rsidP="003157D3">
            <w:pPr>
              <w:pStyle w:val="TableText"/>
              <w:rPr>
                <w:rFonts w:eastAsia="Times New Roman"/>
                <w:sz w:val="22"/>
                <w:lang w:eastAsia="en-AU"/>
              </w:rPr>
            </w:pPr>
            <w:r w:rsidRPr="0021706F">
              <w:rPr>
                <w:rFonts w:eastAsia="Times New Roman"/>
                <w:sz w:val="22"/>
                <w:lang w:eastAsia="en-AU"/>
              </w:rPr>
              <w:t>Has a costing of this policy been requested under Section 29 of the Charter of Budget Honesty (</w:t>
            </w:r>
            <w:proofErr w:type="spellStart"/>
            <w:r w:rsidRPr="0021706F">
              <w:rPr>
                <w:rFonts w:eastAsia="Times New Roman"/>
                <w:sz w:val="22"/>
                <w:lang w:eastAsia="en-AU"/>
              </w:rPr>
              <w:t>ie</w:t>
            </w:r>
            <w:proofErr w:type="spellEnd"/>
            <w:r w:rsidRPr="0021706F">
              <w:rPr>
                <w:rFonts w:eastAsia="Times New Roman"/>
                <w:sz w:val="22"/>
                <w:lang w:eastAsia="en-AU"/>
              </w:rPr>
              <w:t xml:space="preserve"> from the Treasury or the Department of Finance)?</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21706F" w:rsidP="0021706F">
            <w:pPr>
              <w:pStyle w:val="TableTextCentred"/>
              <w:jc w:val="left"/>
              <w:rPr>
                <w:sz w:val="22"/>
              </w:rPr>
            </w:pPr>
            <w:r w:rsidRPr="0021706F">
              <w:rPr>
                <w:sz w:val="22"/>
              </w:rPr>
              <w:t>No</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3157D3">
            <w:pPr>
              <w:pStyle w:val="TableText"/>
              <w:rPr>
                <w:rFonts w:eastAsia="Times New Roman"/>
                <w:sz w:val="22"/>
                <w:lang w:eastAsia="en-AU"/>
              </w:rPr>
            </w:pPr>
            <w:r w:rsidRPr="0021706F">
              <w:rPr>
                <w:rFonts w:eastAsia="Times New Roman"/>
                <w:sz w:val="22"/>
                <w:lang w:eastAsia="en-AU"/>
              </w:rPr>
              <w:t>Details of the public release of this policy (Date, by whom and a reference to that release):</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3301CF" w:rsidP="0021706F">
            <w:pPr>
              <w:pStyle w:val="TableTextCentred"/>
              <w:jc w:val="left"/>
              <w:rPr>
                <w:sz w:val="22"/>
              </w:rPr>
            </w:pPr>
            <w:r>
              <w:rPr>
                <w:sz w:val="22"/>
              </w:rPr>
              <w:t>Released by</w:t>
            </w:r>
            <w:r w:rsidR="00AD0BF6">
              <w:rPr>
                <w:sz w:val="22"/>
              </w:rPr>
              <w:t xml:space="preserve"> Australian Greens 10 May 2016: </w:t>
            </w:r>
            <w:hyperlink r:id="rId8" w:history="1">
              <w:r w:rsidR="00AD0BF6" w:rsidRPr="00505DB4">
                <w:rPr>
                  <w:rStyle w:val="Hyperlink"/>
                  <w:sz w:val="22"/>
                </w:rPr>
                <w:t>http://greens.org.au/redress</w:t>
              </w:r>
            </w:hyperlink>
            <w:r w:rsidR="00AD0BF6">
              <w:rPr>
                <w:sz w:val="22"/>
              </w:rPr>
              <w:t xml:space="preserve">; </w:t>
            </w:r>
            <w:hyperlink r:id="rId9" w:history="1">
              <w:r w:rsidR="00AD0BF6" w:rsidRPr="00505DB4">
                <w:rPr>
                  <w:rStyle w:val="Hyperlink"/>
                  <w:sz w:val="22"/>
                </w:rPr>
                <w:t>http://rachel-siewert.greensmps.org.au/content/media-releases/greens-announce-funding-support-national-redress-scheme</w:t>
              </w:r>
            </w:hyperlink>
            <w:r w:rsidR="00AD0BF6">
              <w:rPr>
                <w:sz w:val="22"/>
              </w:rPr>
              <w:t xml:space="preserve">. </w:t>
            </w:r>
          </w:p>
        </w:tc>
      </w:tr>
      <w:tr w:rsidR="008F588A"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D7DDE9"/>
          </w:tcPr>
          <w:p w:rsidR="008F588A" w:rsidRPr="0021706F" w:rsidRDefault="008F588A" w:rsidP="0021706F">
            <w:pPr>
              <w:pStyle w:val="TableTextCentred"/>
              <w:jc w:val="left"/>
              <w:rPr>
                <w:sz w:val="22"/>
              </w:rPr>
            </w:pPr>
            <w:r w:rsidRPr="0021706F">
              <w:rPr>
                <w:b/>
                <w:sz w:val="22"/>
              </w:rPr>
              <w:t>Description of policy</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3157D3">
            <w:pPr>
              <w:pStyle w:val="TableText"/>
              <w:rPr>
                <w:rFonts w:eastAsia="Times New Roman"/>
                <w:sz w:val="22"/>
                <w:lang w:eastAsia="en-AU"/>
              </w:rPr>
            </w:pPr>
            <w:r w:rsidRPr="0021706F">
              <w:rPr>
                <w:rFonts w:eastAsia="Times New Roman"/>
                <w:sz w:val="22"/>
                <w:lang w:eastAsia="en-AU"/>
              </w:rPr>
              <w:t>Summary of policy (as applicable, please attach copies of relevant policy documents):</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Default="0030533C" w:rsidP="0021706F">
            <w:pPr>
              <w:pStyle w:val="TableTextCentred"/>
              <w:jc w:val="left"/>
              <w:rPr>
                <w:sz w:val="22"/>
              </w:rPr>
            </w:pPr>
            <w:r>
              <w:rPr>
                <w:sz w:val="22"/>
              </w:rPr>
              <w:t xml:space="preserve">Costing of the administration, monetary payments and counselling and psychological care recommendations in the </w:t>
            </w:r>
            <w:r>
              <w:rPr>
                <w:i/>
                <w:sz w:val="22"/>
              </w:rPr>
              <w:t xml:space="preserve">Redress and civil litigation report </w:t>
            </w:r>
            <w:r>
              <w:rPr>
                <w:sz w:val="22"/>
              </w:rPr>
              <w:t xml:space="preserve">of the Royal Commission into Institutional Responses to Child Sexual Abuse. </w:t>
            </w:r>
          </w:p>
          <w:p w:rsidR="0030533C" w:rsidRDefault="0030533C" w:rsidP="0021706F">
            <w:pPr>
              <w:pStyle w:val="TableTextCentred"/>
              <w:jc w:val="left"/>
              <w:rPr>
                <w:sz w:val="22"/>
              </w:rPr>
            </w:pPr>
            <w:r>
              <w:rPr>
                <w:sz w:val="22"/>
              </w:rPr>
              <w:t xml:space="preserve">Please see below a set of notes on the intended policy. </w:t>
            </w:r>
          </w:p>
          <w:p w:rsidR="0030533C" w:rsidRPr="0030533C" w:rsidRDefault="0030533C" w:rsidP="0021706F">
            <w:pPr>
              <w:pStyle w:val="TableTextCentred"/>
              <w:jc w:val="left"/>
              <w:rPr>
                <w:sz w:val="22"/>
              </w:rPr>
            </w:pPr>
            <w:r>
              <w:rPr>
                <w:sz w:val="22"/>
              </w:rPr>
              <w:t xml:space="preserve">Please cost on the assumption that the Commonwealth provides 50 per cent of funding required for funding of last resort, with the remainder provided by relevant State and Territory governments. </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FFFFFF"/>
          </w:tcPr>
          <w:p w:rsidR="00640346" w:rsidRPr="0021706F" w:rsidRDefault="00640346" w:rsidP="003157D3">
            <w:pPr>
              <w:pStyle w:val="TableText"/>
              <w:rPr>
                <w:rFonts w:eastAsia="Times New Roman"/>
                <w:sz w:val="22"/>
                <w:lang w:eastAsia="en-AU"/>
              </w:rPr>
            </w:pPr>
            <w:r w:rsidRPr="0021706F">
              <w:rPr>
                <w:rFonts w:eastAsia="Times New Roman"/>
                <w:sz w:val="22"/>
                <w:lang w:eastAsia="en-AU"/>
              </w:rPr>
              <w:t>What is the purpose or intention of the policy?</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FFFFFF"/>
          </w:tcPr>
          <w:p w:rsidR="00640346" w:rsidRPr="0021706F" w:rsidRDefault="003301CF" w:rsidP="0021706F">
            <w:pPr>
              <w:pStyle w:val="TableTextCentred"/>
              <w:jc w:val="left"/>
              <w:rPr>
                <w:sz w:val="22"/>
              </w:rPr>
            </w:pPr>
            <w:r>
              <w:rPr>
                <w:sz w:val="22"/>
              </w:rPr>
              <w:t xml:space="preserve">To implement the recommendations of the Royal Commission for a national redress scheme, including administration, monetary payments and counselling and psychological support. </w:t>
            </w:r>
          </w:p>
        </w:tc>
      </w:tr>
      <w:tr w:rsidR="008F588A"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D7DDE9"/>
          </w:tcPr>
          <w:p w:rsidR="008F588A" w:rsidRPr="0021706F" w:rsidRDefault="00640346" w:rsidP="0021706F">
            <w:pPr>
              <w:pStyle w:val="TableTextCentred"/>
              <w:jc w:val="left"/>
              <w:rPr>
                <w:sz w:val="22"/>
              </w:rPr>
            </w:pPr>
            <w:r w:rsidRPr="0021706F">
              <w:rPr>
                <w:b/>
                <w:sz w:val="22"/>
              </w:rPr>
              <w:t>What are the key assumptions that have been made in the policy, including:</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FFFFFF"/>
          </w:tcPr>
          <w:p w:rsidR="00640346" w:rsidRPr="0021706F" w:rsidRDefault="00640346" w:rsidP="00640346">
            <w:pPr>
              <w:pStyle w:val="TableText"/>
              <w:rPr>
                <w:rFonts w:eastAsia="Times New Roman"/>
                <w:sz w:val="22"/>
                <w:lang w:eastAsia="en-AU"/>
              </w:rPr>
            </w:pPr>
            <w:r w:rsidRPr="0021706F">
              <w:rPr>
                <w:rFonts w:eastAsia="Times New Roman"/>
                <w:sz w:val="22"/>
                <w:lang w:eastAsia="en-AU"/>
              </w:rPr>
              <w:t>Is the policy part of a package?</w:t>
            </w:r>
          </w:p>
          <w:p w:rsidR="00640346" w:rsidRPr="0021706F" w:rsidRDefault="00640346" w:rsidP="00640346">
            <w:pPr>
              <w:pStyle w:val="TableText"/>
              <w:rPr>
                <w:rFonts w:eastAsia="Times New Roman"/>
                <w:sz w:val="22"/>
                <w:lang w:eastAsia="en-AU"/>
              </w:rPr>
            </w:pPr>
            <w:r w:rsidRPr="0021706F">
              <w:rPr>
                <w:rFonts w:eastAsia="Times New Roman"/>
                <w:sz w:val="22"/>
                <w:lang w:eastAsia="en-AU"/>
              </w:rPr>
              <w:t>If yes, list the components and interactions with proposed or existing policies.</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FFFFFF"/>
          </w:tcPr>
          <w:p w:rsidR="00640346" w:rsidRPr="0021706F" w:rsidRDefault="003301CF" w:rsidP="0021706F">
            <w:pPr>
              <w:pStyle w:val="TableTextCentred"/>
              <w:jc w:val="left"/>
              <w:rPr>
                <w:sz w:val="22"/>
              </w:rPr>
            </w:pPr>
            <w:r>
              <w:rPr>
                <w:sz w:val="22"/>
              </w:rPr>
              <w:t xml:space="preserve">No. </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3157D3">
            <w:pPr>
              <w:pStyle w:val="TableText"/>
              <w:rPr>
                <w:rFonts w:eastAsia="Times New Roman"/>
                <w:sz w:val="22"/>
                <w:lang w:eastAsia="en-AU"/>
              </w:rPr>
            </w:pPr>
            <w:r w:rsidRPr="0021706F">
              <w:rPr>
                <w:rFonts w:eastAsia="Times New Roman"/>
                <w:sz w:val="22"/>
                <w:lang w:eastAsia="en-AU"/>
              </w:rPr>
              <w:t>Where relevant, is funding for the policy to be demand driven or a capped amount? If a capped amount, are the costs of administering the policy to be included within the capped amount or additional to the capped amount?</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30533C" w:rsidP="00B47036">
            <w:pPr>
              <w:pStyle w:val="TableTextCentred"/>
              <w:jc w:val="left"/>
              <w:rPr>
                <w:sz w:val="22"/>
              </w:rPr>
            </w:pPr>
            <w:r>
              <w:rPr>
                <w:sz w:val="22"/>
              </w:rPr>
              <w:t>Monetary payments</w:t>
            </w:r>
            <w:r w:rsidR="00B47036">
              <w:rPr>
                <w:sz w:val="22"/>
              </w:rPr>
              <w:t xml:space="preserve"> and counselling and psychological care to be demand driven.</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FFFFFF"/>
          </w:tcPr>
          <w:p w:rsidR="00640346" w:rsidRPr="0021706F" w:rsidRDefault="00640346" w:rsidP="00640346">
            <w:pPr>
              <w:pStyle w:val="TableText"/>
              <w:rPr>
                <w:rFonts w:eastAsia="Times New Roman"/>
                <w:sz w:val="22"/>
                <w:lang w:eastAsia="en-AU"/>
              </w:rPr>
            </w:pPr>
            <w:r w:rsidRPr="0021706F">
              <w:rPr>
                <w:rFonts w:eastAsia="Times New Roman"/>
                <w:sz w:val="22"/>
                <w:lang w:eastAsia="en-AU"/>
              </w:rPr>
              <w:lastRenderedPageBreak/>
              <w:t>Will third parties (for instance the States/Territories) have a role in funding or delivering the policy?</w:t>
            </w:r>
          </w:p>
          <w:p w:rsidR="00640346" w:rsidRPr="0021706F" w:rsidRDefault="00640346" w:rsidP="00640346">
            <w:pPr>
              <w:pStyle w:val="TableText"/>
              <w:rPr>
                <w:rFonts w:eastAsia="Times New Roman"/>
                <w:sz w:val="22"/>
                <w:lang w:eastAsia="en-AU"/>
              </w:rPr>
            </w:pPr>
            <w:r w:rsidRPr="0021706F">
              <w:rPr>
                <w:rFonts w:eastAsia="Times New Roman"/>
                <w:sz w:val="22"/>
                <w:lang w:eastAsia="en-AU"/>
              </w:rPr>
              <w:t>If yes, is the Australian Government contribution capped, with additional costs to be met by third parties, or is another funding formula envisaged?</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FFFFFF"/>
          </w:tcPr>
          <w:p w:rsidR="00640346" w:rsidRDefault="0030533C" w:rsidP="0021706F">
            <w:pPr>
              <w:pStyle w:val="TableTextCentred"/>
              <w:jc w:val="left"/>
              <w:rPr>
                <w:sz w:val="22"/>
              </w:rPr>
            </w:pPr>
            <w:r>
              <w:rPr>
                <w:sz w:val="22"/>
              </w:rPr>
              <w:t xml:space="preserve">Yes – state and territory governments and relevant institutions will provide funding. </w:t>
            </w:r>
          </w:p>
          <w:p w:rsidR="0030533C" w:rsidRPr="0021706F" w:rsidRDefault="0030533C" w:rsidP="0021706F">
            <w:pPr>
              <w:pStyle w:val="TableTextCentred"/>
              <w:jc w:val="left"/>
              <w:rPr>
                <w:sz w:val="22"/>
              </w:rPr>
            </w:pPr>
            <w:r>
              <w:rPr>
                <w:sz w:val="22"/>
              </w:rPr>
              <w:t xml:space="preserve">The Commonwealth’s contribution is not capped, but will have a role as funder of last resort. </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640346">
            <w:pPr>
              <w:pStyle w:val="TableText"/>
              <w:rPr>
                <w:rFonts w:eastAsia="Times New Roman"/>
                <w:sz w:val="22"/>
                <w:lang w:eastAsia="en-AU"/>
              </w:rPr>
            </w:pPr>
            <w:r w:rsidRPr="0021706F">
              <w:rPr>
                <w:rFonts w:eastAsia="Times New Roman"/>
                <w:sz w:val="22"/>
                <w:lang w:eastAsia="en-AU"/>
              </w:rPr>
              <w:t>Are there associated savings, offsets or expenses?</w:t>
            </w:r>
          </w:p>
          <w:p w:rsidR="00640346" w:rsidRPr="0021706F" w:rsidRDefault="00640346" w:rsidP="00640346">
            <w:pPr>
              <w:pStyle w:val="TableText"/>
              <w:rPr>
                <w:rFonts w:eastAsia="Times New Roman"/>
                <w:sz w:val="22"/>
                <w:lang w:eastAsia="en-AU"/>
              </w:rPr>
            </w:pPr>
            <w:r w:rsidRPr="0021706F">
              <w:rPr>
                <w:rFonts w:eastAsia="Times New Roman"/>
                <w:sz w:val="22"/>
                <w:lang w:eastAsia="en-AU"/>
              </w:rPr>
              <w:t>If yes, please provide details.</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30533C" w:rsidP="0021706F">
            <w:pPr>
              <w:pStyle w:val="TableTextCentred"/>
              <w:jc w:val="left"/>
              <w:rPr>
                <w:sz w:val="22"/>
              </w:rPr>
            </w:pPr>
            <w:r>
              <w:rPr>
                <w:sz w:val="22"/>
              </w:rPr>
              <w:t>-</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640346">
            <w:pPr>
              <w:pStyle w:val="TableText"/>
              <w:rPr>
                <w:rFonts w:eastAsia="Times New Roman"/>
                <w:sz w:val="22"/>
                <w:lang w:eastAsia="en-AU"/>
              </w:rPr>
            </w:pPr>
            <w:r w:rsidRPr="0021706F">
              <w:rPr>
                <w:rFonts w:eastAsia="Times New Roman"/>
                <w:sz w:val="22"/>
                <w:lang w:eastAsia="en-AU"/>
              </w:rPr>
              <w:t xml:space="preserve">Does the policy relate to a previous budget measure? </w:t>
            </w:r>
          </w:p>
          <w:p w:rsidR="00640346" w:rsidRPr="0021706F" w:rsidRDefault="00640346" w:rsidP="00640346">
            <w:pPr>
              <w:pStyle w:val="TableText"/>
              <w:rPr>
                <w:rFonts w:eastAsia="Times New Roman"/>
                <w:sz w:val="22"/>
                <w:lang w:eastAsia="en-AU"/>
              </w:rPr>
            </w:pPr>
            <w:r w:rsidRPr="0021706F">
              <w:rPr>
                <w:rFonts w:eastAsia="Times New Roman"/>
                <w:sz w:val="22"/>
                <w:lang w:eastAsia="en-AU"/>
              </w:rPr>
              <w:t>If yes, which measure?</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30533C" w:rsidP="0021706F">
            <w:pPr>
              <w:pStyle w:val="TableTextCentred"/>
              <w:jc w:val="left"/>
              <w:rPr>
                <w:sz w:val="22"/>
              </w:rPr>
            </w:pPr>
            <w:r>
              <w:rPr>
                <w:sz w:val="22"/>
              </w:rPr>
              <w:t>-</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3157D3">
            <w:pPr>
              <w:pStyle w:val="TableText"/>
              <w:rPr>
                <w:rFonts w:eastAsia="Times New Roman"/>
                <w:sz w:val="22"/>
                <w:lang w:eastAsia="en-AU"/>
              </w:rPr>
            </w:pPr>
            <w:r w:rsidRPr="0021706F">
              <w:rPr>
                <w:rFonts w:eastAsia="Times New Roman"/>
                <w:sz w:val="22"/>
                <w:lang w:eastAsia="en-AU"/>
              </w:rPr>
              <w:t>If the proposal would change an existing measure, are savings expected from the departmental costs of implementing the program?</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30533C" w:rsidP="0021706F">
            <w:pPr>
              <w:pStyle w:val="TableTextCentred"/>
              <w:jc w:val="left"/>
              <w:rPr>
                <w:sz w:val="22"/>
              </w:rPr>
            </w:pPr>
            <w:r>
              <w:rPr>
                <w:sz w:val="22"/>
              </w:rPr>
              <w:t>-</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640346" w:rsidP="00640346">
            <w:pPr>
              <w:pStyle w:val="TableText"/>
              <w:rPr>
                <w:rFonts w:eastAsia="Times New Roman"/>
                <w:sz w:val="22"/>
                <w:lang w:eastAsia="en-AU"/>
              </w:rPr>
            </w:pPr>
            <w:r w:rsidRPr="0021706F">
              <w:rPr>
                <w:rFonts w:eastAsia="Times New Roman"/>
                <w:sz w:val="22"/>
                <w:lang w:eastAsia="en-AU"/>
              </w:rPr>
              <w:t>Will the funding/program cost require indexation?</w:t>
            </w:r>
          </w:p>
          <w:p w:rsidR="00640346" w:rsidRPr="0021706F" w:rsidRDefault="00640346" w:rsidP="00640346">
            <w:pPr>
              <w:pStyle w:val="TableText"/>
              <w:rPr>
                <w:rFonts w:eastAsia="Times New Roman"/>
                <w:sz w:val="22"/>
                <w:lang w:eastAsia="en-AU"/>
              </w:rPr>
            </w:pPr>
            <w:r w:rsidRPr="0021706F">
              <w:rPr>
                <w:rFonts w:eastAsia="Times New Roman"/>
                <w:sz w:val="22"/>
                <w:lang w:eastAsia="en-AU"/>
              </w:rPr>
              <w:t>If yes, list factors to be used.</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30533C" w:rsidP="0021706F">
            <w:pPr>
              <w:pStyle w:val="TableTextCentred"/>
              <w:jc w:val="left"/>
              <w:rPr>
                <w:sz w:val="22"/>
              </w:rPr>
            </w:pPr>
            <w:r>
              <w:rPr>
                <w:sz w:val="22"/>
              </w:rPr>
              <w:t>-</w:t>
            </w:r>
          </w:p>
        </w:tc>
      </w:tr>
      <w:tr w:rsidR="008F588A"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D7DDE9"/>
          </w:tcPr>
          <w:p w:rsidR="008F588A" w:rsidRPr="0021706F" w:rsidRDefault="008F588A" w:rsidP="0021706F">
            <w:pPr>
              <w:pStyle w:val="TableTextCentred"/>
              <w:keepNext/>
              <w:keepLines/>
              <w:jc w:val="left"/>
              <w:rPr>
                <w:sz w:val="22"/>
              </w:rPr>
            </w:pPr>
            <w:r w:rsidRPr="0021706F">
              <w:rPr>
                <w:b/>
                <w:sz w:val="22"/>
              </w:rPr>
              <w:t>Expected impacts of the proposal</w:t>
            </w:r>
          </w:p>
        </w:tc>
      </w:tr>
      <w:tr w:rsidR="008F588A"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640346" w:rsidP="0021706F">
            <w:pPr>
              <w:pStyle w:val="TableTextCentred"/>
              <w:keepNext/>
              <w:keepLines/>
              <w:jc w:val="left"/>
              <w:rPr>
                <w:sz w:val="22"/>
              </w:rPr>
            </w:pPr>
            <w:r w:rsidRPr="0021706F">
              <w:rPr>
                <w:sz w:val="22"/>
              </w:rPr>
              <w:t>If applicable, what are the estimated costs each year? If available, please provide details in the table below.  Are these provided on an underlying cash balance or fiscal balance basis?</w:t>
            </w:r>
          </w:p>
        </w:tc>
      </w:tr>
      <w:tr w:rsidR="00640346"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auto"/>
          </w:tcPr>
          <w:p w:rsidR="008F588A" w:rsidRPr="0021706F" w:rsidRDefault="008F588A" w:rsidP="0021706F">
            <w:pPr>
              <w:pStyle w:val="TableTextCentred"/>
              <w:keepNext/>
              <w:keepLines/>
              <w:jc w:val="left"/>
              <w:rPr>
                <w:b/>
                <w:sz w:val="22"/>
                <w:vertAlign w:val="superscript"/>
              </w:rPr>
            </w:pPr>
            <w:r w:rsidRPr="0021706F">
              <w:rPr>
                <w:b/>
                <w:sz w:val="22"/>
              </w:rPr>
              <w:t>Estimated financial implications (outturn prices)</w:t>
            </w:r>
            <w:r w:rsidRPr="0021706F">
              <w:rPr>
                <w:b/>
                <w:sz w:val="22"/>
                <w:vertAlign w:val="superscript"/>
              </w:rPr>
              <w:t>(a)</w:t>
            </w:r>
          </w:p>
        </w:tc>
      </w:tr>
      <w:tr w:rsidR="00640346" w:rsidRPr="0021706F" w:rsidTr="00C863AB">
        <w:trPr>
          <w:cantSplit/>
        </w:trPr>
        <w:tc>
          <w:tcPr>
            <w:tcW w:w="1484" w:type="pct"/>
            <w:tcBorders>
              <w:top w:val="single" w:sz="4" w:space="0" w:color="788184"/>
              <w:left w:val="single" w:sz="4" w:space="0" w:color="788184"/>
              <w:bottom w:val="single" w:sz="4" w:space="0" w:color="788184"/>
              <w:right w:val="single" w:sz="4" w:space="0" w:color="788184"/>
            </w:tcBorders>
            <w:shd w:val="clear" w:color="auto" w:fill="D7DDE9"/>
            <w:vAlign w:val="center"/>
          </w:tcPr>
          <w:p w:rsidR="00640346" w:rsidRPr="0021706F" w:rsidRDefault="00640346" w:rsidP="0021706F">
            <w:pPr>
              <w:pStyle w:val="TableText"/>
              <w:keepNext/>
              <w:keepLines/>
              <w:rPr>
                <w:rFonts w:eastAsia="Times New Roman"/>
                <w:sz w:val="22"/>
                <w:lang w:eastAsia="en-AU"/>
              </w:rPr>
            </w:pPr>
          </w:p>
        </w:tc>
        <w:tc>
          <w:tcPr>
            <w:tcW w:w="870" w:type="pct"/>
            <w:gridSpan w:val="2"/>
            <w:tcBorders>
              <w:top w:val="single" w:sz="4" w:space="0" w:color="788184"/>
              <w:left w:val="single" w:sz="4" w:space="0" w:color="788184"/>
              <w:bottom w:val="single" w:sz="4" w:space="0" w:color="788184"/>
              <w:right w:val="single" w:sz="4" w:space="0" w:color="788184"/>
            </w:tcBorders>
            <w:shd w:val="clear" w:color="auto" w:fill="D7DDE9"/>
          </w:tcPr>
          <w:p w:rsidR="00640346" w:rsidRPr="0021706F" w:rsidRDefault="00640346" w:rsidP="0021706F">
            <w:pPr>
              <w:keepNext/>
              <w:keepLines/>
              <w:spacing w:before="70" w:after="70"/>
              <w:ind w:left="113" w:right="113"/>
              <w:jc w:val="right"/>
              <w:rPr>
                <w:rFonts w:eastAsia="Times New Roman"/>
                <w:lang w:eastAsia="en-AU"/>
              </w:rPr>
            </w:pPr>
            <w:r w:rsidRPr="0021706F">
              <w:rPr>
                <w:rFonts w:eastAsia="Times New Roman"/>
                <w:lang w:eastAsia="en-AU"/>
              </w:rPr>
              <w:t>2016–17</w:t>
            </w:r>
          </w:p>
        </w:tc>
        <w:tc>
          <w:tcPr>
            <w:tcW w:w="882" w:type="pct"/>
            <w:tcBorders>
              <w:top w:val="single" w:sz="4" w:space="0" w:color="788184"/>
              <w:left w:val="single" w:sz="4" w:space="0" w:color="788184"/>
              <w:bottom w:val="single" w:sz="4" w:space="0" w:color="788184"/>
              <w:right w:val="single" w:sz="4" w:space="0" w:color="788184"/>
            </w:tcBorders>
            <w:shd w:val="clear" w:color="auto" w:fill="D7DDE9"/>
          </w:tcPr>
          <w:p w:rsidR="00640346" w:rsidRPr="0021706F" w:rsidRDefault="00640346" w:rsidP="0021706F">
            <w:pPr>
              <w:keepNext/>
              <w:keepLines/>
              <w:spacing w:before="70" w:after="70"/>
              <w:ind w:left="113" w:right="113"/>
              <w:jc w:val="right"/>
              <w:rPr>
                <w:rFonts w:eastAsia="Times New Roman"/>
                <w:lang w:eastAsia="en-AU"/>
              </w:rPr>
            </w:pPr>
            <w:r w:rsidRPr="0021706F">
              <w:rPr>
                <w:rFonts w:eastAsia="Times New Roman"/>
                <w:lang w:eastAsia="en-AU"/>
              </w:rPr>
              <w:t>2017–18</w:t>
            </w:r>
          </w:p>
        </w:tc>
        <w:tc>
          <w:tcPr>
            <w:tcW w:w="881" w:type="pct"/>
            <w:tcBorders>
              <w:top w:val="single" w:sz="4" w:space="0" w:color="788184"/>
              <w:left w:val="single" w:sz="4" w:space="0" w:color="788184"/>
              <w:bottom w:val="single" w:sz="4" w:space="0" w:color="788184"/>
              <w:right w:val="single" w:sz="4" w:space="0" w:color="788184"/>
            </w:tcBorders>
            <w:shd w:val="clear" w:color="auto" w:fill="D7DDE9"/>
          </w:tcPr>
          <w:p w:rsidR="00640346" w:rsidRPr="0021706F" w:rsidRDefault="00640346" w:rsidP="0021706F">
            <w:pPr>
              <w:keepNext/>
              <w:keepLines/>
              <w:spacing w:before="70" w:after="70"/>
              <w:ind w:left="113" w:right="113"/>
              <w:jc w:val="right"/>
              <w:rPr>
                <w:rFonts w:eastAsia="Times New Roman"/>
                <w:lang w:eastAsia="en-AU"/>
              </w:rPr>
            </w:pPr>
            <w:r w:rsidRPr="0021706F">
              <w:rPr>
                <w:rFonts w:eastAsia="Times New Roman"/>
                <w:lang w:eastAsia="en-AU"/>
              </w:rPr>
              <w:t>2018–19</w:t>
            </w:r>
          </w:p>
        </w:tc>
        <w:tc>
          <w:tcPr>
            <w:tcW w:w="883" w:type="pct"/>
            <w:tcBorders>
              <w:top w:val="single" w:sz="4" w:space="0" w:color="788184"/>
              <w:left w:val="single" w:sz="4" w:space="0" w:color="788184"/>
              <w:bottom w:val="single" w:sz="4" w:space="0" w:color="788184"/>
              <w:right w:val="single" w:sz="4" w:space="0" w:color="788184"/>
            </w:tcBorders>
            <w:shd w:val="clear" w:color="auto" w:fill="D7DDE9"/>
          </w:tcPr>
          <w:p w:rsidR="00640346" w:rsidRPr="0021706F" w:rsidRDefault="00640346" w:rsidP="0021706F">
            <w:pPr>
              <w:keepNext/>
              <w:keepLines/>
              <w:spacing w:before="70" w:after="70"/>
              <w:ind w:left="113" w:right="113"/>
              <w:jc w:val="right"/>
              <w:rPr>
                <w:rFonts w:eastAsia="Times New Roman"/>
                <w:lang w:eastAsia="en-AU"/>
              </w:rPr>
            </w:pPr>
            <w:r w:rsidRPr="0021706F">
              <w:rPr>
                <w:rFonts w:eastAsia="Times New Roman"/>
                <w:lang w:eastAsia="en-AU"/>
              </w:rPr>
              <w:t>2019–20</w:t>
            </w:r>
          </w:p>
        </w:tc>
      </w:tr>
      <w:tr w:rsidR="00C863AB" w:rsidRPr="0021706F" w:rsidTr="00C863AB">
        <w:trPr>
          <w:cantSplit/>
        </w:trPr>
        <w:tc>
          <w:tcPr>
            <w:tcW w:w="1484" w:type="pct"/>
            <w:tcBorders>
              <w:top w:val="single" w:sz="4" w:space="0" w:color="788184"/>
              <w:left w:val="single" w:sz="4" w:space="0" w:color="788184"/>
              <w:bottom w:val="single" w:sz="4" w:space="0" w:color="788184"/>
              <w:right w:val="single" w:sz="4" w:space="0" w:color="788184"/>
            </w:tcBorders>
            <w:shd w:val="clear" w:color="auto" w:fill="auto"/>
            <w:vAlign w:val="center"/>
          </w:tcPr>
          <w:p w:rsidR="00C863AB" w:rsidRPr="0021706F" w:rsidRDefault="00C863AB" w:rsidP="0021706F">
            <w:pPr>
              <w:pStyle w:val="TableTextCentred"/>
              <w:keepNext/>
              <w:keepLines/>
              <w:jc w:val="left"/>
              <w:rPr>
                <w:sz w:val="22"/>
              </w:rPr>
            </w:pPr>
            <w:r w:rsidRPr="0021706F">
              <w:rPr>
                <w:sz w:val="22"/>
              </w:rPr>
              <w:t>Underlying cash balance ($m)</w:t>
            </w:r>
          </w:p>
        </w:tc>
        <w:tc>
          <w:tcPr>
            <w:tcW w:w="870"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C863AB" w:rsidRPr="0021706F" w:rsidRDefault="00C863AB" w:rsidP="00BD498F">
            <w:pPr>
              <w:pStyle w:val="TableTextCentred"/>
              <w:keepNext/>
              <w:keepLines/>
              <w:jc w:val="right"/>
              <w:rPr>
                <w:sz w:val="22"/>
              </w:rPr>
            </w:pPr>
            <w:r>
              <w:rPr>
                <w:sz w:val="22"/>
              </w:rPr>
              <w:t>-7.5</w:t>
            </w:r>
          </w:p>
        </w:tc>
        <w:tc>
          <w:tcPr>
            <w:tcW w:w="882" w:type="pct"/>
            <w:tcBorders>
              <w:top w:val="single" w:sz="4" w:space="0" w:color="788184"/>
              <w:left w:val="single" w:sz="4" w:space="0" w:color="788184"/>
              <w:bottom w:val="single" w:sz="4" w:space="0" w:color="788184"/>
              <w:right w:val="single" w:sz="4" w:space="0" w:color="788184"/>
            </w:tcBorders>
            <w:shd w:val="clear" w:color="auto" w:fill="auto"/>
            <w:vAlign w:val="center"/>
          </w:tcPr>
          <w:p w:rsidR="00C863AB" w:rsidRPr="0021706F" w:rsidRDefault="00C863AB" w:rsidP="00BD498F">
            <w:pPr>
              <w:pStyle w:val="TableTextCentred"/>
              <w:keepNext/>
              <w:keepLines/>
              <w:jc w:val="right"/>
              <w:rPr>
                <w:sz w:val="22"/>
              </w:rPr>
            </w:pPr>
            <w:r>
              <w:rPr>
                <w:sz w:val="22"/>
              </w:rPr>
              <w:t>-16.7</w:t>
            </w:r>
          </w:p>
        </w:tc>
        <w:tc>
          <w:tcPr>
            <w:tcW w:w="881" w:type="pct"/>
            <w:tcBorders>
              <w:top w:val="single" w:sz="4" w:space="0" w:color="788184"/>
              <w:left w:val="single" w:sz="4" w:space="0" w:color="788184"/>
              <w:bottom w:val="single" w:sz="4" w:space="0" w:color="788184"/>
              <w:right w:val="single" w:sz="4" w:space="0" w:color="788184"/>
            </w:tcBorders>
            <w:shd w:val="clear" w:color="auto" w:fill="auto"/>
            <w:vAlign w:val="center"/>
          </w:tcPr>
          <w:p w:rsidR="00C863AB" w:rsidRPr="0021706F" w:rsidRDefault="00C863AB" w:rsidP="00BD498F">
            <w:pPr>
              <w:pStyle w:val="TableTextCentred"/>
              <w:keepNext/>
              <w:keepLines/>
              <w:jc w:val="right"/>
              <w:rPr>
                <w:sz w:val="22"/>
              </w:rPr>
            </w:pPr>
            <w:r>
              <w:rPr>
                <w:sz w:val="22"/>
              </w:rPr>
              <w:t>-84.3</w:t>
            </w:r>
          </w:p>
        </w:tc>
        <w:tc>
          <w:tcPr>
            <w:tcW w:w="883" w:type="pct"/>
            <w:tcBorders>
              <w:top w:val="single" w:sz="4" w:space="0" w:color="788184"/>
              <w:left w:val="single" w:sz="4" w:space="0" w:color="788184"/>
              <w:bottom w:val="single" w:sz="4" w:space="0" w:color="788184"/>
              <w:right w:val="single" w:sz="4" w:space="0" w:color="788184"/>
            </w:tcBorders>
            <w:shd w:val="clear" w:color="auto" w:fill="auto"/>
            <w:vAlign w:val="center"/>
          </w:tcPr>
          <w:p w:rsidR="00C863AB" w:rsidRPr="0021706F" w:rsidRDefault="00C863AB" w:rsidP="00BD498F">
            <w:pPr>
              <w:pStyle w:val="TableTextCentred"/>
              <w:keepNext/>
              <w:keepLines/>
              <w:jc w:val="right"/>
              <w:rPr>
                <w:sz w:val="22"/>
              </w:rPr>
            </w:pPr>
            <w:r>
              <w:rPr>
                <w:sz w:val="22"/>
              </w:rPr>
              <w:t>-142</w:t>
            </w:r>
          </w:p>
        </w:tc>
      </w:tr>
      <w:tr w:rsidR="00CF6DB6" w:rsidRPr="0021706F" w:rsidTr="00C863AB">
        <w:trPr>
          <w:cantSplit/>
        </w:trPr>
        <w:tc>
          <w:tcPr>
            <w:tcW w:w="1484" w:type="pct"/>
            <w:tcBorders>
              <w:top w:val="single" w:sz="4" w:space="0" w:color="788184"/>
              <w:left w:val="single" w:sz="4" w:space="0" w:color="788184"/>
              <w:bottom w:val="single" w:sz="4" w:space="0" w:color="788184"/>
              <w:right w:val="single" w:sz="4" w:space="0" w:color="788184"/>
            </w:tcBorders>
            <w:shd w:val="clear" w:color="auto" w:fill="auto"/>
            <w:vAlign w:val="center"/>
          </w:tcPr>
          <w:p w:rsidR="00CF6DB6" w:rsidRPr="0021706F" w:rsidRDefault="00CF6DB6" w:rsidP="0021706F">
            <w:pPr>
              <w:pStyle w:val="TableTextCentred"/>
              <w:keepNext/>
              <w:keepLines/>
              <w:jc w:val="left"/>
              <w:rPr>
                <w:sz w:val="22"/>
              </w:rPr>
            </w:pPr>
            <w:r w:rsidRPr="0021706F">
              <w:rPr>
                <w:sz w:val="22"/>
              </w:rPr>
              <w:t>Fiscal balance ($m)</w:t>
            </w:r>
          </w:p>
        </w:tc>
        <w:tc>
          <w:tcPr>
            <w:tcW w:w="870"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CF6DB6" w:rsidRPr="0021706F" w:rsidRDefault="00C863AB" w:rsidP="0021706F">
            <w:pPr>
              <w:pStyle w:val="TableTextCentred"/>
              <w:keepNext/>
              <w:keepLines/>
              <w:jc w:val="right"/>
              <w:rPr>
                <w:sz w:val="22"/>
              </w:rPr>
            </w:pPr>
            <w:r>
              <w:rPr>
                <w:sz w:val="22"/>
              </w:rPr>
              <w:t>-</w:t>
            </w:r>
            <w:r w:rsidR="0030533C">
              <w:rPr>
                <w:sz w:val="22"/>
              </w:rPr>
              <w:t>7.5</w:t>
            </w:r>
          </w:p>
        </w:tc>
        <w:tc>
          <w:tcPr>
            <w:tcW w:w="882" w:type="pct"/>
            <w:tcBorders>
              <w:top w:val="single" w:sz="4" w:space="0" w:color="788184"/>
              <w:left w:val="single" w:sz="4" w:space="0" w:color="788184"/>
              <w:bottom w:val="single" w:sz="4" w:space="0" w:color="788184"/>
              <w:right w:val="single" w:sz="4" w:space="0" w:color="788184"/>
            </w:tcBorders>
            <w:shd w:val="clear" w:color="auto" w:fill="auto"/>
            <w:vAlign w:val="center"/>
          </w:tcPr>
          <w:p w:rsidR="00CF6DB6" w:rsidRPr="0021706F" w:rsidRDefault="00C863AB" w:rsidP="0021706F">
            <w:pPr>
              <w:pStyle w:val="TableTextCentred"/>
              <w:keepNext/>
              <w:keepLines/>
              <w:jc w:val="right"/>
              <w:rPr>
                <w:sz w:val="22"/>
              </w:rPr>
            </w:pPr>
            <w:r>
              <w:rPr>
                <w:sz w:val="22"/>
              </w:rPr>
              <w:t>-</w:t>
            </w:r>
            <w:r w:rsidR="0030533C">
              <w:rPr>
                <w:sz w:val="22"/>
              </w:rPr>
              <w:t>16.7</w:t>
            </w:r>
          </w:p>
        </w:tc>
        <w:tc>
          <w:tcPr>
            <w:tcW w:w="881" w:type="pct"/>
            <w:tcBorders>
              <w:top w:val="single" w:sz="4" w:space="0" w:color="788184"/>
              <w:left w:val="single" w:sz="4" w:space="0" w:color="788184"/>
              <w:bottom w:val="single" w:sz="4" w:space="0" w:color="788184"/>
              <w:right w:val="single" w:sz="4" w:space="0" w:color="788184"/>
            </w:tcBorders>
            <w:shd w:val="clear" w:color="auto" w:fill="auto"/>
            <w:vAlign w:val="center"/>
          </w:tcPr>
          <w:p w:rsidR="00CF6DB6" w:rsidRPr="0021706F" w:rsidRDefault="00C863AB" w:rsidP="0021706F">
            <w:pPr>
              <w:pStyle w:val="TableTextCentred"/>
              <w:keepNext/>
              <w:keepLines/>
              <w:jc w:val="right"/>
              <w:rPr>
                <w:sz w:val="22"/>
              </w:rPr>
            </w:pPr>
            <w:r>
              <w:rPr>
                <w:sz w:val="22"/>
              </w:rPr>
              <w:t>-</w:t>
            </w:r>
            <w:r w:rsidR="0030533C">
              <w:rPr>
                <w:sz w:val="22"/>
              </w:rPr>
              <w:t>84.3</w:t>
            </w:r>
          </w:p>
        </w:tc>
        <w:tc>
          <w:tcPr>
            <w:tcW w:w="883" w:type="pct"/>
            <w:tcBorders>
              <w:top w:val="single" w:sz="4" w:space="0" w:color="788184"/>
              <w:left w:val="single" w:sz="4" w:space="0" w:color="788184"/>
              <w:bottom w:val="single" w:sz="4" w:space="0" w:color="788184"/>
              <w:right w:val="single" w:sz="4" w:space="0" w:color="788184"/>
            </w:tcBorders>
            <w:shd w:val="clear" w:color="auto" w:fill="auto"/>
            <w:vAlign w:val="center"/>
          </w:tcPr>
          <w:p w:rsidR="00CF6DB6" w:rsidRPr="0021706F" w:rsidRDefault="00C863AB" w:rsidP="0021706F">
            <w:pPr>
              <w:pStyle w:val="TableTextCentred"/>
              <w:keepNext/>
              <w:keepLines/>
              <w:jc w:val="right"/>
              <w:rPr>
                <w:sz w:val="22"/>
              </w:rPr>
            </w:pPr>
            <w:r>
              <w:rPr>
                <w:sz w:val="22"/>
              </w:rPr>
              <w:t>-</w:t>
            </w:r>
            <w:r w:rsidR="0030533C">
              <w:rPr>
                <w:sz w:val="22"/>
              </w:rPr>
              <w:t>142</w:t>
            </w:r>
          </w:p>
        </w:tc>
      </w:tr>
      <w:tr w:rsidR="00CF6DB6"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auto"/>
          </w:tcPr>
          <w:p w:rsidR="00CF6DB6" w:rsidRPr="0021706F" w:rsidRDefault="007202A8" w:rsidP="0021706F">
            <w:pPr>
              <w:pStyle w:val="TableTextCentred"/>
              <w:keepNext/>
              <w:keepLines/>
              <w:numPr>
                <w:ilvl w:val="0"/>
                <w:numId w:val="4"/>
              </w:numPr>
              <w:ind w:left="284" w:hanging="284"/>
              <w:jc w:val="left"/>
              <w:rPr>
                <w:sz w:val="22"/>
              </w:rPr>
            </w:pPr>
            <w:r w:rsidRPr="0021706F">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E15AAE" w:rsidP="003157D3">
            <w:pPr>
              <w:pStyle w:val="TableText"/>
              <w:rPr>
                <w:rFonts w:eastAsia="Times New Roman"/>
                <w:sz w:val="22"/>
                <w:lang w:eastAsia="en-AU"/>
              </w:rPr>
            </w:pPr>
            <w:r w:rsidRPr="0021706F">
              <w:rPr>
                <w:rFonts w:eastAsia="Times New Roman"/>
                <w:sz w:val="22"/>
                <w:lang w:eastAsia="en-AU"/>
              </w:rPr>
              <w:t>What assumptions have been made in deriving the expected financial impact in the party costing (please provide information on the data sources used to develop the policy)?</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640346" w:rsidP="0021706F">
            <w:pPr>
              <w:pStyle w:val="TableTextCentred"/>
              <w:jc w:val="left"/>
              <w:rPr>
                <w:sz w:val="22"/>
              </w:rPr>
            </w:pP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E15AAE" w:rsidRPr="0021706F" w:rsidRDefault="00E15AAE" w:rsidP="00E15AAE">
            <w:pPr>
              <w:pStyle w:val="TableText"/>
              <w:rPr>
                <w:rFonts w:eastAsia="Times New Roman"/>
                <w:sz w:val="22"/>
                <w:lang w:eastAsia="en-AU"/>
              </w:rPr>
            </w:pPr>
            <w:r w:rsidRPr="0021706F">
              <w:rPr>
                <w:rFonts w:eastAsia="Times New Roman"/>
                <w:sz w:val="22"/>
                <w:lang w:eastAsia="en-AU"/>
              </w:rPr>
              <w:t>Has the policy been costed by a third party?</w:t>
            </w:r>
          </w:p>
          <w:p w:rsidR="00640346" w:rsidRPr="0021706F" w:rsidRDefault="00E15AAE" w:rsidP="00E15AAE">
            <w:pPr>
              <w:pStyle w:val="TableText"/>
              <w:rPr>
                <w:rFonts w:eastAsia="Times New Roman"/>
                <w:sz w:val="22"/>
                <w:lang w:eastAsia="en-AU"/>
              </w:rPr>
            </w:pPr>
            <w:r w:rsidRPr="0021706F">
              <w:rPr>
                <w:rFonts w:eastAsia="Times New Roman"/>
                <w:sz w:val="22"/>
                <w:lang w:eastAsia="en-AU"/>
              </w:rPr>
              <w:t>If yes, can you provide a copy of this costing and its assumptions?</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C863AB" w:rsidP="0021706F">
            <w:pPr>
              <w:pStyle w:val="TableTextCentred"/>
              <w:jc w:val="left"/>
              <w:rPr>
                <w:sz w:val="22"/>
              </w:rPr>
            </w:pPr>
            <w:r>
              <w:rPr>
                <w:sz w:val="22"/>
              </w:rPr>
              <w:t>No</w:t>
            </w:r>
            <w:r w:rsidR="009F6CA8">
              <w:rPr>
                <w:sz w:val="22"/>
              </w:rPr>
              <w:t xml:space="preserve"> </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E15AAE" w:rsidRPr="0021706F" w:rsidRDefault="00E15AAE" w:rsidP="00E15AAE">
            <w:pPr>
              <w:pStyle w:val="TableText"/>
              <w:rPr>
                <w:rFonts w:eastAsia="Times New Roman"/>
                <w:sz w:val="22"/>
                <w:lang w:eastAsia="en-AU"/>
              </w:rPr>
            </w:pPr>
            <w:r w:rsidRPr="0021706F">
              <w:rPr>
                <w:rFonts w:eastAsia="Times New Roman"/>
                <w:sz w:val="22"/>
                <w:lang w:eastAsia="en-AU"/>
              </w:rPr>
              <w:lastRenderedPageBreak/>
              <w:t>What is the expected community impact of the policy?</w:t>
            </w:r>
          </w:p>
          <w:p w:rsidR="00E15AAE" w:rsidRPr="0021706F" w:rsidRDefault="00E15AAE" w:rsidP="00E15AAE">
            <w:pPr>
              <w:pStyle w:val="TableText"/>
              <w:rPr>
                <w:rFonts w:eastAsia="Times New Roman"/>
                <w:sz w:val="22"/>
                <w:lang w:eastAsia="en-AU"/>
              </w:rPr>
            </w:pPr>
            <w:r w:rsidRPr="0021706F">
              <w:rPr>
                <w:rFonts w:eastAsia="Times New Roman"/>
                <w:sz w:val="22"/>
                <w:lang w:eastAsia="en-AU"/>
              </w:rPr>
              <w:t>How many people will be affected by the policy?</w:t>
            </w:r>
          </w:p>
          <w:p w:rsidR="00E15AAE" w:rsidRPr="0021706F" w:rsidRDefault="00E15AAE" w:rsidP="00E15AAE">
            <w:pPr>
              <w:pStyle w:val="TableText"/>
              <w:rPr>
                <w:rFonts w:eastAsia="Times New Roman"/>
                <w:sz w:val="22"/>
                <w:lang w:eastAsia="en-AU"/>
              </w:rPr>
            </w:pPr>
            <w:r w:rsidRPr="0021706F">
              <w:rPr>
                <w:rFonts w:eastAsia="Times New Roman"/>
                <w:sz w:val="22"/>
                <w:lang w:eastAsia="en-AU"/>
              </w:rPr>
              <w:t>What is the likely take up?</w:t>
            </w:r>
          </w:p>
          <w:p w:rsidR="00640346" w:rsidRPr="0021706F" w:rsidRDefault="00E15AAE" w:rsidP="00E15AAE">
            <w:pPr>
              <w:pStyle w:val="TableText"/>
              <w:rPr>
                <w:rFonts w:eastAsia="Times New Roman"/>
                <w:sz w:val="22"/>
                <w:lang w:eastAsia="en-AU"/>
              </w:rPr>
            </w:pPr>
            <w:r w:rsidRPr="0021706F">
              <w:rPr>
                <w:rFonts w:eastAsia="Times New Roman"/>
                <w:sz w:val="22"/>
                <w:lang w:eastAsia="en-AU"/>
              </w:rPr>
              <w:t>What is the basis for these impact assessments/assumptions?</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9F6CA8" w:rsidRDefault="009F6CA8" w:rsidP="009F6CA8">
            <w:pPr>
              <w:spacing w:before="120" w:after="120"/>
              <w:ind w:right="57"/>
            </w:pPr>
            <w:proofErr w:type="spellStart"/>
            <w:r>
              <w:t>Finity</w:t>
            </w:r>
            <w:proofErr w:type="spellEnd"/>
            <w:r>
              <w:t xml:space="preserve"> Consulting estimated that 60,000 people would make claims nationally. </w:t>
            </w:r>
          </w:p>
          <w:p w:rsidR="009F6CA8" w:rsidRPr="00C51E41" w:rsidRDefault="009F6CA8" w:rsidP="009F6CA8">
            <w:pPr>
              <w:spacing w:before="120" w:after="120"/>
              <w:ind w:right="57"/>
              <w:rPr>
                <w:color w:val="1F497D"/>
                <w:lang w:val="fr-FR"/>
              </w:rPr>
            </w:pPr>
            <w:r w:rsidRPr="00C51E41">
              <w:rPr>
                <w:lang w:val="fr-FR"/>
              </w:rPr>
              <w:t xml:space="preserve">Page 5 </w:t>
            </w:r>
            <w:hyperlink r:id="rId10" w:history="1">
              <w:r w:rsidRPr="00C51E41">
                <w:rPr>
                  <w:rStyle w:val="Hyperlink"/>
                  <w:lang w:val="fr-FR"/>
                </w:rPr>
                <w:t>http://www.childabuseroyalcommission.gov.au/documents/final-actuarial-report.pdf</w:t>
              </w:r>
            </w:hyperlink>
          </w:p>
          <w:p w:rsidR="00640346" w:rsidRPr="0021706F" w:rsidRDefault="009F6CA8" w:rsidP="009F6CA8">
            <w:pPr>
              <w:pStyle w:val="TableTextCentred"/>
              <w:ind w:left="0"/>
              <w:jc w:val="left"/>
              <w:rPr>
                <w:sz w:val="22"/>
              </w:rPr>
            </w:pPr>
            <w:r w:rsidRPr="009F6CA8">
              <w:rPr>
                <w:rFonts w:eastAsia="Calibri"/>
                <w:sz w:val="22"/>
                <w:lang w:eastAsia="en-US"/>
              </w:rPr>
              <w:t>Cited in Page 8 of Royal Commission report</w:t>
            </w:r>
          </w:p>
        </w:tc>
      </w:tr>
      <w:tr w:rsidR="00CF6DB6"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D7DDE9"/>
          </w:tcPr>
          <w:p w:rsidR="00CF6DB6" w:rsidRPr="0021706F" w:rsidRDefault="00CF6DB6" w:rsidP="0021706F">
            <w:pPr>
              <w:pStyle w:val="TableTextCentred"/>
              <w:keepNext/>
              <w:keepLines/>
              <w:jc w:val="left"/>
              <w:rPr>
                <w:sz w:val="22"/>
              </w:rPr>
            </w:pPr>
            <w:r w:rsidRPr="0021706F">
              <w:rPr>
                <w:b/>
                <w:sz w:val="22"/>
              </w:rPr>
              <w:t>Administration of policy:</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CB40E1" w:rsidP="0021706F">
            <w:pPr>
              <w:pStyle w:val="TableText"/>
              <w:keepNext/>
              <w:keepLines/>
              <w:rPr>
                <w:rFonts w:eastAsia="Times New Roman"/>
                <w:sz w:val="22"/>
                <w:lang w:eastAsia="en-AU"/>
              </w:rPr>
            </w:pPr>
            <w:r w:rsidRPr="0021706F">
              <w:rPr>
                <w:rFonts w:eastAsia="Times New Roman"/>
                <w:sz w:val="22"/>
                <w:lang w:eastAsia="en-AU"/>
              </w:rPr>
              <w:t>Who will administer the policy (for example, Australian Government entity, the States, non</w:t>
            </w:r>
            <w:r w:rsidRPr="0021706F">
              <w:rPr>
                <w:rFonts w:eastAsia="Times New Roman"/>
                <w:sz w:val="22"/>
                <w:lang w:eastAsia="en-AU"/>
              </w:rPr>
              <w:noBreakHyphen/>
              <w:t xml:space="preserve">government organisation, </w:t>
            </w:r>
            <w:proofErr w:type="spellStart"/>
            <w:r w:rsidRPr="0021706F">
              <w:rPr>
                <w:rFonts w:eastAsia="Times New Roman"/>
                <w:sz w:val="22"/>
                <w:lang w:eastAsia="en-AU"/>
              </w:rPr>
              <w:t>etc</w:t>
            </w:r>
            <w:proofErr w:type="spellEnd"/>
            <w:r w:rsidRPr="0021706F">
              <w:rPr>
                <w:rFonts w:eastAsia="Times New Roman"/>
                <w:sz w:val="22"/>
                <w:lang w:eastAsia="en-AU"/>
              </w:rPr>
              <w:t>)?</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9F6CA8" w:rsidP="0021706F">
            <w:pPr>
              <w:pStyle w:val="TableTextCentred"/>
              <w:keepNext/>
              <w:keepLines/>
              <w:jc w:val="left"/>
              <w:rPr>
                <w:sz w:val="22"/>
              </w:rPr>
            </w:pPr>
            <w:r w:rsidRPr="009F6CA8">
              <w:rPr>
                <w:rFonts w:eastAsia="Calibri"/>
                <w:sz w:val="22"/>
                <w:lang w:eastAsia="en-US"/>
              </w:rPr>
              <w:t>The Commonwealth to develop a national scheme, in consultation with State and Territory governments.</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CB40E1" w:rsidP="0021706F">
            <w:pPr>
              <w:pStyle w:val="TableText"/>
              <w:keepNext/>
              <w:keepLines/>
              <w:rPr>
                <w:rFonts w:eastAsia="Times New Roman"/>
                <w:sz w:val="22"/>
                <w:lang w:eastAsia="en-AU"/>
              </w:rPr>
            </w:pPr>
            <w:r w:rsidRPr="0021706F">
              <w:rPr>
                <w:rFonts w:eastAsia="Times New Roman"/>
                <w:sz w:val="22"/>
                <w:lang w:eastAsia="en-AU"/>
              </w:rPr>
              <w:t>Please specify whether any special administrative arrangements are proposed for the policy and whether these are expected to involve additional transactions/processing (by service delivery agencies).</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640346" w:rsidRPr="0021706F" w:rsidRDefault="009F6CA8" w:rsidP="0021706F">
            <w:pPr>
              <w:pStyle w:val="TableTextCentred"/>
              <w:keepNext/>
              <w:keepLines/>
              <w:jc w:val="left"/>
              <w:rPr>
                <w:sz w:val="22"/>
              </w:rPr>
            </w:pPr>
            <w:r w:rsidRPr="009F6CA8">
              <w:rPr>
                <w:sz w:val="22"/>
              </w:rPr>
              <w:t xml:space="preserve">The RC provided the broad outlines of eligibility criteria in their </w:t>
            </w:r>
            <w:hyperlink r:id="rId11" w:history="1">
              <w:r w:rsidRPr="009F6CA8">
                <w:rPr>
                  <w:sz w:val="22"/>
                </w:rPr>
                <w:t>final redress report</w:t>
              </w:r>
            </w:hyperlink>
            <w:r w:rsidRPr="009F6CA8">
              <w:rPr>
                <w:sz w:val="22"/>
              </w:rPr>
              <w:t xml:space="preserve"> (p. 355).</w:t>
            </w:r>
          </w:p>
        </w:tc>
      </w:tr>
      <w:tr w:rsidR="00640346"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640346" w:rsidRPr="0021706F" w:rsidRDefault="00CB40E1" w:rsidP="00660385">
            <w:pPr>
              <w:pStyle w:val="TableText"/>
              <w:rPr>
                <w:rFonts w:eastAsia="Times New Roman"/>
                <w:sz w:val="22"/>
                <w:lang w:eastAsia="en-AU"/>
              </w:rPr>
            </w:pPr>
            <w:r w:rsidRPr="0021706F">
              <w:rPr>
                <w:rFonts w:eastAsia="Times New Roman"/>
                <w:sz w:val="22"/>
                <w:lang w:eastAsia="en-AU"/>
              </w:rPr>
              <w:t>Intended date of implementation:</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9F6CA8" w:rsidRDefault="009F6CA8" w:rsidP="009F6CA8">
            <w:pPr>
              <w:spacing w:before="120" w:after="120"/>
              <w:ind w:left="57" w:right="57"/>
            </w:pPr>
            <w:r>
              <w:t xml:space="preserve">The development of administration for the scheme is intended to apply from 1 November 2016. </w:t>
            </w:r>
          </w:p>
          <w:p w:rsidR="00640346" w:rsidRPr="0021706F" w:rsidRDefault="009F6CA8" w:rsidP="009F6CA8">
            <w:pPr>
              <w:pStyle w:val="TableTextCentred"/>
              <w:ind w:left="57"/>
              <w:jc w:val="left"/>
              <w:rPr>
                <w:sz w:val="22"/>
              </w:rPr>
            </w:pPr>
            <w:r w:rsidRPr="009F6CA8">
              <w:rPr>
                <w:rFonts w:eastAsia="Calibri"/>
                <w:sz w:val="22"/>
                <w:lang w:eastAsia="en-US"/>
              </w:rPr>
              <w:t>Monetary payments</w:t>
            </w:r>
            <w:r w:rsidR="00E73F1F">
              <w:rPr>
                <w:rFonts w:eastAsia="Calibri"/>
                <w:sz w:val="22"/>
                <w:lang w:eastAsia="en-US"/>
              </w:rPr>
              <w:t xml:space="preserve"> and counselling and psychological care</w:t>
            </w:r>
            <w:r w:rsidRPr="009F6CA8">
              <w:rPr>
                <w:rFonts w:eastAsia="Calibri"/>
                <w:sz w:val="22"/>
                <w:lang w:eastAsia="en-US"/>
              </w:rPr>
              <w:t xml:space="preserve"> are intended to be available for eligible survivors from 1 July 2018.</w:t>
            </w:r>
          </w:p>
        </w:tc>
      </w:tr>
      <w:tr w:rsidR="009F6CA8"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9F6CA8" w:rsidRPr="0021706F" w:rsidRDefault="009F6CA8" w:rsidP="00660385">
            <w:pPr>
              <w:pStyle w:val="TableText"/>
              <w:rPr>
                <w:rFonts w:eastAsia="Times New Roman"/>
                <w:sz w:val="22"/>
                <w:lang w:eastAsia="en-AU"/>
              </w:rPr>
            </w:pPr>
            <w:r w:rsidRPr="0021706F">
              <w:rPr>
                <w:rFonts w:eastAsia="Times New Roman"/>
                <w:sz w:val="22"/>
                <w:lang w:eastAsia="en-AU"/>
              </w:rPr>
              <w:t>Intended duration of policy:</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9F6CA8" w:rsidRPr="00E955B2" w:rsidRDefault="009F6CA8" w:rsidP="00A800E5">
            <w:pPr>
              <w:spacing w:before="120" w:after="120"/>
              <w:ind w:left="57" w:right="57"/>
            </w:pPr>
            <w:r>
              <w:t>Closing date for the scheme to be specified after ‘applications … reduce to a level where it would be reasonable to consider closing the scheme’ (</w:t>
            </w:r>
            <w:hyperlink r:id="rId12" w:history="1">
              <w:r w:rsidRPr="004C3478">
                <w:rPr>
                  <w:rStyle w:val="Hyperlink"/>
                </w:rPr>
                <w:t>RC</w:t>
              </w:r>
            </w:hyperlink>
            <w:r>
              <w:t xml:space="preserve">, p. 358). </w:t>
            </w:r>
          </w:p>
        </w:tc>
      </w:tr>
      <w:tr w:rsidR="009F6CA8"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9F6CA8" w:rsidRPr="0021706F" w:rsidRDefault="009F6CA8" w:rsidP="00660385">
            <w:pPr>
              <w:pStyle w:val="TableText"/>
              <w:rPr>
                <w:rFonts w:eastAsia="Times New Roman"/>
                <w:sz w:val="22"/>
                <w:lang w:eastAsia="en-AU"/>
              </w:rPr>
            </w:pPr>
            <w:r w:rsidRPr="0021706F">
              <w:rPr>
                <w:rFonts w:eastAsia="Times New Roman"/>
                <w:sz w:val="22"/>
                <w:lang w:eastAsia="en-AU"/>
              </w:rPr>
              <w:t>Are there transitional arrangements associated with policy implementation?</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9F6CA8" w:rsidRPr="0021706F" w:rsidRDefault="009F6CA8" w:rsidP="0021706F">
            <w:pPr>
              <w:pStyle w:val="TableTextCentred"/>
              <w:jc w:val="left"/>
              <w:rPr>
                <w:sz w:val="22"/>
              </w:rPr>
            </w:pPr>
            <w:r>
              <w:rPr>
                <w:sz w:val="22"/>
              </w:rPr>
              <w:t>-</w:t>
            </w:r>
          </w:p>
        </w:tc>
      </w:tr>
      <w:tr w:rsidR="009F6CA8"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9F6CA8" w:rsidRPr="0021706F" w:rsidRDefault="009F6CA8" w:rsidP="00660385">
            <w:pPr>
              <w:pStyle w:val="TableText"/>
              <w:rPr>
                <w:rFonts w:eastAsia="Times New Roman"/>
                <w:sz w:val="22"/>
                <w:lang w:eastAsia="en-AU"/>
              </w:rPr>
            </w:pPr>
            <w:r w:rsidRPr="0021706F">
              <w:rPr>
                <w:rFonts w:eastAsia="Times New Roman"/>
                <w:sz w:val="22"/>
                <w:lang w:eastAsia="en-AU"/>
              </w:rPr>
              <w:t>List major data sources utilised to develop policy (for example, ABS catalogue number 3201.0).</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9F6CA8" w:rsidRDefault="009F6CA8" w:rsidP="009F6CA8">
            <w:pPr>
              <w:rPr>
                <w:color w:val="1F497D"/>
              </w:rPr>
            </w:pPr>
            <w:hyperlink r:id="rId13" w:history="1">
              <w:r>
                <w:rPr>
                  <w:rStyle w:val="Hyperlink"/>
                </w:rPr>
                <w:t>http://www.childabuseroyalcommission.gov.au/getattachment/743dbe01-eb40-4ecb-8b82-29fcf00b8f43/Final-report-Redress-and-civil-litigation</w:t>
              </w:r>
            </w:hyperlink>
            <w:r>
              <w:rPr>
                <w:color w:val="1F497D"/>
              </w:rPr>
              <w:t xml:space="preserve"> </w:t>
            </w:r>
          </w:p>
          <w:p w:rsidR="009F6CA8" w:rsidRPr="0021706F" w:rsidRDefault="009F6CA8" w:rsidP="00C549AE">
            <w:pPr>
              <w:pStyle w:val="TableTextCentred"/>
              <w:ind w:left="0"/>
              <w:jc w:val="left"/>
              <w:rPr>
                <w:sz w:val="22"/>
              </w:rPr>
            </w:pPr>
            <w:r w:rsidRPr="00C549AE">
              <w:rPr>
                <w:rFonts w:eastAsia="Calibri"/>
                <w:sz w:val="22"/>
                <w:lang w:eastAsia="en-US"/>
              </w:rPr>
              <w:t>The full chapter dealing with costs is p. 310-345, with summaries (total costs) on p. 330 (no funder of last resort role), and p. 340 (funders of last resort role)</w:t>
            </w:r>
          </w:p>
        </w:tc>
      </w:tr>
      <w:tr w:rsidR="009F6CA8" w:rsidRPr="0021706F" w:rsidTr="00C863AB">
        <w:trPr>
          <w:cantSplit/>
        </w:trPr>
        <w:tc>
          <w:tcPr>
            <w:tcW w:w="1788" w:type="pct"/>
            <w:gridSpan w:val="2"/>
            <w:tcBorders>
              <w:top w:val="single" w:sz="4" w:space="0" w:color="788184"/>
              <w:left w:val="single" w:sz="4" w:space="0" w:color="788184"/>
              <w:bottom w:val="single" w:sz="4" w:space="0" w:color="788184"/>
              <w:right w:val="single" w:sz="4" w:space="0" w:color="788184"/>
            </w:tcBorders>
            <w:shd w:val="clear" w:color="auto" w:fill="auto"/>
            <w:vAlign w:val="center"/>
          </w:tcPr>
          <w:p w:rsidR="009F6CA8" w:rsidRPr="0021706F" w:rsidRDefault="009F6CA8" w:rsidP="00660385">
            <w:pPr>
              <w:pStyle w:val="TableText"/>
              <w:rPr>
                <w:rFonts w:eastAsia="Times New Roman"/>
                <w:sz w:val="22"/>
                <w:lang w:eastAsia="en-AU"/>
              </w:rPr>
            </w:pPr>
            <w:r w:rsidRPr="0021706F">
              <w:rPr>
                <w:rFonts w:eastAsia="Times New Roman"/>
                <w:sz w:val="22"/>
                <w:lang w:eastAsia="en-AU"/>
              </w:rPr>
              <w:t>Are there any other assumptions that need to be considered?</w:t>
            </w:r>
          </w:p>
        </w:tc>
        <w:tc>
          <w:tcPr>
            <w:tcW w:w="3212" w:type="pct"/>
            <w:gridSpan w:val="4"/>
            <w:tcBorders>
              <w:top w:val="single" w:sz="4" w:space="0" w:color="788184"/>
              <w:left w:val="single" w:sz="4" w:space="0" w:color="788184"/>
              <w:bottom w:val="single" w:sz="4" w:space="0" w:color="788184"/>
              <w:right w:val="single" w:sz="4" w:space="0" w:color="788184"/>
            </w:tcBorders>
            <w:shd w:val="clear" w:color="auto" w:fill="auto"/>
          </w:tcPr>
          <w:p w:rsidR="00B47036" w:rsidRDefault="00B47036" w:rsidP="00B47036">
            <w:pPr>
              <w:spacing w:before="120" w:after="120"/>
              <w:ind w:left="57" w:right="57"/>
            </w:pPr>
            <w:r>
              <w:t xml:space="preserve">Yes: </w:t>
            </w:r>
          </w:p>
          <w:p w:rsidR="00B47036" w:rsidRDefault="00B47036" w:rsidP="00B47036">
            <w:pPr>
              <w:pStyle w:val="ListParagraph"/>
              <w:numPr>
                <w:ilvl w:val="0"/>
                <w:numId w:val="11"/>
              </w:numPr>
              <w:spacing w:before="120" w:after="120"/>
              <w:ind w:right="57"/>
              <w:rPr>
                <w:lang w:val="en-AU"/>
              </w:rPr>
            </w:pPr>
            <w:r>
              <w:rPr>
                <w:lang w:val="en-AU"/>
              </w:rPr>
              <w:t>Actuarial assumptions about the number of individuals eligible for the redress scheme</w:t>
            </w:r>
          </w:p>
          <w:p w:rsidR="009F6CA8" w:rsidRPr="0021706F" w:rsidRDefault="00B47036" w:rsidP="00B47036">
            <w:pPr>
              <w:pStyle w:val="ListParagraph"/>
              <w:numPr>
                <w:ilvl w:val="0"/>
                <w:numId w:val="11"/>
              </w:numPr>
              <w:spacing w:before="120" w:after="120"/>
              <w:ind w:right="57"/>
            </w:pPr>
            <w:r>
              <w:rPr>
                <w:lang w:val="en-AU"/>
              </w:rPr>
              <w:t>Assumptions about the contribution by relevant institutions, and state and territory governments.</w:t>
            </w:r>
          </w:p>
        </w:tc>
      </w:tr>
      <w:tr w:rsidR="009F6CA8" w:rsidRPr="0021706F" w:rsidTr="0021706F">
        <w:trPr>
          <w:cantSplit/>
        </w:trPr>
        <w:tc>
          <w:tcPr>
            <w:tcW w:w="5000" w:type="pct"/>
            <w:gridSpan w:val="6"/>
            <w:tcBorders>
              <w:top w:val="single" w:sz="4" w:space="0" w:color="788184"/>
              <w:left w:val="single" w:sz="4" w:space="0" w:color="788184"/>
              <w:bottom w:val="single" w:sz="4" w:space="0" w:color="788184"/>
              <w:right w:val="single" w:sz="4" w:space="0" w:color="788184"/>
            </w:tcBorders>
            <w:shd w:val="clear" w:color="auto" w:fill="auto"/>
          </w:tcPr>
          <w:p w:rsidR="009F6CA8" w:rsidRPr="0021706F" w:rsidRDefault="009F6CA8" w:rsidP="0021706F">
            <w:pPr>
              <w:pStyle w:val="TableTextCentred"/>
              <w:jc w:val="left"/>
              <w:rPr>
                <w:b/>
                <w:sz w:val="22"/>
              </w:rPr>
            </w:pPr>
            <w:r w:rsidRPr="0021706F">
              <w:rPr>
                <w:b/>
                <w:sz w:val="22"/>
              </w:rPr>
              <w:lastRenderedPageBreak/>
              <w:t>NOTE:</w:t>
            </w:r>
          </w:p>
          <w:p w:rsidR="009F6CA8" w:rsidRPr="0021706F" w:rsidRDefault="009F6CA8" w:rsidP="0021706F">
            <w:pPr>
              <w:pStyle w:val="TableTextCentred"/>
              <w:jc w:val="left"/>
              <w:rPr>
                <w:i/>
                <w:sz w:val="22"/>
              </w:rPr>
            </w:pPr>
            <w:r w:rsidRPr="0021706F">
              <w:rPr>
                <w:i/>
                <w:sz w:val="22"/>
              </w:rPr>
              <w:t>Please note that:</w:t>
            </w:r>
          </w:p>
          <w:p w:rsidR="009F6CA8" w:rsidRPr="0021706F" w:rsidRDefault="009F6CA8" w:rsidP="0021706F">
            <w:pPr>
              <w:pStyle w:val="TableTextBullet1"/>
              <w:numPr>
                <w:ilvl w:val="0"/>
                <w:numId w:val="0"/>
              </w:numPr>
              <w:spacing w:before="70" w:after="70" w:line="260" w:lineRule="atLeast"/>
              <w:ind w:left="113" w:right="113"/>
              <w:rPr>
                <w:i/>
                <w:sz w:val="22"/>
              </w:rPr>
            </w:pPr>
            <w:r w:rsidRPr="0021706F">
              <w:rPr>
                <w:i/>
                <w:sz w:val="22"/>
              </w:rPr>
              <w:t>The costing will be on the basis of information provided in this costing request.</w:t>
            </w:r>
          </w:p>
          <w:p w:rsidR="009F6CA8" w:rsidRPr="0021706F" w:rsidRDefault="009F6CA8" w:rsidP="0021706F">
            <w:pPr>
              <w:pStyle w:val="TableTextBullet1"/>
              <w:numPr>
                <w:ilvl w:val="0"/>
                <w:numId w:val="0"/>
              </w:numPr>
              <w:spacing w:before="70" w:after="70" w:line="260" w:lineRule="atLeast"/>
              <w:ind w:left="113" w:right="113"/>
              <w:rPr>
                <w:sz w:val="22"/>
              </w:rPr>
            </w:pPr>
            <w:r w:rsidRPr="0021706F">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p w:rsidR="0030533C" w:rsidRDefault="0030533C"/>
    <w:p w:rsidR="0030533C" w:rsidRDefault="0030533C" w:rsidP="0030533C">
      <w:pPr>
        <w:pStyle w:val="Title"/>
      </w:pPr>
      <w:r>
        <w:t>National redress scheme</w:t>
      </w:r>
    </w:p>
    <w:p w:rsidR="0030533C" w:rsidRDefault="0030533C" w:rsidP="0030533C">
      <w:r>
        <w:t xml:space="preserve">This policy is based on the final recommendations of the Royal Commission into Institutional Responses to Child Sexual Abuse in the </w:t>
      </w:r>
      <w:r>
        <w:rPr>
          <w:i/>
        </w:rPr>
        <w:t>Redress and civil litigation report</w:t>
      </w:r>
      <w:r>
        <w:t xml:space="preserve">. It is only intended to implement the administration and monetary components of redress, and counselling and psychological care – changes to civil litigation are not included in this policy costing. </w:t>
      </w:r>
    </w:p>
    <w:p w:rsidR="0030533C" w:rsidRDefault="0030533C" w:rsidP="0030533C">
      <w:r>
        <w:t>The Royal Commission recommended that redress include three components</w:t>
      </w:r>
      <w:r>
        <w:rPr>
          <w:rStyle w:val="FootnoteReference"/>
        </w:rPr>
        <w:footnoteReference w:id="1"/>
      </w:r>
      <w:r>
        <w:t>:</w:t>
      </w:r>
    </w:p>
    <w:p w:rsidR="0030533C" w:rsidRDefault="0030533C" w:rsidP="0030533C">
      <w:pPr>
        <w:pStyle w:val="ListParagraph"/>
        <w:widowControl/>
        <w:numPr>
          <w:ilvl w:val="0"/>
          <w:numId w:val="6"/>
        </w:numPr>
        <w:spacing w:after="200" w:line="276" w:lineRule="auto"/>
        <w:contextualSpacing/>
      </w:pPr>
      <w:r>
        <w:t>Direct personal response</w:t>
      </w:r>
    </w:p>
    <w:p w:rsidR="0030533C" w:rsidRDefault="0030533C" w:rsidP="0030533C">
      <w:pPr>
        <w:pStyle w:val="ListParagraph"/>
        <w:widowControl/>
        <w:numPr>
          <w:ilvl w:val="0"/>
          <w:numId w:val="6"/>
        </w:numPr>
        <w:spacing w:after="200" w:line="276" w:lineRule="auto"/>
        <w:contextualSpacing/>
      </w:pPr>
      <w:r>
        <w:t>Counselling and psychological care</w:t>
      </w:r>
    </w:p>
    <w:p w:rsidR="0030533C" w:rsidRDefault="0030533C" w:rsidP="0030533C">
      <w:pPr>
        <w:pStyle w:val="ListParagraph"/>
        <w:widowControl/>
        <w:numPr>
          <w:ilvl w:val="0"/>
          <w:numId w:val="6"/>
        </w:numPr>
        <w:spacing w:after="200" w:line="276" w:lineRule="auto"/>
        <w:contextualSpacing/>
      </w:pPr>
      <w:r>
        <w:t xml:space="preserve">Monetary payments. </w:t>
      </w:r>
    </w:p>
    <w:p w:rsidR="0030533C" w:rsidRDefault="00B47036" w:rsidP="0030533C">
      <w:r>
        <w:t xml:space="preserve">The direct personal response is a responsibility of relevant institutions.  </w:t>
      </w:r>
      <w:r w:rsidR="0030533C">
        <w:t xml:space="preserve">This policy costing relates specifically to the administration of a redress scheme, monetary payments available to eligible survivors under the redress scheme, and counselling and psychological care available to eligible survivors under the redress scheme. Footnotes relate to the recommendations in the </w:t>
      </w:r>
      <w:r w:rsidR="0030533C">
        <w:rPr>
          <w:i/>
        </w:rPr>
        <w:t>Redress and civil litigation report</w:t>
      </w:r>
      <w:r w:rsidR="0030533C">
        <w:t xml:space="preserve">. </w:t>
      </w:r>
    </w:p>
    <w:p w:rsidR="0030533C" w:rsidRDefault="0030533C" w:rsidP="0030533C">
      <w:pPr>
        <w:tabs>
          <w:tab w:val="right" w:pos="10773"/>
        </w:tabs>
      </w:pPr>
      <w:r>
        <w:t>While the Royal Commission recommended a start date of 1 July 2017</w:t>
      </w:r>
      <w:r>
        <w:rPr>
          <w:rStyle w:val="FootnoteReference"/>
        </w:rPr>
        <w:footnoteReference w:id="2"/>
      </w:r>
      <w:r>
        <w:t>, this policy costing is for:</w:t>
      </w:r>
      <w:r>
        <w:tab/>
      </w:r>
    </w:p>
    <w:p w:rsidR="0030533C" w:rsidRDefault="0030533C" w:rsidP="0030533C">
      <w:pPr>
        <w:pStyle w:val="ListParagraph"/>
        <w:widowControl/>
        <w:numPr>
          <w:ilvl w:val="0"/>
          <w:numId w:val="7"/>
        </w:numPr>
        <w:spacing w:after="200" w:line="276" w:lineRule="auto"/>
        <w:contextualSpacing/>
      </w:pPr>
      <w:r>
        <w:t xml:space="preserve">Administrative work on the scheme to begin as soon as possible after the 2016 election, </w:t>
      </w:r>
    </w:p>
    <w:p w:rsidR="0030533C" w:rsidRDefault="0030533C" w:rsidP="0030533C">
      <w:pPr>
        <w:pStyle w:val="ListParagraph"/>
        <w:widowControl/>
        <w:numPr>
          <w:ilvl w:val="0"/>
          <w:numId w:val="7"/>
        </w:numPr>
        <w:spacing w:after="200" w:line="276" w:lineRule="auto"/>
        <w:contextualSpacing/>
      </w:pPr>
      <w:r>
        <w:t>Monetary payments are intended to be available to elig</w:t>
      </w:r>
      <w:r w:rsidR="00B47036">
        <w:t>ible survivors from 1 July 2018, and</w:t>
      </w:r>
    </w:p>
    <w:p w:rsidR="00B47036" w:rsidRDefault="00B47036" w:rsidP="0030533C">
      <w:pPr>
        <w:pStyle w:val="ListParagraph"/>
        <w:widowControl/>
        <w:numPr>
          <w:ilvl w:val="0"/>
          <w:numId w:val="7"/>
        </w:numPr>
        <w:spacing w:after="200" w:line="276" w:lineRule="auto"/>
        <w:contextualSpacing/>
      </w:pPr>
      <w:r>
        <w:t xml:space="preserve">Counselling and psychological care to be available to eligible survivors after 1 July 2018. </w:t>
      </w:r>
    </w:p>
    <w:p w:rsidR="0030533C" w:rsidRDefault="0030533C" w:rsidP="0030533C">
      <w:r>
        <w:t>The redress scheme is intended to close after eligible survivors have accessed the scheme.</w:t>
      </w:r>
      <w:r>
        <w:rPr>
          <w:rStyle w:val="FootnoteReference"/>
        </w:rPr>
        <w:footnoteReference w:id="3"/>
      </w:r>
    </w:p>
    <w:p w:rsidR="0030533C" w:rsidRDefault="0030533C" w:rsidP="0030533C">
      <w:pPr>
        <w:pStyle w:val="Heading1"/>
      </w:pPr>
      <w:r>
        <w:t>Eligibility</w:t>
      </w:r>
    </w:p>
    <w:p w:rsidR="0030533C" w:rsidRDefault="0030533C" w:rsidP="0030533C">
      <w:r>
        <w:t>Eligibility should be for living individuals who were sexually abused as children in an institutional context, as per the recommendations of the Commission.</w:t>
      </w:r>
      <w:r>
        <w:rPr>
          <w:rStyle w:val="FootnoteReference"/>
        </w:rPr>
        <w:footnoteReference w:id="4"/>
      </w:r>
      <w:r>
        <w:t xml:space="preserve"> The cut-off date will be set during the detailed development of the scheme.</w:t>
      </w:r>
      <w:r>
        <w:rPr>
          <w:rStyle w:val="FootnoteReference"/>
        </w:rPr>
        <w:footnoteReference w:id="5"/>
      </w:r>
    </w:p>
    <w:p w:rsidR="0030533C" w:rsidRDefault="0030533C" w:rsidP="0030533C">
      <w:pPr>
        <w:pStyle w:val="Heading1"/>
      </w:pPr>
      <w:r>
        <w:t>Administration</w:t>
      </w:r>
    </w:p>
    <w:p w:rsidR="0030533C" w:rsidRDefault="0030533C" w:rsidP="0030533C">
      <w:r>
        <w:t>This policy includes multiple administration components:</w:t>
      </w:r>
    </w:p>
    <w:p w:rsidR="0030533C" w:rsidRDefault="0030533C" w:rsidP="0030533C">
      <w:pPr>
        <w:pStyle w:val="ListParagraph"/>
        <w:widowControl/>
        <w:numPr>
          <w:ilvl w:val="0"/>
          <w:numId w:val="8"/>
        </w:numPr>
        <w:spacing w:after="200" w:line="276" w:lineRule="auto"/>
        <w:contextualSpacing/>
      </w:pPr>
      <w:r>
        <w:t>A national redress advisory council, including a range of representatives – capped amount of $20 million</w:t>
      </w:r>
      <w:r>
        <w:rPr>
          <w:rStyle w:val="FootnoteReference"/>
        </w:rPr>
        <w:footnoteReference w:id="6"/>
      </w:r>
    </w:p>
    <w:p w:rsidR="0030533C" w:rsidRDefault="0030533C" w:rsidP="0030533C">
      <w:pPr>
        <w:pStyle w:val="ListParagraph"/>
        <w:widowControl/>
        <w:numPr>
          <w:ilvl w:val="0"/>
          <w:numId w:val="8"/>
        </w:numPr>
        <w:spacing w:after="200" w:line="276" w:lineRule="auto"/>
        <w:contextualSpacing/>
      </w:pPr>
      <w:r>
        <w:lastRenderedPageBreak/>
        <w:t>Advertising for the scheme – $10m capped</w:t>
      </w:r>
      <w:r>
        <w:rPr>
          <w:rStyle w:val="FootnoteReference"/>
        </w:rPr>
        <w:footnoteReference w:id="7"/>
      </w:r>
    </w:p>
    <w:p w:rsidR="0030533C" w:rsidRDefault="0030533C" w:rsidP="0030533C">
      <w:pPr>
        <w:pStyle w:val="ListParagraph"/>
        <w:widowControl/>
        <w:numPr>
          <w:ilvl w:val="0"/>
          <w:numId w:val="8"/>
        </w:numPr>
        <w:spacing w:after="200" w:line="276" w:lineRule="auto"/>
        <w:contextualSpacing/>
      </w:pPr>
      <w:proofErr w:type="spellStart"/>
      <w:r>
        <w:t>Organisation</w:t>
      </w:r>
      <w:proofErr w:type="spellEnd"/>
      <w:r>
        <w:t xml:space="preserve"> requirements - $30m capped for administration of the scheme, including:</w:t>
      </w:r>
    </w:p>
    <w:p w:rsidR="0030533C" w:rsidRDefault="0030533C" w:rsidP="0030533C">
      <w:pPr>
        <w:pStyle w:val="ListParagraph"/>
        <w:widowControl/>
        <w:numPr>
          <w:ilvl w:val="1"/>
          <w:numId w:val="8"/>
        </w:numPr>
        <w:spacing w:after="200" w:line="276" w:lineRule="auto"/>
        <w:contextualSpacing/>
      </w:pPr>
      <w:r>
        <w:t>Administration</w:t>
      </w:r>
    </w:p>
    <w:p w:rsidR="0030533C" w:rsidRDefault="0030533C" w:rsidP="0030533C">
      <w:pPr>
        <w:pStyle w:val="ListParagraph"/>
        <w:widowControl/>
        <w:numPr>
          <w:ilvl w:val="1"/>
          <w:numId w:val="8"/>
        </w:numPr>
        <w:spacing w:after="200" w:line="276" w:lineRule="auto"/>
        <w:contextualSpacing/>
      </w:pPr>
      <w:r>
        <w:t>Communication</w:t>
      </w:r>
      <w:r>
        <w:rPr>
          <w:rStyle w:val="FootnoteReference"/>
        </w:rPr>
        <w:footnoteReference w:id="8"/>
      </w:r>
    </w:p>
    <w:p w:rsidR="0030533C" w:rsidRDefault="0030533C" w:rsidP="0030533C">
      <w:pPr>
        <w:pStyle w:val="ListParagraph"/>
        <w:widowControl/>
        <w:numPr>
          <w:ilvl w:val="1"/>
          <w:numId w:val="8"/>
        </w:numPr>
        <w:spacing w:after="200" w:line="276" w:lineRule="auto"/>
        <w:contextualSpacing/>
      </w:pPr>
      <w:r>
        <w:t>Reviews</w:t>
      </w:r>
      <w:r>
        <w:rPr>
          <w:rStyle w:val="FootnoteReference"/>
        </w:rPr>
        <w:footnoteReference w:id="9"/>
      </w:r>
    </w:p>
    <w:p w:rsidR="0030533C" w:rsidRDefault="0030533C" w:rsidP="0030533C">
      <w:pPr>
        <w:pStyle w:val="Heading1"/>
      </w:pPr>
      <w:r>
        <w:t>Monetary payments</w:t>
      </w:r>
    </w:p>
    <w:p w:rsidR="0030533C" w:rsidRDefault="0030533C" w:rsidP="0030533C">
      <w:proofErr w:type="gramStart"/>
      <w:r>
        <w:t>Detailed work to further develop the scoring matrix for the redress payments - $2 million.</w:t>
      </w:r>
      <w:proofErr w:type="gramEnd"/>
      <w:r>
        <w:rPr>
          <w:rStyle w:val="FootnoteReference"/>
        </w:rPr>
        <w:footnoteReference w:id="10"/>
      </w:r>
    </w:p>
    <w:p w:rsidR="0030533C" w:rsidRDefault="0030533C" w:rsidP="0030533C">
      <w:r>
        <w:t>A national</w:t>
      </w:r>
      <w:r>
        <w:rPr>
          <w:rStyle w:val="FootnoteReference"/>
        </w:rPr>
        <w:footnoteReference w:id="11"/>
      </w:r>
      <w:r>
        <w:t xml:space="preserve"> monetary payment </w:t>
      </w:r>
      <w:proofErr w:type="gramStart"/>
      <w:r>
        <w:t>scheme, that</w:t>
      </w:r>
      <w:proofErr w:type="gramEnd"/>
      <w:r>
        <w:t xml:space="preserve"> provides payments that:</w:t>
      </w:r>
    </w:p>
    <w:p w:rsidR="0030533C" w:rsidRDefault="0030533C" w:rsidP="0030533C">
      <w:pPr>
        <w:pStyle w:val="ListParagraph"/>
        <w:widowControl/>
        <w:numPr>
          <w:ilvl w:val="0"/>
          <w:numId w:val="9"/>
        </w:numPr>
        <w:spacing w:after="200" w:line="276" w:lineRule="auto"/>
        <w:contextualSpacing/>
      </w:pPr>
      <w:r>
        <w:t>Range from $10,000 to $200,000, with an average of $65,000.</w:t>
      </w:r>
      <w:r>
        <w:rPr>
          <w:rStyle w:val="FootnoteReference"/>
        </w:rPr>
        <w:footnoteReference w:id="12"/>
      </w:r>
    </w:p>
    <w:p w:rsidR="0030533C" w:rsidRDefault="0030533C" w:rsidP="0030533C">
      <w:pPr>
        <w:pStyle w:val="ListParagraph"/>
        <w:widowControl/>
        <w:numPr>
          <w:ilvl w:val="0"/>
          <w:numId w:val="9"/>
        </w:numPr>
        <w:spacing w:after="200" w:line="276" w:lineRule="auto"/>
        <w:contextualSpacing/>
      </w:pPr>
      <w:r>
        <w:t>Are not reduced to repay past Medicare expenses</w:t>
      </w:r>
      <w:r>
        <w:rPr>
          <w:rStyle w:val="FootnoteReference"/>
        </w:rPr>
        <w:footnoteReference w:id="13"/>
      </w:r>
    </w:p>
    <w:p w:rsidR="0030533C" w:rsidRDefault="0030533C" w:rsidP="0030533C">
      <w:pPr>
        <w:pStyle w:val="ListParagraph"/>
        <w:widowControl/>
        <w:numPr>
          <w:ilvl w:val="0"/>
          <w:numId w:val="9"/>
        </w:numPr>
        <w:spacing w:after="200" w:line="276" w:lineRule="auto"/>
        <w:contextualSpacing/>
      </w:pPr>
      <w:r>
        <w:t>Are not treated as income for the purposes of social security asset and income tests, or tax law</w:t>
      </w:r>
      <w:r>
        <w:rPr>
          <w:rStyle w:val="FootnoteReference"/>
        </w:rPr>
        <w:footnoteReference w:id="14"/>
      </w:r>
    </w:p>
    <w:p w:rsidR="0030533C" w:rsidRDefault="0030533C" w:rsidP="0030533C">
      <w:pPr>
        <w:pStyle w:val="ListParagraph"/>
        <w:widowControl/>
        <w:numPr>
          <w:ilvl w:val="0"/>
          <w:numId w:val="9"/>
        </w:numPr>
        <w:spacing w:after="200" w:line="276" w:lineRule="auto"/>
        <w:contextualSpacing/>
      </w:pPr>
      <w:r>
        <w:t>Take into account payments survivors may have already received under existing schemes:</w:t>
      </w:r>
    </w:p>
    <w:p w:rsidR="0030533C" w:rsidRDefault="0030533C" w:rsidP="0030533C">
      <w:pPr>
        <w:pStyle w:val="ListParagraph"/>
        <w:widowControl/>
        <w:numPr>
          <w:ilvl w:val="1"/>
          <w:numId w:val="9"/>
        </w:numPr>
        <w:spacing w:after="200" w:line="276" w:lineRule="auto"/>
        <w:contextualSpacing/>
      </w:pPr>
      <w:r>
        <w:t xml:space="preserve">Already received payments should be treated on a gross basis, </w:t>
      </w:r>
    </w:p>
    <w:p w:rsidR="0030533C" w:rsidRDefault="0030533C" w:rsidP="0030533C">
      <w:pPr>
        <w:pStyle w:val="ListParagraph"/>
        <w:widowControl/>
        <w:numPr>
          <w:ilvl w:val="1"/>
          <w:numId w:val="9"/>
        </w:numPr>
        <w:spacing w:after="200" w:line="276" w:lineRule="auto"/>
        <w:contextualSpacing/>
      </w:pPr>
      <w:r>
        <w:t>Without any account of support services provided</w:t>
      </w:r>
      <w:r>
        <w:rPr>
          <w:rStyle w:val="FootnoteReference"/>
        </w:rPr>
        <w:footnoteReference w:id="15"/>
      </w:r>
    </w:p>
    <w:p w:rsidR="0030533C" w:rsidRDefault="0030533C" w:rsidP="0030533C">
      <w:pPr>
        <w:contextualSpacing/>
      </w:pPr>
    </w:p>
    <w:p w:rsidR="0030533C" w:rsidRDefault="0030533C" w:rsidP="0030533C">
      <w:pPr>
        <w:pStyle w:val="Heading1"/>
      </w:pPr>
      <w:r>
        <w:t>Counselling and psychological care</w:t>
      </w:r>
    </w:p>
    <w:p w:rsidR="0030533C" w:rsidRDefault="0030533C" w:rsidP="0030533C">
      <w:r>
        <w:t>This component of the policy costing includes the following items:</w:t>
      </w:r>
    </w:p>
    <w:p w:rsidR="0030533C" w:rsidRDefault="0030533C" w:rsidP="0030533C">
      <w:r>
        <w:t>A set amount [$</w:t>
      </w:r>
      <w:r w:rsidRPr="002506F6">
        <w:t>4 million</w:t>
      </w:r>
      <w:r>
        <w:t>] for the Australian Psychological Society to develop a public register of ‘to enable identification of practitioners with appropriate capabilities to work with clients with complex trauma’</w:t>
      </w:r>
      <w:r>
        <w:rPr>
          <w:rStyle w:val="FootnoteReference"/>
        </w:rPr>
        <w:footnoteReference w:id="16"/>
      </w:r>
      <w:r>
        <w:t xml:space="preserve"> </w:t>
      </w:r>
    </w:p>
    <w:p w:rsidR="0030533C" w:rsidRDefault="0030533C" w:rsidP="0030533C">
      <w:r>
        <w:t>Changes to Medicare to:</w:t>
      </w:r>
    </w:p>
    <w:p w:rsidR="0030533C" w:rsidRDefault="0030533C" w:rsidP="0030533C">
      <w:pPr>
        <w:pStyle w:val="ListParagraph"/>
        <w:widowControl/>
        <w:numPr>
          <w:ilvl w:val="0"/>
          <w:numId w:val="10"/>
        </w:numPr>
        <w:spacing w:after="200" w:line="276" w:lineRule="auto"/>
        <w:contextualSpacing/>
      </w:pPr>
      <w:r>
        <w:t>Remove any restrictions on the number of sessions available under Medicare for survivors assessed as eligible for redress under a redress scheme</w:t>
      </w:r>
      <w:r>
        <w:rPr>
          <w:rStyle w:val="FootnoteReference"/>
        </w:rPr>
        <w:footnoteReference w:id="17"/>
      </w:r>
    </w:p>
    <w:p w:rsidR="0030533C" w:rsidRDefault="0030533C" w:rsidP="0030533C">
      <w:pPr>
        <w:pStyle w:val="ListParagraph"/>
        <w:widowControl/>
        <w:numPr>
          <w:ilvl w:val="0"/>
          <w:numId w:val="10"/>
        </w:numPr>
        <w:spacing w:after="200" w:line="276" w:lineRule="auto"/>
        <w:contextualSpacing/>
      </w:pPr>
      <w:r>
        <w:t>‘Expand the range of counselling and psychological care services for which Medicare funding which is available for survivors who are assessed as eligible … to include longer-term interventions that are suitable for treating complex trauma, including through non-cognitive approaches’</w:t>
      </w:r>
      <w:r>
        <w:rPr>
          <w:rStyle w:val="FootnoteReference"/>
        </w:rPr>
        <w:footnoteReference w:id="18"/>
      </w:r>
    </w:p>
    <w:p w:rsidR="0030533C" w:rsidRDefault="0030533C" w:rsidP="0030533C">
      <w:pPr>
        <w:pStyle w:val="ListParagraph"/>
        <w:widowControl/>
        <w:numPr>
          <w:ilvl w:val="0"/>
          <w:numId w:val="10"/>
        </w:numPr>
        <w:spacing w:after="200" w:line="276" w:lineRule="auto"/>
        <w:contextualSpacing/>
      </w:pPr>
      <w:r>
        <w:t>Measures to improve survivors’ access to Medicare by providing:</w:t>
      </w:r>
    </w:p>
    <w:p w:rsidR="0030533C" w:rsidRDefault="0030533C" w:rsidP="0030533C">
      <w:pPr>
        <w:pStyle w:val="ListParagraph"/>
        <w:widowControl/>
        <w:numPr>
          <w:ilvl w:val="1"/>
          <w:numId w:val="10"/>
        </w:numPr>
        <w:spacing w:after="200" w:line="276" w:lineRule="auto"/>
        <w:contextualSpacing/>
      </w:pPr>
      <w:r>
        <w:t>‘Funding case management style support to help survivors to understand what is available’</w:t>
      </w:r>
      <w:r>
        <w:rPr>
          <w:rStyle w:val="FootnoteReference"/>
        </w:rPr>
        <w:footnoteReference w:id="19"/>
      </w:r>
    </w:p>
    <w:p w:rsidR="0030533C" w:rsidRDefault="0030533C" w:rsidP="0030533C">
      <w:pPr>
        <w:pStyle w:val="ListParagraph"/>
        <w:widowControl/>
        <w:numPr>
          <w:ilvl w:val="1"/>
          <w:numId w:val="10"/>
        </w:numPr>
        <w:spacing w:after="200" w:line="276" w:lineRule="auto"/>
        <w:contextualSpacing/>
      </w:pPr>
      <w:r>
        <w:lastRenderedPageBreak/>
        <w:t>Maintaining a list of appropriate GPs</w:t>
      </w:r>
      <w:r>
        <w:rPr>
          <w:rStyle w:val="FootnoteReference"/>
        </w:rPr>
        <w:footnoteReference w:id="20"/>
      </w:r>
    </w:p>
    <w:p w:rsidR="0030533C" w:rsidRDefault="0030533C" w:rsidP="0030533C">
      <w:pPr>
        <w:pStyle w:val="ListParagraph"/>
        <w:widowControl/>
        <w:numPr>
          <w:ilvl w:val="0"/>
          <w:numId w:val="10"/>
        </w:numPr>
        <w:spacing w:after="200" w:line="276" w:lineRule="auto"/>
        <w:contextualSpacing/>
      </w:pPr>
      <w:r>
        <w:t>Additional funding for existing services – capped amount of $20 million</w:t>
      </w:r>
      <w:r>
        <w:rPr>
          <w:rStyle w:val="FootnoteReference"/>
        </w:rPr>
        <w:footnoteReference w:id="21"/>
      </w:r>
    </w:p>
    <w:p w:rsidR="0030533C" w:rsidRDefault="0030533C" w:rsidP="0030533C">
      <w:pPr>
        <w:pStyle w:val="ListParagraph"/>
        <w:widowControl/>
        <w:numPr>
          <w:ilvl w:val="0"/>
          <w:numId w:val="10"/>
        </w:numPr>
        <w:spacing w:after="200" w:line="276" w:lineRule="auto"/>
        <w:contextualSpacing/>
      </w:pPr>
      <w:r>
        <w:t>Funding for practitioners who have not had the necessary training or experience to work with Aboriginal and Torres Strait Islander survivors – capped amount of $2 million</w:t>
      </w:r>
      <w:r>
        <w:rPr>
          <w:rStyle w:val="FootnoteReference"/>
        </w:rPr>
        <w:footnoteReference w:id="22"/>
      </w:r>
    </w:p>
    <w:p w:rsidR="0030533C" w:rsidRDefault="0030533C" w:rsidP="0030533C">
      <w:pPr>
        <w:pStyle w:val="ListParagraph"/>
        <w:widowControl/>
        <w:numPr>
          <w:ilvl w:val="0"/>
          <w:numId w:val="10"/>
        </w:numPr>
        <w:spacing w:after="200" w:line="276" w:lineRule="auto"/>
        <w:contextualSpacing/>
      </w:pPr>
      <w:r>
        <w:t>Funding for rural and remote practitioners, or Aboriginal and Torres Strait Islander practitioners, to undertake necessary training in working with survivors – capped amount of $2 million</w:t>
      </w:r>
      <w:r>
        <w:rPr>
          <w:rStyle w:val="FootnoteReference"/>
        </w:rPr>
        <w:footnoteReference w:id="23"/>
      </w:r>
    </w:p>
    <w:p w:rsidR="0030533C" w:rsidRDefault="0030533C" w:rsidP="0030533C">
      <w:pPr>
        <w:pStyle w:val="ListParagraph"/>
        <w:widowControl/>
        <w:numPr>
          <w:ilvl w:val="0"/>
          <w:numId w:val="10"/>
        </w:numPr>
        <w:spacing w:after="200" w:line="276" w:lineRule="auto"/>
        <w:contextualSpacing/>
      </w:pPr>
      <w:r>
        <w:t>Funding for service provision to regional and remote communities – capped amount of $5 million</w:t>
      </w:r>
      <w:r>
        <w:rPr>
          <w:rStyle w:val="FootnoteReference"/>
        </w:rPr>
        <w:footnoteReference w:id="24"/>
      </w:r>
    </w:p>
    <w:p w:rsidR="0030533C" w:rsidRDefault="0030533C" w:rsidP="0030533C">
      <w:pPr>
        <w:pStyle w:val="ListParagraph"/>
        <w:widowControl/>
        <w:numPr>
          <w:ilvl w:val="0"/>
          <w:numId w:val="10"/>
        </w:numPr>
        <w:spacing w:after="200" w:line="276" w:lineRule="auto"/>
        <w:contextualSpacing/>
      </w:pPr>
      <w:r>
        <w:t>Additional funding for survivors’ needs not otherwise covered – capped amount of $30 million</w:t>
      </w:r>
      <w:r>
        <w:rPr>
          <w:rStyle w:val="FootnoteReference"/>
        </w:rPr>
        <w:footnoteReference w:id="25"/>
      </w:r>
    </w:p>
    <w:p w:rsidR="0030533C" w:rsidRDefault="0030533C" w:rsidP="0030533C">
      <w:pPr>
        <w:pStyle w:val="ListParagraph"/>
        <w:widowControl/>
        <w:numPr>
          <w:ilvl w:val="0"/>
          <w:numId w:val="10"/>
        </w:numPr>
        <w:spacing w:after="200" w:line="276" w:lineRule="auto"/>
        <w:contextualSpacing/>
      </w:pPr>
      <w:r>
        <w:t>A limited number of counselling sessions for family members of survivors if reasonably required</w:t>
      </w:r>
      <w:r>
        <w:rPr>
          <w:rStyle w:val="FootnoteReference"/>
        </w:rPr>
        <w:footnoteReference w:id="26"/>
      </w:r>
    </w:p>
    <w:p w:rsidR="0030533C" w:rsidRDefault="0030533C" w:rsidP="0030533C">
      <w:proofErr w:type="gramStart"/>
      <w:r>
        <w:t>The establishment of a trust fund to receive the funding for counselling and psychological care, and distribute it.</w:t>
      </w:r>
      <w:proofErr w:type="gramEnd"/>
      <w:r>
        <w:rPr>
          <w:rStyle w:val="FootnoteReference"/>
        </w:rPr>
        <w:footnoteReference w:id="27"/>
      </w:r>
    </w:p>
    <w:p w:rsidR="0030533C" w:rsidRDefault="0030533C" w:rsidP="0030533C">
      <w:pPr>
        <w:pStyle w:val="Heading1"/>
      </w:pPr>
      <w:r>
        <w:t xml:space="preserve">Funding the scheme </w:t>
      </w:r>
    </w:p>
    <w:p w:rsidR="0030533C" w:rsidRDefault="0030533C" w:rsidP="0030533C">
      <w:r>
        <w:t xml:space="preserve">As per the Commission’s recommendations, the cost of redress should be: </w:t>
      </w:r>
    </w:p>
    <w:p w:rsidR="0030533C" w:rsidRDefault="0030533C" w:rsidP="0030533C">
      <w:pPr>
        <w:pStyle w:val="ListParagraph"/>
        <w:widowControl/>
        <w:numPr>
          <w:ilvl w:val="0"/>
          <w:numId w:val="8"/>
        </w:numPr>
        <w:spacing w:after="200" w:line="276" w:lineRule="auto"/>
        <w:contextualSpacing/>
      </w:pPr>
      <w:r>
        <w:t>A proportionate share of administration costs</w:t>
      </w:r>
    </w:p>
    <w:p w:rsidR="0030533C" w:rsidRDefault="0030533C" w:rsidP="0030533C">
      <w:pPr>
        <w:pStyle w:val="ListParagraph"/>
        <w:widowControl/>
        <w:numPr>
          <w:ilvl w:val="0"/>
          <w:numId w:val="8"/>
        </w:numPr>
        <w:spacing w:after="200" w:line="276" w:lineRule="auto"/>
        <w:contextualSpacing/>
      </w:pPr>
      <w:r>
        <w:t>Counselling and psychological care</w:t>
      </w:r>
    </w:p>
    <w:p w:rsidR="0030533C" w:rsidRDefault="0030533C" w:rsidP="0030533C">
      <w:pPr>
        <w:pStyle w:val="ListParagraph"/>
        <w:widowControl/>
        <w:numPr>
          <w:ilvl w:val="0"/>
          <w:numId w:val="8"/>
        </w:numPr>
        <w:spacing w:after="200" w:line="276" w:lineRule="auto"/>
        <w:contextualSpacing/>
      </w:pPr>
      <w:r>
        <w:t>Monetary payments</w:t>
      </w:r>
      <w:r>
        <w:rPr>
          <w:rStyle w:val="FootnoteReference"/>
        </w:rPr>
        <w:footnoteReference w:id="28"/>
      </w:r>
    </w:p>
    <w:p w:rsidR="0030533C" w:rsidRDefault="0030533C" w:rsidP="0030533C">
      <w:r>
        <w:t>Responsibility for the cost of redress should primarily be allocated to the relevant institutions.</w:t>
      </w:r>
      <w:r>
        <w:rPr>
          <w:rStyle w:val="FootnoteReference"/>
        </w:rPr>
        <w:footnoteReference w:id="29"/>
      </w:r>
      <w:r>
        <w:t xml:space="preserve"> Where this is not possible, the Commonwealth and state and territory governments should share responsibility as funders of last resort.</w:t>
      </w:r>
      <w:r>
        <w:rPr>
          <w:rStyle w:val="FootnoteReference"/>
        </w:rPr>
        <w:footnoteReference w:id="30"/>
      </w:r>
    </w:p>
    <w:p w:rsidR="0030533C" w:rsidRDefault="0030533C" w:rsidP="0030533C">
      <w:pPr>
        <w:spacing w:after="200" w:line="276" w:lineRule="auto"/>
        <w:contextualSpacing/>
      </w:pPr>
      <w:r>
        <w:t>Please cost on the assumption that the Commonwealth provides 50 per cent of the funding required for funding of last resort, with the remainder provided by relevant State and Territory governments.</w:t>
      </w:r>
    </w:p>
    <w:p w:rsidR="0030533C" w:rsidRDefault="0030533C" w:rsidP="0030533C">
      <w:pPr>
        <w:pStyle w:val="Heading1"/>
      </w:pPr>
      <w:r>
        <w:t>Costs estimates by the Royal Commission</w:t>
      </w:r>
    </w:p>
    <w:p w:rsidR="0030533C" w:rsidRPr="006B65F3" w:rsidRDefault="0030533C" w:rsidP="0030533C">
      <w:pPr>
        <w:rPr>
          <w:color w:val="1F497D"/>
        </w:rPr>
      </w:pPr>
      <w:r>
        <w:t xml:space="preserve">The Royal Commission provided cost estimates in its report, including scenarios in which Governments (not disaggregated between Commonwealth and state/territory governments) assume a role as funders of last resort. </w:t>
      </w:r>
      <w:hyperlink r:id="rId14" w:history="1">
        <w:r w:rsidRPr="006B65F3">
          <w:rPr>
            <w:rStyle w:val="Hyperlink"/>
          </w:rPr>
          <w:t>http://www.childabuseroyalcommission.gov.au/getattachment/743dbe01-eb40-4ecb-8b82-29fcf00b8f43/Final-report-Redress-and-civil-litigation</w:t>
        </w:r>
      </w:hyperlink>
      <w:r w:rsidRPr="006B65F3">
        <w:rPr>
          <w:color w:val="1F497D"/>
        </w:rPr>
        <w:t xml:space="preserve"> </w:t>
      </w:r>
    </w:p>
    <w:p w:rsidR="0030533C" w:rsidRDefault="0030533C" w:rsidP="00C51E41">
      <w:pPr>
        <w:pStyle w:val="BodyText"/>
        <w:tabs>
          <w:tab w:val="left" w:pos="383"/>
        </w:tabs>
        <w:spacing w:before="240"/>
      </w:pPr>
      <w:r w:rsidRPr="0030533C">
        <w:t>The full chapter dealing with costs is p. 310-345, with summaries (total costs) on p. 330 (no funder of last resort role), and p. 340 (funders of last resort role)</w:t>
      </w:r>
      <w:bookmarkStart w:id="0" w:name="_GoBack"/>
      <w:bookmarkEnd w:id="0"/>
    </w:p>
    <w:sectPr w:rsidR="0030533C" w:rsidSect="00BC559C">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98F" w:rsidRDefault="00BD498F" w:rsidP="008F588A">
      <w:pPr>
        <w:spacing w:line="240" w:lineRule="auto"/>
      </w:pPr>
      <w:r>
        <w:separator/>
      </w:r>
    </w:p>
  </w:endnote>
  <w:endnote w:type="continuationSeparator" w:id="0">
    <w:p w:rsidR="00BD498F" w:rsidRDefault="00BD498F"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7D" w:rsidRDefault="000B2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CellMar>
        <w:left w:w="0" w:type="dxa"/>
        <w:right w:w="0" w:type="dxa"/>
      </w:tblCellMar>
      <w:tblLook w:val="04A0" w:firstRow="1" w:lastRow="0" w:firstColumn="1" w:lastColumn="0" w:noHBand="0" w:noVBand="1"/>
    </w:tblPr>
    <w:tblGrid>
      <w:gridCol w:w="8080"/>
      <w:gridCol w:w="2410"/>
    </w:tblGrid>
    <w:tr w:rsidR="008F588A" w:rsidRPr="0021706F" w:rsidTr="0021706F">
      <w:tc>
        <w:tcPr>
          <w:tcW w:w="8080" w:type="dxa"/>
          <w:shd w:val="clear" w:color="auto" w:fill="auto"/>
        </w:tcPr>
        <w:p w:rsidR="008F588A" w:rsidRPr="0021706F" w:rsidRDefault="008F588A" w:rsidP="0021706F">
          <w:pPr>
            <w:pStyle w:val="Footer"/>
            <w:spacing w:before="180" w:after="60"/>
            <w:rPr>
              <w:rFonts w:eastAsia="Times New Roman"/>
              <w:b/>
              <w:sz w:val="20"/>
              <w:lang w:eastAsia="en-AU"/>
            </w:rPr>
          </w:pPr>
        </w:p>
      </w:tc>
      <w:tc>
        <w:tcPr>
          <w:tcW w:w="2410" w:type="dxa"/>
          <w:shd w:val="clear" w:color="auto" w:fill="auto"/>
        </w:tcPr>
        <w:p w:rsidR="008F588A" w:rsidRPr="0021706F" w:rsidRDefault="008F588A" w:rsidP="0021706F">
          <w:pPr>
            <w:pStyle w:val="Footer"/>
            <w:spacing w:before="180" w:after="60"/>
            <w:jc w:val="right"/>
            <w:rPr>
              <w:rFonts w:eastAsia="Times New Roman"/>
              <w:b/>
              <w:color w:val="788184"/>
              <w:sz w:val="20"/>
              <w:lang w:eastAsia="en-AU"/>
            </w:rPr>
          </w:pPr>
          <w:r w:rsidRPr="0021706F">
            <w:rPr>
              <w:rFonts w:eastAsia="Times New Roman"/>
              <w:b/>
              <w:color w:val="788184"/>
              <w:sz w:val="20"/>
              <w:szCs w:val="20"/>
              <w:lang w:eastAsia="en-AU"/>
            </w:rPr>
            <w:t xml:space="preserve">Page </w:t>
          </w:r>
          <w:r w:rsidRPr="0021706F">
            <w:rPr>
              <w:rFonts w:eastAsia="Times New Roman"/>
              <w:b/>
              <w:color w:val="788184"/>
              <w:sz w:val="20"/>
              <w:szCs w:val="20"/>
              <w:lang w:eastAsia="en-AU"/>
            </w:rPr>
            <w:fldChar w:fldCharType="begin"/>
          </w:r>
          <w:r w:rsidRPr="0021706F">
            <w:rPr>
              <w:rFonts w:eastAsia="Times New Roman"/>
              <w:b/>
              <w:color w:val="788184"/>
              <w:sz w:val="20"/>
              <w:szCs w:val="20"/>
              <w:lang w:eastAsia="en-AU"/>
            </w:rPr>
            <w:instrText xml:space="preserve"> PAGE  \* Arabic  \* MERGEFORMAT </w:instrText>
          </w:r>
          <w:r w:rsidRPr="0021706F">
            <w:rPr>
              <w:rFonts w:eastAsia="Times New Roman"/>
              <w:b/>
              <w:color w:val="788184"/>
              <w:sz w:val="20"/>
              <w:szCs w:val="20"/>
              <w:lang w:eastAsia="en-AU"/>
            </w:rPr>
            <w:fldChar w:fldCharType="separate"/>
          </w:r>
          <w:r w:rsidR="00D73C06">
            <w:rPr>
              <w:rFonts w:eastAsia="Times New Roman"/>
              <w:b/>
              <w:noProof/>
              <w:color w:val="788184"/>
              <w:sz w:val="20"/>
              <w:szCs w:val="20"/>
              <w:lang w:eastAsia="en-AU"/>
            </w:rPr>
            <w:t>6</w:t>
          </w:r>
          <w:r w:rsidRPr="0021706F">
            <w:rPr>
              <w:rFonts w:eastAsia="Times New Roman"/>
              <w:b/>
              <w:color w:val="788184"/>
              <w:sz w:val="20"/>
              <w:szCs w:val="20"/>
              <w:lang w:eastAsia="en-AU"/>
            </w:rPr>
            <w:fldChar w:fldCharType="end"/>
          </w:r>
          <w:r w:rsidRPr="0021706F">
            <w:rPr>
              <w:rFonts w:eastAsia="Times New Roman"/>
              <w:b/>
              <w:color w:val="788184"/>
              <w:sz w:val="20"/>
              <w:szCs w:val="20"/>
              <w:lang w:eastAsia="en-AU"/>
            </w:rPr>
            <w:t xml:space="preserve"> of </w:t>
          </w:r>
          <w:r w:rsidRPr="0021706F">
            <w:rPr>
              <w:rFonts w:eastAsia="Times New Roman"/>
              <w:b/>
              <w:color w:val="788184"/>
              <w:sz w:val="20"/>
              <w:szCs w:val="20"/>
              <w:lang w:eastAsia="en-AU"/>
            </w:rPr>
            <w:fldChar w:fldCharType="begin"/>
          </w:r>
          <w:r w:rsidRPr="0021706F">
            <w:rPr>
              <w:rFonts w:eastAsia="Times New Roman"/>
              <w:b/>
              <w:color w:val="788184"/>
              <w:sz w:val="20"/>
              <w:szCs w:val="20"/>
              <w:lang w:eastAsia="en-AU"/>
            </w:rPr>
            <w:instrText xml:space="preserve"> NUMPAGES  \* Arabic  \* MERGEFORMAT </w:instrText>
          </w:r>
          <w:r w:rsidRPr="0021706F">
            <w:rPr>
              <w:rFonts w:eastAsia="Times New Roman"/>
              <w:b/>
              <w:color w:val="788184"/>
              <w:sz w:val="20"/>
              <w:szCs w:val="20"/>
              <w:lang w:eastAsia="en-AU"/>
            </w:rPr>
            <w:fldChar w:fldCharType="separate"/>
          </w:r>
          <w:r w:rsidR="00D73C06">
            <w:rPr>
              <w:rFonts w:eastAsia="Times New Roman"/>
              <w:b/>
              <w:noProof/>
              <w:color w:val="788184"/>
              <w:sz w:val="20"/>
              <w:szCs w:val="20"/>
              <w:lang w:eastAsia="en-AU"/>
            </w:rPr>
            <w:t>6</w:t>
          </w:r>
          <w:r w:rsidRPr="0021706F">
            <w:rPr>
              <w:rFonts w:eastAsia="Times New Roman"/>
              <w:b/>
              <w:color w:val="788184"/>
              <w:sz w:val="20"/>
              <w:szCs w:val="20"/>
              <w:lang w:eastAsia="en-AU"/>
            </w:rPr>
            <w:fldChar w:fldCharType="end"/>
          </w:r>
        </w:p>
      </w:tc>
    </w:tr>
  </w:tbl>
  <w:p w:rsidR="008F588A" w:rsidRPr="00CB40E1" w:rsidRDefault="008F588A" w:rsidP="008F588A">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CellMar>
        <w:left w:w="0" w:type="dxa"/>
        <w:right w:w="0" w:type="dxa"/>
      </w:tblCellMar>
      <w:tblLook w:val="04A0" w:firstRow="1" w:lastRow="0" w:firstColumn="1" w:lastColumn="0" w:noHBand="0" w:noVBand="1"/>
    </w:tblPr>
    <w:tblGrid>
      <w:gridCol w:w="8080"/>
      <w:gridCol w:w="2410"/>
    </w:tblGrid>
    <w:tr w:rsidR="008F588A" w:rsidRPr="0021706F" w:rsidTr="0021706F">
      <w:tc>
        <w:tcPr>
          <w:tcW w:w="8080" w:type="dxa"/>
          <w:shd w:val="clear" w:color="auto" w:fill="auto"/>
        </w:tcPr>
        <w:p w:rsidR="008F588A" w:rsidRPr="0021706F" w:rsidRDefault="00CF6DB6" w:rsidP="0021706F">
          <w:pPr>
            <w:pStyle w:val="Footer"/>
            <w:spacing w:before="180" w:after="60"/>
            <w:rPr>
              <w:rFonts w:eastAsia="Times New Roman"/>
              <w:b/>
              <w:sz w:val="20"/>
              <w:lang w:eastAsia="en-AU"/>
            </w:rPr>
          </w:pPr>
          <w:r w:rsidRPr="0021706F">
            <w:rPr>
              <w:rFonts w:eastAsia="Times New Roman"/>
              <w:b/>
              <w:color w:val="788184"/>
              <w:sz w:val="20"/>
              <w:szCs w:val="20"/>
              <w:lang w:eastAsia="en-AU"/>
            </w:rPr>
            <w:t xml:space="preserve">Parliamentary Budget Office   </w:t>
          </w:r>
          <w:r w:rsidR="008F588A" w:rsidRPr="0021706F">
            <w:rPr>
              <w:rFonts w:eastAsia="Times New Roman"/>
              <w:b/>
              <w:color w:val="788184"/>
              <w:sz w:val="20"/>
              <w:szCs w:val="20"/>
              <w:lang w:eastAsia="en-AU"/>
            </w:rPr>
            <w:t>PO Box 6010</w:t>
          </w:r>
          <w:r w:rsidRPr="0021706F">
            <w:rPr>
              <w:rFonts w:eastAsia="Times New Roman"/>
              <w:b/>
              <w:color w:val="788184"/>
              <w:sz w:val="20"/>
              <w:szCs w:val="20"/>
              <w:lang w:eastAsia="en-AU"/>
            </w:rPr>
            <w:t xml:space="preserve"> </w:t>
          </w:r>
          <w:r w:rsidR="008F588A" w:rsidRPr="0021706F">
            <w:rPr>
              <w:rFonts w:eastAsia="Times New Roman"/>
              <w:b/>
              <w:color w:val="788184"/>
              <w:sz w:val="20"/>
              <w:szCs w:val="20"/>
              <w:lang w:eastAsia="en-AU"/>
            </w:rPr>
            <w:t xml:space="preserve">  Parliament House </w:t>
          </w:r>
          <w:r w:rsidRPr="0021706F">
            <w:rPr>
              <w:rFonts w:eastAsia="Times New Roman"/>
              <w:b/>
              <w:color w:val="788184"/>
              <w:sz w:val="20"/>
              <w:szCs w:val="20"/>
              <w:lang w:eastAsia="en-AU"/>
            </w:rPr>
            <w:t xml:space="preserve"> </w:t>
          </w:r>
          <w:r w:rsidR="008F588A" w:rsidRPr="0021706F">
            <w:rPr>
              <w:rFonts w:eastAsia="Times New Roman"/>
              <w:b/>
              <w:color w:val="788184"/>
              <w:sz w:val="20"/>
              <w:szCs w:val="20"/>
              <w:lang w:eastAsia="en-AU"/>
            </w:rPr>
            <w:t xml:space="preserve"> Canberra ACT 2600</w:t>
          </w:r>
          <w:r w:rsidRPr="0021706F">
            <w:rPr>
              <w:rFonts w:eastAsia="Times New Roman"/>
              <w:b/>
              <w:color w:val="788184"/>
              <w:sz w:val="20"/>
              <w:szCs w:val="20"/>
              <w:lang w:eastAsia="en-AU"/>
            </w:rPr>
            <w:br/>
            <w:t xml:space="preserve">Tel: 02 6277 9500   Email: pbo@pbo.gov.au   </w:t>
          </w:r>
          <w:r w:rsidR="008F588A" w:rsidRPr="0021706F">
            <w:rPr>
              <w:rFonts w:eastAsia="Times New Roman"/>
              <w:b/>
              <w:color w:val="788184"/>
              <w:sz w:val="20"/>
              <w:szCs w:val="20"/>
              <w:lang w:eastAsia="en-AU"/>
            </w:rPr>
            <w:t>Web: www.pbo.gov.au</w:t>
          </w:r>
        </w:p>
      </w:tc>
      <w:tc>
        <w:tcPr>
          <w:tcW w:w="2410" w:type="dxa"/>
          <w:shd w:val="clear" w:color="auto" w:fill="auto"/>
          <w:vAlign w:val="center"/>
        </w:tcPr>
        <w:p w:rsidR="008F588A" w:rsidRPr="0021706F" w:rsidRDefault="008F588A" w:rsidP="0021706F">
          <w:pPr>
            <w:pStyle w:val="Footer"/>
            <w:spacing w:before="180" w:after="60"/>
            <w:jc w:val="right"/>
            <w:rPr>
              <w:rFonts w:eastAsia="Times New Roman"/>
              <w:b/>
              <w:color w:val="788184"/>
              <w:sz w:val="20"/>
              <w:lang w:eastAsia="en-AU"/>
            </w:rPr>
          </w:pPr>
          <w:r w:rsidRPr="0021706F">
            <w:rPr>
              <w:rFonts w:eastAsia="Times New Roman"/>
              <w:b/>
              <w:color w:val="788184"/>
              <w:sz w:val="20"/>
              <w:szCs w:val="20"/>
              <w:lang w:eastAsia="en-AU"/>
            </w:rPr>
            <w:t xml:space="preserve">Page </w:t>
          </w:r>
          <w:r w:rsidRPr="0021706F">
            <w:rPr>
              <w:rFonts w:eastAsia="Times New Roman"/>
              <w:b/>
              <w:color w:val="788184"/>
              <w:sz w:val="20"/>
              <w:szCs w:val="20"/>
              <w:lang w:eastAsia="en-AU"/>
            </w:rPr>
            <w:fldChar w:fldCharType="begin"/>
          </w:r>
          <w:r w:rsidRPr="0021706F">
            <w:rPr>
              <w:rFonts w:eastAsia="Times New Roman"/>
              <w:b/>
              <w:color w:val="788184"/>
              <w:sz w:val="20"/>
              <w:szCs w:val="20"/>
              <w:lang w:eastAsia="en-AU"/>
            </w:rPr>
            <w:instrText xml:space="preserve"> PAGE  \* Arabic  \* MERGEFORMAT </w:instrText>
          </w:r>
          <w:r w:rsidRPr="0021706F">
            <w:rPr>
              <w:rFonts w:eastAsia="Times New Roman"/>
              <w:b/>
              <w:color w:val="788184"/>
              <w:sz w:val="20"/>
              <w:szCs w:val="20"/>
              <w:lang w:eastAsia="en-AU"/>
            </w:rPr>
            <w:fldChar w:fldCharType="separate"/>
          </w:r>
          <w:r w:rsidR="00D73C06">
            <w:rPr>
              <w:rFonts w:eastAsia="Times New Roman"/>
              <w:b/>
              <w:noProof/>
              <w:color w:val="788184"/>
              <w:sz w:val="20"/>
              <w:szCs w:val="20"/>
              <w:lang w:eastAsia="en-AU"/>
            </w:rPr>
            <w:t>1</w:t>
          </w:r>
          <w:r w:rsidRPr="0021706F">
            <w:rPr>
              <w:rFonts w:eastAsia="Times New Roman"/>
              <w:b/>
              <w:color w:val="788184"/>
              <w:sz w:val="20"/>
              <w:szCs w:val="20"/>
              <w:lang w:eastAsia="en-AU"/>
            </w:rPr>
            <w:fldChar w:fldCharType="end"/>
          </w:r>
          <w:r w:rsidRPr="0021706F">
            <w:rPr>
              <w:rFonts w:eastAsia="Times New Roman"/>
              <w:b/>
              <w:color w:val="788184"/>
              <w:sz w:val="20"/>
              <w:szCs w:val="20"/>
              <w:lang w:eastAsia="en-AU"/>
            </w:rPr>
            <w:t xml:space="preserve"> of </w:t>
          </w:r>
          <w:r w:rsidRPr="0021706F">
            <w:rPr>
              <w:rFonts w:eastAsia="Times New Roman"/>
              <w:b/>
              <w:color w:val="788184"/>
              <w:sz w:val="20"/>
              <w:szCs w:val="20"/>
              <w:lang w:eastAsia="en-AU"/>
            </w:rPr>
            <w:fldChar w:fldCharType="begin"/>
          </w:r>
          <w:r w:rsidRPr="0021706F">
            <w:rPr>
              <w:rFonts w:eastAsia="Times New Roman"/>
              <w:b/>
              <w:color w:val="788184"/>
              <w:sz w:val="20"/>
              <w:szCs w:val="20"/>
              <w:lang w:eastAsia="en-AU"/>
            </w:rPr>
            <w:instrText xml:space="preserve"> NUMPAGES  \* Arabic  \* MERGEFORMAT </w:instrText>
          </w:r>
          <w:r w:rsidRPr="0021706F">
            <w:rPr>
              <w:rFonts w:eastAsia="Times New Roman"/>
              <w:b/>
              <w:color w:val="788184"/>
              <w:sz w:val="20"/>
              <w:szCs w:val="20"/>
              <w:lang w:eastAsia="en-AU"/>
            </w:rPr>
            <w:fldChar w:fldCharType="separate"/>
          </w:r>
          <w:r w:rsidR="00D73C06">
            <w:rPr>
              <w:rFonts w:eastAsia="Times New Roman"/>
              <w:b/>
              <w:noProof/>
              <w:color w:val="788184"/>
              <w:sz w:val="20"/>
              <w:szCs w:val="20"/>
              <w:lang w:eastAsia="en-AU"/>
            </w:rPr>
            <w:t>6</w:t>
          </w:r>
          <w:r w:rsidRPr="0021706F">
            <w:rPr>
              <w:rFonts w:eastAsia="Times New Roman"/>
              <w:b/>
              <w:color w:val="788184"/>
              <w:sz w:val="20"/>
              <w:szCs w:val="20"/>
              <w:lang w:eastAsia="en-AU"/>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98F" w:rsidRDefault="00BD498F" w:rsidP="008F588A">
      <w:pPr>
        <w:spacing w:line="240" w:lineRule="auto"/>
      </w:pPr>
      <w:r>
        <w:separator/>
      </w:r>
    </w:p>
  </w:footnote>
  <w:footnote w:type="continuationSeparator" w:id="0">
    <w:p w:rsidR="00BD498F" w:rsidRDefault="00BD498F" w:rsidP="008F588A">
      <w:pPr>
        <w:spacing w:line="240" w:lineRule="auto"/>
      </w:pPr>
      <w:r>
        <w:continuationSeparator/>
      </w:r>
    </w:p>
  </w:footnote>
  <w:footnote w:id="1">
    <w:p w:rsidR="0030533C" w:rsidRDefault="0030533C" w:rsidP="0030533C">
      <w:pPr>
        <w:pStyle w:val="FootnoteText"/>
      </w:pPr>
      <w:r>
        <w:rPr>
          <w:rStyle w:val="FootnoteReference"/>
        </w:rPr>
        <w:footnoteRef/>
      </w:r>
      <w:r>
        <w:t xml:space="preserve"> Recommendation 2 </w:t>
      </w:r>
    </w:p>
  </w:footnote>
  <w:footnote w:id="2">
    <w:p w:rsidR="0030533C" w:rsidRDefault="0030533C" w:rsidP="0030533C">
      <w:pPr>
        <w:pStyle w:val="FootnoteText"/>
      </w:pPr>
      <w:r>
        <w:rPr>
          <w:rStyle w:val="FootnoteReference"/>
        </w:rPr>
        <w:footnoteRef/>
      </w:r>
      <w:r>
        <w:t xml:space="preserve"> 31</w:t>
      </w:r>
    </w:p>
  </w:footnote>
  <w:footnote w:id="3">
    <w:p w:rsidR="0030533C" w:rsidRDefault="0030533C" w:rsidP="0030533C">
      <w:pPr>
        <w:pStyle w:val="FootnoteText"/>
      </w:pPr>
      <w:r>
        <w:rPr>
          <w:rStyle w:val="FootnoteReference"/>
        </w:rPr>
        <w:footnoteRef/>
      </w:r>
      <w:r>
        <w:t xml:space="preserve"> 48</w:t>
      </w:r>
    </w:p>
  </w:footnote>
  <w:footnote w:id="4">
    <w:p w:rsidR="0030533C" w:rsidRDefault="0030533C" w:rsidP="0030533C">
      <w:pPr>
        <w:pStyle w:val="FootnoteText"/>
      </w:pPr>
      <w:r>
        <w:rPr>
          <w:rStyle w:val="FootnoteReference"/>
        </w:rPr>
        <w:footnoteRef/>
      </w:r>
      <w:r>
        <w:t xml:space="preserve"> 43-45, 47, 51-55.</w:t>
      </w:r>
    </w:p>
  </w:footnote>
  <w:footnote w:id="5">
    <w:p w:rsidR="0030533C" w:rsidRDefault="0030533C" w:rsidP="0030533C">
      <w:pPr>
        <w:pStyle w:val="FootnoteText"/>
      </w:pPr>
      <w:r>
        <w:rPr>
          <w:rStyle w:val="FootnoteReference"/>
        </w:rPr>
        <w:footnoteRef/>
      </w:r>
      <w:r>
        <w:t xml:space="preserve"> Note: Not as per recommendation 46 on civil litigation, </w:t>
      </w:r>
      <w:proofErr w:type="gramStart"/>
      <w:r>
        <w:t>which is a separate policy.</w:t>
      </w:r>
      <w:proofErr w:type="gramEnd"/>
    </w:p>
  </w:footnote>
  <w:footnote w:id="6">
    <w:p w:rsidR="0030533C" w:rsidRDefault="0030533C" w:rsidP="0030533C">
      <w:pPr>
        <w:pStyle w:val="FootnoteText"/>
      </w:pPr>
      <w:r>
        <w:rPr>
          <w:rStyle w:val="FootnoteReference"/>
        </w:rPr>
        <w:footnoteRef/>
      </w:r>
      <w:r>
        <w:t xml:space="preserve"> 32, 33</w:t>
      </w:r>
    </w:p>
  </w:footnote>
  <w:footnote w:id="7">
    <w:p w:rsidR="0030533C" w:rsidRDefault="0030533C" w:rsidP="0030533C">
      <w:pPr>
        <w:pStyle w:val="FootnoteText"/>
      </w:pPr>
      <w:r>
        <w:rPr>
          <w:rStyle w:val="FootnoteReference"/>
        </w:rPr>
        <w:footnoteRef/>
      </w:r>
      <w:r>
        <w:t xml:space="preserve"> 49, 50</w:t>
      </w:r>
    </w:p>
  </w:footnote>
  <w:footnote w:id="8">
    <w:p w:rsidR="0030533C" w:rsidRDefault="0030533C" w:rsidP="0030533C">
      <w:pPr>
        <w:pStyle w:val="FootnoteText"/>
      </w:pPr>
      <w:r>
        <w:rPr>
          <w:rStyle w:val="FootnoteReference"/>
        </w:rPr>
        <w:footnoteRef/>
      </w:r>
      <w:r>
        <w:t xml:space="preserve"> 69</w:t>
      </w:r>
    </w:p>
  </w:footnote>
  <w:footnote w:id="9">
    <w:p w:rsidR="0030533C" w:rsidRDefault="0030533C" w:rsidP="0030533C">
      <w:pPr>
        <w:pStyle w:val="FootnoteText"/>
      </w:pPr>
      <w:r>
        <w:rPr>
          <w:rStyle w:val="FootnoteReference"/>
        </w:rPr>
        <w:footnoteRef/>
      </w:r>
      <w:r>
        <w:t xml:space="preserve"> 61, 62</w:t>
      </w:r>
    </w:p>
  </w:footnote>
  <w:footnote w:id="10">
    <w:p w:rsidR="0030533C" w:rsidRDefault="0030533C" w:rsidP="0030533C">
      <w:pPr>
        <w:pStyle w:val="FootnoteText"/>
      </w:pPr>
      <w:r>
        <w:rPr>
          <w:rStyle w:val="FootnoteReference"/>
        </w:rPr>
        <w:footnoteRef/>
      </w:r>
      <w:r>
        <w:t xml:space="preserve"> 18 </w:t>
      </w:r>
    </w:p>
  </w:footnote>
  <w:footnote w:id="11">
    <w:p w:rsidR="0030533C" w:rsidRDefault="0030533C" w:rsidP="0030533C">
      <w:pPr>
        <w:pStyle w:val="FootnoteText"/>
      </w:pPr>
      <w:r>
        <w:rPr>
          <w:rStyle w:val="FootnoteReference"/>
        </w:rPr>
        <w:footnoteRef/>
      </w:r>
      <w:r>
        <w:t xml:space="preserve"> 26</w:t>
      </w:r>
    </w:p>
  </w:footnote>
  <w:footnote w:id="12">
    <w:p w:rsidR="0030533C" w:rsidRDefault="0030533C" w:rsidP="0030533C">
      <w:pPr>
        <w:pStyle w:val="FootnoteText"/>
      </w:pPr>
      <w:r>
        <w:rPr>
          <w:rStyle w:val="FootnoteReference"/>
        </w:rPr>
        <w:footnoteRef/>
      </w:r>
      <w:r>
        <w:t xml:space="preserve"> 19</w:t>
      </w:r>
    </w:p>
  </w:footnote>
  <w:footnote w:id="13">
    <w:p w:rsidR="0030533C" w:rsidRDefault="0030533C" w:rsidP="0030533C">
      <w:pPr>
        <w:pStyle w:val="FootnoteText"/>
      </w:pPr>
      <w:r>
        <w:rPr>
          <w:rStyle w:val="FootnoteReference"/>
        </w:rPr>
        <w:footnoteRef/>
      </w:r>
      <w:r>
        <w:t xml:space="preserve"> 20</w:t>
      </w:r>
    </w:p>
  </w:footnote>
  <w:footnote w:id="14">
    <w:p w:rsidR="0030533C" w:rsidRDefault="0030533C" w:rsidP="0030533C">
      <w:pPr>
        <w:pStyle w:val="FootnoteText"/>
      </w:pPr>
      <w:r>
        <w:rPr>
          <w:rStyle w:val="FootnoteReference"/>
        </w:rPr>
        <w:footnoteRef/>
      </w:r>
      <w:r>
        <w:t xml:space="preserve"> 21</w:t>
      </w:r>
    </w:p>
  </w:footnote>
  <w:footnote w:id="15">
    <w:p w:rsidR="0030533C" w:rsidRDefault="0030533C" w:rsidP="0030533C">
      <w:pPr>
        <w:pStyle w:val="FootnoteText"/>
      </w:pPr>
      <w:r>
        <w:rPr>
          <w:rStyle w:val="FootnoteReference"/>
        </w:rPr>
        <w:footnoteRef/>
      </w:r>
      <w:r>
        <w:t xml:space="preserve"> 24</w:t>
      </w:r>
    </w:p>
  </w:footnote>
  <w:footnote w:id="16">
    <w:p w:rsidR="0030533C" w:rsidRDefault="0030533C" w:rsidP="0030533C">
      <w:pPr>
        <w:pStyle w:val="FootnoteText"/>
      </w:pPr>
      <w:r>
        <w:rPr>
          <w:rStyle w:val="FootnoteReference"/>
        </w:rPr>
        <w:footnoteRef/>
      </w:r>
      <w:r>
        <w:t xml:space="preserve"> Recommendation 10 a)</w:t>
      </w:r>
    </w:p>
  </w:footnote>
  <w:footnote w:id="17">
    <w:p w:rsidR="0030533C" w:rsidRDefault="0030533C" w:rsidP="0030533C">
      <w:pPr>
        <w:pStyle w:val="FootnoteText"/>
      </w:pPr>
      <w:r>
        <w:rPr>
          <w:rStyle w:val="FootnoteReference"/>
        </w:rPr>
        <w:footnoteRef/>
      </w:r>
      <w:r>
        <w:t xml:space="preserve"> Recommendation 12</w:t>
      </w:r>
    </w:p>
  </w:footnote>
  <w:footnote w:id="18">
    <w:p w:rsidR="0030533C" w:rsidRDefault="0030533C" w:rsidP="0030533C">
      <w:pPr>
        <w:pStyle w:val="FootnoteText"/>
      </w:pPr>
      <w:r>
        <w:rPr>
          <w:rStyle w:val="FootnoteReference"/>
        </w:rPr>
        <w:footnoteRef/>
      </w:r>
      <w:r>
        <w:t xml:space="preserve"> Recommendation 13</w:t>
      </w:r>
    </w:p>
  </w:footnote>
  <w:footnote w:id="19">
    <w:p w:rsidR="0030533C" w:rsidRDefault="0030533C" w:rsidP="0030533C">
      <w:pPr>
        <w:pStyle w:val="FootnoteText"/>
      </w:pPr>
      <w:r>
        <w:rPr>
          <w:rStyle w:val="FootnoteReference"/>
        </w:rPr>
        <w:footnoteRef/>
      </w:r>
      <w:r>
        <w:t xml:space="preserve"> Recommendation 14 a) </w:t>
      </w:r>
      <w:proofErr w:type="spellStart"/>
      <w:r>
        <w:t>i</w:t>
      </w:r>
      <w:proofErr w:type="spellEnd"/>
      <w:r>
        <w:t xml:space="preserve">) </w:t>
      </w:r>
    </w:p>
  </w:footnote>
  <w:footnote w:id="20">
    <w:p w:rsidR="0030533C" w:rsidRDefault="0030533C" w:rsidP="0030533C">
      <w:pPr>
        <w:pStyle w:val="FootnoteText"/>
      </w:pPr>
      <w:r>
        <w:rPr>
          <w:rStyle w:val="FootnoteReference"/>
        </w:rPr>
        <w:footnoteRef/>
      </w:r>
      <w:r>
        <w:t xml:space="preserve"> 14 a) ii) </w:t>
      </w:r>
    </w:p>
  </w:footnote>
  <w:footnote w:id="21">
    <w:p w:rsidR="0030533C" w:rsidRDefault="0030533C" w:rsidP="0030533C">
      <w:pPr>
        <w:pStyle w:val="FootnoteText"/>
      </w:pPr>
      <w:r>
        <w:rPr>
          <w:rStyle w:val="FootnoteReference"/>
        </w:rPr>
        <w:footnoteRef/>
      </w:r>
      <w:r>
        <w:t xml:space="preserve"> 14 b) </w:t>
      </w:r>
    </w:p>
  </w:footnote>
  <w:footnote w:id="22">
    <w:p w:rsidR="0030533C" w:rsidRDefault="0030533C" w:rsidP="0030533C">
      <w:pPr>
        <w:pStyle w:val="FootnoteText"/>
      </w:pPr>
      <w:r>
        <w:rPr>
          <w:rStyle w:val="FootnoteReference"/>
        </w:rPr>
        <w:footnoteRef/>
      </w:r>
      <w:r>
        <w:t xml:space="preserve"> 14 c) ii)</w:t>
      </w:r>
    </w:p>
  </w:footnote>
  <w:footnote w:id="23">
    <w:p w:rsidR="0030533C" w:rsidRDefault="0030533C" w:rsidP="0030533C">
      <w:pPr>
        <w:pStyle w:val="FootnoteText"/>
      </w:pPr>
      <w:r>
        <w:rPr>
          <w:rStyle w:val="FootnoteReference"/>
        </w:rPr>
        <w:footnoteRef/>
      </w:r>
      <w:r>
        <w:t xml:space="preserve"> 14 c) iii)</w:t>
      </w:r>
    </w:p>
  </w:footnote>
  <w:footnote w:id="24">
    <w:p w:rsidR="0030533C" w:rsidRDefault="0030533C" w:rsidP="0030533C">
      <w:pPr>
        <w:pStyle w:val="FootnoteText"/>
      </w:pPr>
      <w:r>
        <w:rPr>
          <w:rStyle w:val="FootnoteReference"/>
        </w:rPr>
        <w:footnoteRef/>
      </w:r>
      <w:r>
        <w:t xml:space="preserve"> 14 c) iv)</w:t>
      </w:r>
    </w:p>
  </w:footnote>
  <w:footnote w:id="25">
    <w:p w:rsidR="0030533C" w:rsidRDefault="0030533C" w:rsidP="0030533C">
      <w:pPr>
        <w:pStyle w:val="FootnoteText"/>
      </w:pPr>
      <w:r>
        <w:rPr>
          <w:rStyle w:val="FootnoteReference"/>
        </w:rPr>
        <w:footnoteRef/>
      </w:r>
      <w:r>
        <w:t xml:space="preserve"> 14 d)</w:t>
      </w:r>
    </w:p>
  </w:footnote>
  <w:footnote w:id="26">
    <w:p w:rsidR="0030533C" w:rsidRDefault="0030533C" w:rsidP="0030533C">
      <w:pPr>
        <w:pStyle w:val="FootnoteText"/>
      </w:pPr>
      <w:r>
        <w:rPr>
          <w:rStyle w:val="FootnoteReference"/>
        </w:rPr>
        <w:footnoteRef/>
      </w:r>
      <w:r>
        <w:t xml:space="preserve"> 68</w:t>
      </w:r>
    </w:p>
  </w:footnote>
  <w:footnote w:id="27">
    <w:p w:rsidR="0030533C" w:rsidRDefault="0030533C" w:rsidP="0030533C">
      <w:pPr>
        <w:pStyle w:val="FootnoteText"/>
      </w:pPr>
      <w:r>
        <w:rPr>
          <w:rStyle w:val="FootnoteReference"/>
        </w:rPr>
        <w:footnoteRef/>
      </w:r>
      <w:r>
        <w:t xml:space="preserve"> 40-42</w:t>
      </w:r>
    </w:p>
  </w:footnote>
  <w:footnote w:id="28">
    <w:p w:rsidR="0030533C" w:rsidRDefault="0030533C" w:rsidP="0030533C">
      <w:pPr>
        <w:pStyle w:val="FootnoteText"/>
      </w:pPr>
      <w:r>
        <w:rPr>
          <w:rStyle w:val="FootnoteReference"/>
        </w:rPr>
        <w:footnoteRef/>
      </w:r>
      <w:r>
        <w:t xml:space="preserve"> 34</w:t>
      </w:r>
    </w:p>
  </w:footnote>
  <w:footnote w:id="29">
    <w:p w:rsidR="0030533C" w:rsidRDefault="0030533C" w:rsidP="0030533C">
      <w:pPr>
        <w:pStyle w:val="FootnoteText"/>
      </w:pPr>
      <w:r>
        <w:rPr>
          <w:rStyle w:val="FootnoteReference"/>
        </w:rPr>
        <w:footnoteRef/>
      </w:r>
      <w:r>
        <w:t xml:space="preserve"> 35</w:t>
      </w:r>
    </w:p>
  </w:footnote>
  <w:footnote w:id="30">
    <w:p w:rsidR="0030533C" w:rsidRDefault="0030533C" w:rsidP="0030533C">
      <w:pPr>
        <w:pStyle w:val="FootnoteText"/>
      </w:pPr>
      <w:r>
        <w:rPr>
          <w:rStyle w:val="FootnoteReference"/>
        </w:rPr>
        <w:footnoteRef/>
      </w:r>
      <w:r>
        <w:t xml:space="preserve">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7D" w:rsidRDefault="000B2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65344" w:rsidP="00CB40E1">
    <w:pPr>
      <w:pStyle w:val="Header"/>
    </w:pPr>
    <w:r>
      <w:rPr>
        <w:noProof/>
        <w:lang w:eastAsia="en-AU"/>
      </w:rPr>
      <w:drawing>
        <wp:inline distT="0" distB="0" distL="0" distR="0">
          <wp:extent cx="2699385" cy="577215"/>
          <wp:effectExtent l="0" t="0" r="5715"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9385" cy="5772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0EB4430F"/>
    <w:multiLevelType w:val="hybridMultilevel"/>
    <w:tmpl w:val="A6524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562033"/>
    <w:multiLevelType w:val="hybridMultilevel"/>
    <w:tmpl w:val="18E2D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5">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6">
    <w:nsid w:val="4D561FAC"/>
    <w:multiLevelType w:val="hybridMultilevel"/>
    <w:tmpl w:val="78B678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6B51F58"/>
    <w:multiLevelType w:val="hybridMultilevel"/>
    <w:tmpl w:val="006451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DEE34F4"/>
    <w:multiLevelType w:val="hybridMultilevel"/>
    <w:tmpl w:val="4B2EA59A"/>
    <w:lvl w:ilvl="0" w:tplc="0D7A4D20">
      <w:start w:val="1"/>
      <w:numFmt w:val="bullet"/>
      <w:lvlText w:val="-"/>
      <w:lvlJc w:val="left"/>
      <w:pPr>
        <w:ind w:left="417" w:hanging="360"/>
      </w:pPr>
      <w:rPr>
        <w:rFonts w:ascii="Calibri" w:eastAsia="Calibri" w:hAnsi="Calibri" w:cs="Times New Roman"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9">
    <w:nsid w:val="66B443D4"/>
    <w:multiLevelType w:val="hybridMultilevel"/>
    <w:tmpl w:val="D736C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5"/>
  </w:num>
  <w:num w:numId="3">
    <w:abstractNumId w:val="3"/>
  </w:num>
  <w:num w:numId="4">
    <w:abstractNumId w:val="4"/>
  </w:num>
  <w:num w:numId="5">
    <w:abstractNumId w:val="10"/>
  </w:num>
  <w:num w:numId="6">
    <w:abstractNumId w:val="1"/>
  </w:num>
  <w:num w:numId="7">
    <w:abstractNumId w:val="9"/>
  </w:num>
  <w:num w:numId="8">
    <w:abstractNumId w:val="7"/>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7D"/>
    <w:rsid w:val="00060549"/>
    <w:rsid w:val="000B2C7D"/>
    <w:rsid w:val="0014239B"/>
    <w:rsid w:val="0021706F"/>
    <w:rsid w:val="0030533C"/>
    <w:rsid w:val="003157D3"/>
    <w:rsid w:val="003301CF"/>
    <w:rsid w:val="0036481F"/>
    <w:rsid w:val="00515A85"/>
    <w:rsid w:val="005227A9"/>
    <w:rsid w:val="0055581F"/>
    <w:rsid w:val="005F7DE0"/>
    <w:rsid w:val="00640346"/>
    <w:rsid w:val="00660385"/>
    <w:rsid w:val="007202A8"/>
    <w:rsid w:val="00786CE5"/>
    <w:rsid w:val="007B029A"/>
    <w:rsid w:val="00801778"/>
    <w:rsid w:val="00865344"/>
    <w:rsid w:val="008F588A"/>
    <w:rsid w:val="00902D2D"/>
    <w:rsid w:val="009F6CA8"/>
    <w:rsid w:val="00A800E5"/>
    <w:rsid w:val="00AD0BF6"/>
    <w:rsid w:val="00B47036"/>
    <w:rsid w:val="00BC559C"/>
    <w:rsid w:val="00BD498F"/>
    <w:rsid w:val="00C51E41"/>
    <w:rsid w:val="00C549AE"/>
    <w:rsid w:val="00C863AB"/>
    <w:rsid w:val="00CB40E1"/>
    <w:rsid w:val="00CE6F0E"/>
    <w:rsid w:val="00CF6DB6"/>
    <w:rsid w:val="00D134CA"/>
    <w:rsid w:val="00D73C06"/>
    <w:rsid w:val="00E15AAE"/>
    <w:rsid w:val="00E60AD7"/>
    <w:rsid w:val="00E73F1F"/>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line="300" w:lineRule="atLeast"/>
    </w:pPr>
    <w:rPr>
      <w:sz w:val="22"/>
      <w:szCs w:val="22"/>
      <w:lang w:eastAsia="en-US"/>
    </w:r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Cambria" w:hAnsi="Cambria"/>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559C"/>
    <w:rPr>
      <w:rFonts w:ascii="Georgia" w:hAnsi="Georgia"/>
      <w:bCs/>
      <w:color w:val="2B3B5F"/>
      <w:spacing w:val="-6"/>
      <w:kern w:val="32"/>
      <w:sz w:val="32"/>
      <w:szCs w:val="32"/>
    </w:rPr>
  </w:style>
  <w:style w:type="character" w:customStyle="1" w:styleId="Heading2Char">
    <w:name w:val="Heading 2 Char"/>
    <w:link w:val="Heading2"/>
    <w:rsid w:val="00CF6DB6"/>
    <w:rPr>
      <w:rFonts w:ascii="Cambria" w:hAnsi="Cambria"/>
      <w:bCs/>
      <w:iCs/>
      <w:color w:val="2B3B5F"/>
      <w:kern w:val="20"/>
      <w:sz w:val="32"/>
      <w:szCs w:val="28"/>
    </w:rPr>
  </w:style>
  <w:style w:type="character" w:customStyle="1" w:styleId="Heading3Char">
    <w:name w:val="Heading 3 Char"/>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uiPriority w:val="99"/>
    <w:unhideWhenUsed/>
    <w:rsid w:val="00CF6DB6"/>
    <w:rPr>
      <w:color w:val="0000FF"/>
      <w:u w:val="single"/>
    </w:rPr>
  </w:style>
  <w:style w:type="paragraph" w:customStyle="1" w:styleId="TableTextBullet1">
    <w:name w:val="Table Text Bullet 1"/>
    <w:qFormat/>
    <w:rsid w:val="0014239B"/>
    <w:pPr>
      <w:numPr>
        <w:ilvl w:val="2"/>
        <w:numId w:val="5"/>
      </w:numPr>
      <w:spacing w:after="200"/>
      <w:ind w:left="283"/>
    </w:pPr>
    <w:rPr>
      <w:rFonts w:eastAsia="Times New Roman"/>
      <w:szCs w:val="22"/>
    </w:rPr>
  </w:style>
  <w:style w:type="table" w:customStyle="1" w:styleId="Style1">
    <w:name w:val="Style1"/>
    <w:basedOn w:val="TableNormal"/>
    <w:uiPriority w:val="99"/>
    <w:rsid w:val="00515A85"/>
    <w:tblPr/>
  </w:style>
  <w:style w:type="paragraph" w:styleId="Title">
    <w:name w:val="Title"/>
    <w:basedOn w:val="Normal"/>
    <w:next w:val="Normal"/>
    <w:link w:val="TitleChar"/>
    <w:uiPriority w:val="10"/>
    <w:qFormat/>
    <w:rsid w:val="0030533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30533C"/>
    <w:rPr>
      <w:rFonts w:ascii="Cambria" w:eastAsia="Times New Roman" w:hAnsi="Cambria"/>
      <w:color w:val="17365D"/>
      <w:spacing w:val="5"/>
      <w:kern w:val="28"/>
      <w:sz w:val="52"/>
      <w:szCs w:val="52"/>
      <w:lang w:eastAsia="en-US"/>
    </w:rPr>
  </w:style>
  <w:style w:type="paragraph" w:styleId="ListParagraph">
    <w:name w:val="List Paragraph"/>
    <w:basedOn w:val="Normal"/>
    <w:uiPriority w:val="34"/>
    <w:qFormat/>
    <w:rsid w:val="0030533C"/>
    <w:pPr>
      <w:widowControl w:val="0"/>
      <w:spacing w:line="240" w:lineRule="auto"/>
    </w:pPr>
    <w:rPr>
      <w:lang w:val="en-US"/>
    </w:rPr>
  </w:style>
  <w:style w:type="paragraph" w:styleId="FootnoteText">
    <w:name w:val="footnote text"/>
    <w:basedOn w:val="Normal"/>
    <w:link w:val="FootnoteTextChar"/>
    <w:uiPriority w:val="99"/>
    <w:semiHidden/>
    <w:unhideWhenUsed/>
    <w:rsid w:val="0030533C"/>
    <w:pPr>
      <w:widowControl w:val="0"/>
      <w:spacing w:line="240" w:lineRule="auto"/>
    </w:pPr>
    <w:rPr>
      <w:sz w:val="20"/>
      <w:szCs w:val="20"/>
      <w:lang w:val="en-US"/>
    </w:rPr>
  </w:style>
  <w:style w:type="character" w:customStyle="1" w:styleId="FootnoteTextChar">
    <w:name w:val="Footnote Text Char"/>
    <w:link w:val="FootnoteText"/>
    <w:uiPriority w:val="99"/>
    <w:semiHidden/>
    <w:rsid w:val="0030533C"/>
    <w:rPr>
      <w:lang w:val="en-US" w:eastAsia="en-US"/>
    </w:rPr>
  </w:style>
  <w:style w:type="character" w:styleId="FootnoteReference">
    <w:name w:val="footnote reference"/>
    <w:uiPriority w:val="99"/>
    <w:semiHidden/>
    <w:unhideWhenUsed/>
    <w:rsid w:val="003053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line="300" w:lineRule="atLeast"/>
    </w:pPr>
    <w:rPr>
      <w:sz w:val="22"/>
      <w:szCs w:val="22"/>
      <w:lang w:eastAsia="en-US"/>
    </w:r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Cambria" w:hAnsi="Cambria"/>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559C"/>
    <w:rPr>
      <w:rFonts w:ascii="Georgia" w:hAnsi="Georgia"/>
      <w:bCs/>
      <w:color w:val="2B3B5F"/>
      <w:spacing w:val="-6"/>
      <w:kern w:val="32"/>
      <w:sz w:val="32"/>
      <w:szCs w:val="32"/>
    </w:rPr>
  </w:style>
  <w:style w:type="character" w:customStyle="1" w:styleId="Heading2Char">
    <w:name w:val="Heading 2 Char"/>
    <w:link w:val="Heading2"/>
    <w:rsid w:val="00CF6DB6"/>
    <w:rPr>
      <w:rFonts w:ascii="Cambria" w:hAnsi="Cambria"/>
      <w:bCs/>
      <w:iCs/>
      <w:color w:val="2B3B5F"/>
      <w:kern w:val="20"/>
      <w:sz w:val="32"/>
      <w:szCs w:val="28"/>
    </w:rPr>
  </w:style>
  <w:style w:type="character" w:customStyle="1" w:styleId="Heading3Char">
    <w:name w:val="Heading 3 Char"/>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uiPriority w:val="99"/>
    <w:unhideWhenUsed/>
    <w:rsid w:val="00CF6DB6"/>
    <w:rPr>
      <w:color w:val="0000FF"/>
      <w:u w:val="single"/>
    </w:rPr>
  </w:style>
  <w:style w:type="paragraph" w:customStyle="1" w:styleId="TableTextBullet1">
    <w:name w:val="Table Text Bullet 1"/>
    <w:qFormat/>
    <w:rsid w:val="0014239B"/>
    <w:pPr>
      <w:numPr>
        <w:ilvl w:val="2"/>
        <w:numId w:val="5"/>
      </w:numPr>
      <w:spacing w:after="200"/>
      <w:ind w:left="283"/>
    </w:pPr>
    <w:rPr>
      <w:rFonts w:eastAsia="Times New Roman"/>
      <w:szCs w:val="22"/>
    </w:rPr>
  </w:style>
  <w:style w:type="table" w:customStyle="1" w:styleId="Style1">
    <w:name w:val="Style1"/>
    <w:basedOn w:val="TableNormal"/>
    <w:uiPriority w:val="99"/>
    <w:rsid w:val="00515A85"/>
    <w:tblPr/>
  </w:style>
  <w:style w:type="paragraph" w:styleId="Title">
    <w:name w:val="Title"/>
    <w:basedOn w:val="Normal"/>
    <w:next w:val="Normal"/>
    <w:link w:val="TitleChar"/>
    <w:uiPriority w:val="10"/>
    <w:qFormat/>
    <w:rsid w:val="0030533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30533C"/>
    <w:rPr>
      <w:rFonts w:ascii="Cambria" w:eastAsia="Times New Roman" w:hAnsi="Cambria"/>
      <w:color w:val="17365D"/>
      <w:spacing w:val="5"/>
      <w:kern w:val="28"/>
      <w:sz w:val="52"/>
      <w:szCs w:val="52"/>
      <w:lang w:eastAsia="en-US"/>
    </w:rPr>
  </w:style>
  <w:style w:type="paragraph" w:styleId="ListParagraph">
    <w:name w:val="List Paragraph"/>
    <w:basedOn w:val="Normal"/>
    <w:uiPriority w:val="34"/>
    <w:qFormat/>
    <w:rsid w:val="0030533C"/>
    <w:pPr>
      <w:widowControl w:val="0"/>
      <w:spacing w:line="240" w:lineRule="auto"/>
    </w:pPr>
    <w:rPr>
      <w:lang w:val="en-US"/>
    </w:rPr>
  </w:style>
  <w:style w:type="paragraph" w:styleId="FootnoteText">
    <w:name w:val="footnote text"/>
    <w:basedOn w:val="Normal"/>
    <w:link w:val="FootnoteTextChar"/>
    <w:uiPriority w:val="99"/>
    <w:semiHidden/>
    <w:unhideWhenUsed/>
    <w:rsid w:val="0030533C"/>
    <w:pPr>
      <w:widowControl w:val="0"/>
      <w:spacing w:line="240" w:lineRule="auto"/>
    </w:pPr>
    <w:rPr>
      <w:sz w:val="20"/>
      <w:szCs w:val="20"/>
      <w:lang w:val="en-US"/>
    </w:rPr>
  </w:style>
  <w:style w:type="character" w:customStyle="1" w:styleId="FootnoteTextChar">
    <w:name w:val="Footnote Text Char"/>
    <w:link w:val="FootnoteText"/>
    <w:uiPriority w:val="99"/>
    <w:semiHidden/>
    <w:rsid w:val="0030533C"/>
    <w:rPr>
      <w:lang w:val="en-US" w:eastAsia="en-US"/>
    </w:rPr>
  </w:style>
  <w:style w:type="character" w:styleId="FootnoteReference">
    <w:name w:val="footnote reference"/>
    <w:uiPriority w:val="99"/>
    <w:semiHidden/>
    <w:unhideWhenUsed/>
    <w:rsid w:val="003053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redress" TargetMode="External"/><Relationship Id="rId13" Type="http://schemas.openxmlformats.org/officeDocument/2006/relationships/hyperlink" Target="http://www.childabuseroyalcommission.gov.au/getattachment/743dbe01-eb40-4ecb-8b82-29fcf00b8f43/Final-report-Redress-and-civil-litigation"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hildabuseroyalcommission.gov.au/getattachment/743dbe01-eb40-4ecb-8b82-29fcf00b8f43/Final-report-Redress-and-civil-litig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ildabuseroyalcommission.gov.au/policy-and-research/redre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hildabuseroyalcommission.gov.au/documents/final-actuarial-report.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rachel-siewert.greensmps.org.au/content/media-releases/greens-announce-funding-support-national-redress-scheme" TargetMode="External"/><Relationship Id="rId14" Type="http://schemas.openxmlformats.org/officeDocument/2006/relationships/hyperlink" Target="http://www.childabuseroyalcommission.gov.au/getattachment/743dbe01-eb40-4ecb-8b82-29fcf00b8f43/Final-report-Redress-and-civil-litigatio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Local\Microsoft\Windows\Temporary%20Internet%20Files\Content.IE5\0VP2DY1G\Policy%20costing%20request%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costing request - caretaker.dotm</Template>
  <TotalTime>0</TotalTime>
  <Pages>6</Pages>
  <Words>1871</Words>
  <Characters>10927</Characters>
  <Application>Microsoft Office Word</Application>
  <DocSecurity>0</DocSecurity>
  <Lines>280</Lines>
  <Paragraphs>188</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12610</CharactersWithSpaces>
  <SharedDoc>false</SharedDoc>
  <HLinks>
    <vt:vector size="42" baseType="variant">
      <vt:variant>
        <vt:i4>5374036</vt:i4>
      </vt:variant>
      <vt:variant>
        <vt:i4>18</vt:i4>
      </vt:variant>
      <vt:variant>
        <vt:i4>0</vt:i4>
      </vt:variant>
      <vt:variant>
        <vt:i4>5</vt:i4>
      </vt:variant>
      <vt:variant>
        <vt:lpwstr>http://www.childabuseroyalcommission.gov.au/getattachment/743dbe01-eb40-4ecb-8b82-29fcf00b8f43/Final-report-Redress-and-civil-litigation</vt:lpwstr>
      </vt:variant>
      <vt:variant>
        <vt:lpwstr/>
      </vt:variant>
      <vt:variant>
        <vt:i4>5374036</vt:i4>
      </vt:variant>
      <vt:variant>
        <vt:i4>15</vt:i4>
      </vt:variant>
      <vt:variant>
        <vt:i4>0</vt:i4>
      </vt:variant>
      <vt:variant>
        <vt:i4>5</vt:i4>
      </vt:variant>
      <vt:variant>
        <vt:lpwstr>http://www.childabuseroyalcommission.gov.au/getattachment/743dbe01-eb40-4ecb-8b82-29fcf00b8f43/Final-report-Redress-and-civil-litigation</vt:lpwstr>
      </vt:variant>
      <vt:variant>
        <vt:lpwstr/>
      </vt:variant>
      <vt:variant>
        <vt:i4>5374036</vt:i4>
      </vt:variant>
      <vt:variant>
        <vt:i4>12</vt:i4>
      </vt:variant>
      <vt:variant>
        <vt:i4>0</vt:i4>
      </vt:variant>
      <vt:variant>
        <vt:i4>5</vt:i4>
      </vt:variant>
      <vt:variant>
        <vt:lpwstr>http://www.childabuseroyalcommission.gov.au/getattachment/743dbe01-eb40-4ecb-8b82-29fcf00b8f43/Final-report-Redress-and-civil-litigation</vt:lpwstr>
      </vt:variant>
      <vt:variant>
        <vt:lpwstr/>
      </vt:variant>
      <vt:variant>
        <vt:i4>2621490</vt:i4>
      </vt:variant>
      <vt:variant>
        <vt:i4>9</vt:i4>
      </vt:variant>
      <vt:variant>
        <vt:i4>0</vt:i4>
      </vt:variant>
      <vt:variant>
        <vt:i4>5</vt:i4>
      </vt:variant>
      <vt:variant>
        <vt:lpwstr>http://www.childabuseroyalcommission.gov.au/policy-and-research/redress</vt:lpwstr>
      </vt:variant>
      <vt:variant>
        <vt:lpwstr/>
      </vt:variant>
      <vt:variant>
        <vt:i4>5963794</vt:i4>
      </vt:variant>
      <vt:variant>
        <vt:i4>6</vt:i4>
      </vt:variant>
      <vt:variant>
        <vt:i4>0</vt:i4>
      </vt:variant>
      <vt:variant>
        <vt:i4>5</vt:i4>
      </vt:variant>
      <vt:variant>
        <vt:lpwstr>http://www.childabuseroyalcommission.gov.au/documents/final-actuarial-report.pdf</vt:lpwstr>
      </vt:variant>
      <vt:variant>
        <vt:lpwstr/>
      </vt:variant>
      <vt:variant>
        <vt:i4>4587527</vt:i4>
      </vt:variant>
      <vt:variant>
        <vt:i4>3</vt:i4>
      </vt:variant>
      <vt:variant>
        <vt:i4>0</vt:i4>
      </vt:variant>
      <vt:variant>
        <vt:i4>5</vt:i4>
      </vt:variant>
      <vt:variant>
        <vt:lpwstr>http://rachel-siewert.greensmps.org.au/content/media-releases/greens-announce-funding-support-national-redress-scheme</vt:lpwstr>
      </vt:variant>
      <vt:variant>
        <vt:lpwstr/>
      </vt:variant>
      <vt:variant>
        <vt:i4>4194383</vt:i4>
      </vt:variant>
      <vt:variant>
        <vt:i4>0</vt:i4>
      </vt:variant>
      <vt:variant>
        <vt:i4>0</vt:i4>
      </vt:variant>
      <vt:variant>
        <vt:i4>5</vt:i4>
      </vt:variant>
      <vt:variant>
        <vt:lpwstr>http://greens.org.au/redress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3</cp:revision>
  <cp:lastPrinted>2016-06-23T23:28:00Z</cp:lastPrinted>
  <dcterms:created xsi:type="dcterms:W3CDTF">2016-06-28T06:32:00Z</dcterms:created>
  <dcterms:modified xsi:type="dcterms:W3CDTF">2016-06-28T06:32:00Z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