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bookmarkStart w:id="0" w:name="_GoBack"/>
      <w:bookmarkEnd w:id="0"/>
      <w:r w:rsidRPr="00BC559C">
        <w:t>Policy costing request—during the caretaker period for a general election</w:t>
      </w:r>
    </w:p>
    <w:tbl>
      <w:tblPr>
        <w:tblStyle w:val="TableGrid"/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515A85" w:rsidTr="006403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515A85" w:rsidRDefault="008F588A" w:rsidP="008B2B99">
            <w:pPr>
              <w:pStyle w:val="TableHeading"/>
              <w:rPr>
                <w:b/>
                <w:color w:val="auto"/>
                <w:sz w:val="22"/>
              </w:rPr>
            </w:pPr>
            <w:r w:rsidRPr="00515A85">
              <w:rPr>
                <w:b/>
                <w:color w:val="auto"/>
                <w:sz w:val="22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8F588A" w:rsidRPr="00E25D83" w:rsidRDefault="00E25D83" w:rsidP="00E25D83">
            <w:pPr>
              <w:pStyle w:val="TableHeading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25D83">
              <w:rPr>
                <w:b/>
                <w:color w:val="auto"/>
                <w:sz w:val="22"/>
              </w:rPr>
              <w:t>Antarctic and Southern Ocean Policy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F954CF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Senator Di Natale</w:t>
            </w:r>
          </w:p>
        </w:tc>
      </w:tr>
      <w:tr w:rsidR="00F954CF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CB40E1" w:rsidRDefault="00F954CF" w:rsidP="008B2B99">
            <w:pPr>
              <w:pStyle w:val="TableText"/>
              <w:rPr>
                <w:sz w:val="22"/>
              </w:rPr>
            </w:pPr>
            <w:r>
              <w:rPr>
                <w:sz w:val="22"/>
              </w:rPr>
              <w:t>P</w:t>
            </w:r>
            <w:r w:rsidR="00515A85">
              <w:rPr>
                <w:sz w:val="22"/>
              </w:rPr>
              <w:t>arliamentary p</w:t>
            </w:r>
            <w:r>
              <w:rPr>
                <w:sz w:val="22"/>
              </w:rPr>
              <w:t>arty</w:t>
            </w:r>
            <w:r w:rsidR="00515A85">
              <w:rPr>
                <w:sz w:val="22"/>
              </w:rPr>
              <w:t>: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F954CF" w:rsidRPr="00CB40E1" w:rsidRDefault="007C4F2D" w:rsidP="00F954CF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Australian Greens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8F588A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E25D83" w:rsidP="00902D2D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28 June 2016</w:t>
            </w:r>
          </w:p>
        </w:tc>
      </w:tr>
      <w:tr w:rsidR="008F588A" w:rsidRPr="00340498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a costing of this policy been requested under Section 29 of the Charter of Budget Honesty (ie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7C4F2D" w:rsidP="00640346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Default="00E25D8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26 June 2016</w:t>
            </w:r>
          </w:p>
          <w:p w:rsidR="00E25D83" w:rsidRPr="00CB40E1" w:rsidRDefault="00C12893" w:rsidP="00E25D83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hyperlink r:id="rId8" w:history="1">
              <w:r w:rsidR="00E25D83" w:rsidRPr="003578D4">
                <w:rPr>
                  <w:rStyle w:val="Hyperlink"/>
                  <w:sz w:val="22"/>
                </w:rPr>
                <w:t>http://greens.org.au/news/tas/greens-invest-antarctic-science-its-time-remove-world%E2%80%99s-blindfold-we-face-climate-change</w:t>
              </w:r>
            </w:hyperlink>
          </w:p>
        </w:tc>
      </w:tr>
      <w:tr w:rsidR="008F588A" w:rsidRPr="00903231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Description of policy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25D83" w:rsidRPr="00E25D83" w:rsidRDefault="00EE3D97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I</w:t>
            </w:r>
            <w:r w:rsidR="00E25D83" w:rsidRPr="00E25D83">
              <w:rPr>
                <w:sz w:val="22"/>
              </w:rPr>
              <w:t>nvest $4.4 million per year to establish a designated ice-sheet unit within the Australian Antarctic Division</w:t>
            </w:r>
            <w:r>
              <w:rPr>
                <w:sz w:val="22"/>
              </w:rPr>
              <w:t>.</w:t>
            </w:r>
          </w:p>
          <w:p w:rsidR="00E25D83" w:rsidRPr="00E25D83" w:rsidRDefault="00EE3D97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</w:t>
            </w:r>
            <w:r w:rsidR="00E25D83" w:rsidRPr="00E25D83">
              <w:rPr>
                <w:sz w:val="22"/>
              </w:rPr>
              <w:t>e-fund the continuation of the Antarctic Climate and Ecosystems CRC and the UTAS Antarctic Gateway at current funding levels</w:t>
            </w:r>
            <w:r>
              <w:rPr>
                <w:sz w:val="22"/>
              </w:rPr>
              <w:t>.</w:t>
            </w:r>
          </w:p>
          <w:p w:rsidR="00E25D83" w:rsidRPr="00E25D83" w:rsidRDefault="00EE3D97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R</w:t>
            </w:r>
            <w:r w:rsidR="00E25D83" w:rsidRPr="00E25D83">
              <w:rPr>
                <w:sz w:val="22"/>
              </w:rPr>
              <w:t>equire the Productivity Commission to provide a full economic valuation of the output of Australia’s Antarctic Science Program and knowledge base</w:t>
            </w:r>
            <w:r>
              <w:rPr>
                <w:sz w:val="22"/>
              </w:rPr>
              <w:t>.</w:t>
            </w:r>
          </w:p>
          <w:p w:rsidR="00E25D83" w:rsidRPr="00E25D83" w:rsidRDefault="00EE3D97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</w:t>
            </w:r>
            <w:r w:rsidR="00E25D83" w:rsidRPr="00E25D83">
              <w:rPr>
                <w:sz w:val="22"/>
              </w:rPr>
              <w:t>stablish the role of Antarctic Envoy in the Department of Foreign Affairs and Trade</w:t>
            </w:r>
            <w:r>
              <w:rPr>
                <w:sz w:val="22"/>
              </w:rPr>
              <w:t>.</w:t>
            </w:r>
          </w:p>
          <w:p w:rsidR="00E25D83" w:rsidRPr="00E25D83" w:rsidRDefault="00EE3D97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E</w:t>
            </w:r>
            <w:r w:rsidR="00E25D83" w:rsidRPr="00E25D83">
              <w:rPr>
                <w:sz w:val="22"/>
              </w:rPr>
              <w:t>nsure that a full response is provided to all 35 recommendations contained in the Press Review within the first three months of the term of the new Government</w:t>
            </w:r>
            <w:r>
              <w:rPr>
                <w:sz w:val="22"/>
              </w:rPr>
              <w:t>.</w:t>
            </w:r>
          </w:p>
          <w:p w:rsidR="00E25D83" w:rsidRPr="00CB40E1" w:rsidRDefault="00E25D83" w:rsidP="00E25D83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http://peter-whish-wilson.greensmps.org.au/</w:t>
            </w:r>
            <w:r>
              <w:rPr>
                <w:sz w:val="22"/>
              </w:rPr>
              <w:t xml:space="preserve"> </w:t>
            </w:r>
            <w:r w:rsidRPr="00E25D83">
              <w:rPr>
                <w:sz w:val="22"/>
              </w:rPr>
              <w:t>sites/default/files/greens_antarctic_and_southern_ocean_policy.pdf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E25D8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Boost Australia’s presence and science capacity in Antarctica and the Southern Ocean</w:t>
            </w:r>
          </w:p>
        </w:tc>
      </w:tr>
      <w:tr w:rsidR="008F588A" w:rsidRPr="0090323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640346" w:rsidP="0014239B">
            <w:pPr>
              <w:pStyle w:val="TableTextCentred"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Is the policy part of a package?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640346" w:rsidRPr="00CB40E1" w:rsidRDefault="00E201A7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The above measures are a package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E3D97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Capped.</w:t>
            </w:r>
          </w:p>
        </w:tc>
      </w:tr>
      <w:tr w:rsidR="00E25D83" w:rsidTr="00515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</w:tcPr>
          <w:p w:rsidR="00E25D83" w:rsidRPr="00CB40E1" w:rsidRDefault="00E25D83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third parties (for instance the States/Territories) have a role in funding or delivering the policy?</w:t>
            </w:r>
          </w:p>
          <w:p w:rsidR="00E25D83" w:rsidRPr="00CB40E1" w:rsidRDefault="00E25D83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vAlign w:val="top"/>
          </w:tcPr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AAD Science: No</w:t>
            </w:r>
            <w:r>
              <w:rPr>
                <w:sz w:val="22"/>
              </w:rPr>
              <w:t>.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ANTARCTIC GATEWAY PARTNERSHIP: Partnership with AAD, UTAS and CSIRO</w:t>
            </w:r>
            <w:r>
              <w:rPr>
                <w:sz w:val="22"/>
              </w:rPr>
              <w:t>.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ACECRC: some industry partners</w:t>
            </w:r>
            <w:r>
              <w:rPr>
                <w:sz w:val="22"/>
              </w:rPr>
              <w:t>.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 xml:space="preserve">RV INVESTIGATOR: researchers provided by other agencies and </w:t>
            </w:r>
            <w:r w:rsidRPr="00E25D83">
              <w:rPr>
                <w:sz w:val="22"/>
              </w:rPr>
              <w:tab/>
              <w:t>universities</w:t>
            </w:r>
            <w:r>
              <w:rPr>
                <w:sz w:val="22"/>
              </w:rPr>
              <w:t>.</w:t>
            </w:r>
          </w:p>
        </w:tc>
      </w:tr>
      <w:tr w:rsidR="00E25D83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CB40E1" w:rsidRDefault="00E25D83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associated savings, offsets or expenses?</w:t>
            </w:r>
          </w:p>
          <w:p w:rsidR="00E25D83" w:rsidRPr="00CB40E1" w:rsidRDefault="00E25D83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ANTARCTIC GATEWAY PARTNERSHIP: Reprioritisation of existing forward funding of ARC program</w:t>
            </w:r>
            <w:r>
              <w:rPr>
                <w:sz w:val="22"/>
              </w:rPr>
              <w:t>.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ACECRC: Reprioritisation of existing forward funding of CRC program</w:t>
            </w:r>
            <w:r>
              <w:rPr>
                <w:sz w:val="22"/>
              </w:rPr>
              <w:t>.</w:t>
            </w:r>
          </w:p>
        </w:tc>
      </w:tr>
      <w:tr w:rsidR="00E25D83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CB40E1" w:rsidRDefault="00E25D83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 xml:space="preserve">Does the policy relate to a previous budget measure? </w:t>
            </w:r>
          </w:p>
          <w:p w:rsidR="00E25D83" w:rsidRPr="00CB40E1" w:rsidRDefault="00E25D83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AAD Science: Budget Outcome 3 Environment Department</w:t>
            </w:r>
            <w:r>
              <w:rPr>
                <w:sz w:val="22"/>
              </w:rPr>
              <w:t>.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ANTARCTIC GATEWAY PARTNERSHIP: 2014</w:t>
            </w:r>
            <w:r>
              <w:rPr>
                <w:sz w:val="22"/>
              </w:rPr>
              <w:t>-</w:t>
            </w:r>
            <w:r w:rsidRPr="00E25D83">
              <w:rPr>
                <w:sz w:val="22"/>
              </w:rPr>
              <w:t>15 Budget Paper No. 2 Part 2: Expense Measures (continued) PART 2: EXPENSE MEASURES (continued) Investing in research excellence — Antarctic Gateway Partnership</w:t>
            </w:r>
            <w:r>
              <w:rPr>
                <w:sz w:val="22"/>
              </w:rPr>
              <w:t>.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ACECRC: Current CRC allocations</w:t>
            </w:r>
            <w:r>
              <w:rPr>
                <w:sz w:val="22"/>
              </w:rPr>
              <w:t>.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RV INVESTIGATOR: 2014</w:t>
            </w:r>
            <w:r>
              <w:rPr>
                <w:sz w:val="22"/>
              </w:rPr>
              <w:t>-</w:t>
            </w:r>
            <w:r w:rsidRPr="00E25D83">
              <w:rPr>
                <w:sz w:val="22"/>
              </w:rPr>
              <w:t>15 Budget Paper No. 2 Part 2: Expense Measures Industry Commonwealth Scientific and Industrial Research Organisation — Marine National Facility research vessel — continuation</w:t>
            </w:r>
            <w:r>
              <w:rPr>
                <w:sz w:val="22"/>
              </w:rPr>
              <w:t>.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25D83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Will the funding/program cost require indexation?</w:t>
            </w:r>
          </w:p>
          <w:p w:rsidR="00640346" w:rsidRPr="00CB40E1" w:rsidRDefault="00640346" w:rsidP="00640346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25D83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8F588A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lastRenderedPageBreak/>
              <w:t>Expected impacts of the proposal</w:t>
            </w:r>
          </w:p>
        </w:tc>
      </w:tr>
      <w:tr w:rsidR="008F588A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64034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8F588A" w:rsidRPr="00CB40E1" w:rsidRDefault="008F588A" w:rsidP="00660385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CB40E1">
              <w:rPr>
                <w:b/>
                <w:sz w:val="22"/>
              </w:rPr>
              <w:t>Estimated financial implications (outturn prices)</w:t>
            </w:r>
            <w:r w:rsidRPr="00CB40E1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Tr="00BE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CB40E1" w:rsidRDefault="00640346" w:rsidP="00660385">
            <w:pPr>
              <w:pStyle w:val="TableText"/>
              <w:keepNext/>
              <w:keepLines/>
              <w:rPr>
                <w:sz w:val="22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640346" w:rsidRPr="00CB40E1" w:rsidRDefault="00640346" w:rsidP="00660385">
            <w:pPr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CB40E1">
              <w:rPr>
                <w:sz w:val="22"/>
              </w:rPr>
              <w:t>2019–20</w:t>
            </w:r>
          </w:p>
        </w:tc>
      </w:tr>
      <w:tr w:rsidR="00E25D83" w:rsidTr="00E25D8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CB40E1" w:rsidRDefault="00E25D83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E25D83" w:rsidRDefault="00E25D83" w:rsidP="00E25D83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-21.8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E25D83" w:rsidRDefault="00E25D83" w:rsidP="00E25D83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-29.6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E25D83" w:rsidRDefault="00E25D83" w:rsidP="00E25D83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-29.7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E25D83" w:rsidRDefault="00E25D83" w:rsidP="00E25D83">
            <w:pPr>
              <w:pStyle w:val="TableTextCentred"/>
              <w:keepNext/>
              <w:keepLines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-34.8</w:t>
            </w:r>
          </w:p>
        </w:tc>
      </w:tr>
      <w:tr w:rsidR="00E25D83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CB40E1" w:rsidRDefault="00E25D83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E25D83" w:rsidRDefault="00E25D83" w:rsidP="00EA217D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-21.8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E25D83" w:rsidRDefault="00E25D83" w:rsidP="00EA217D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-29.6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E25D83" w:rsidRDefault="00E25D83" w:rsidP="00EA217D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-29.7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E25D83" w:rsidRDefault="00E25D83" w:rsidP="00EA217D">
            <w:pPr>
              <w:pStyle w:val="TableTextCentred"/>
              <w:keepNext/>
              <w:keepLines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-34.8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CF6DB6" w:rsidRPr="00CB40E1" w:rsidRDefault="007202A8" w:rsidP="00660385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CB40E1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E15AAE" w:rsidP="008B2B99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Has the policy been costed by a third party?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0B16B1" w:rsidP="004F75B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No</w:t>
            </w:r>
            <w:r w:rsidR="00E25D83">
              <w:rPr>
                <w:sz w:val="22"/>
              </w:rPr>
              <w:t>.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expected community impact of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How many people will be affected by the policy?</w:t>
            </w:r>
          </w:p>
          <w:p w:rsidR="00E15AAE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likely take up?</w:t>
            </w:r>
          </w:p>
          <w:p w:rsidR="00640346" w:rsidRPr="00CB40E1" w:rsidRDefault="00E15AAE" w:rsidP="00E15AAE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E3D97" w:rsidP="004F75B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CF6DB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top"/>
          </w:tcPr>
          <w:p w:rsidR="00CF6DB6" w:rsidRPr="00CB40E1" w:rsidRDefault="00CF6DB6" w:rsidP="00660385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CB40E1">
              <w:rPr>
                <w:b/>
                <w:sz w:val="22"/>
              </w:rPr>
              <w:t>Administration of policy: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E25D83">
            <w:pPr>
              <w:pStyle w:val="TableText"/>
              <w:keepLines/>
              <w:rPr>
                <w:sz w:val="22"/>
              </w:rPr>
            </w:pPr>
            <w:r w:rsidRPr="00CB40E1">
              <w:rPr>
                <w:sz w:val="22"/>
              </w:rPr>
              <w:t>Who will administer the policy (for example, Australian Government entity, the States, non</w:t>
            </w:r>
            <w:r w:rsidRPr="00CB40E1">
              <w:rPr>
                <w:sz w:val="22"/>
              </w:rPr>
              <w:noBreakHyphen/>
              <w:t>government organisation, etc)?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AAD SCIENCE: Australian Antarctic Division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ANTARCTIC GATEWAY PARTNERSHIP: UTAS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 xml:space="preserve">ACECRC: Dep of </w:t>
            </w:r>
            <w:r w:rsidR="00EE3D97" w:rsidRPr="00E25D83">
              <w:rPr>
                <w:sz w:val="22"/>
              </w:rPr>
              <w:t>Industry</w:t>
            </w:r>
          </w:p>
          <w:p w:rsidR="00640346" w:rsidRPr="00CB40E1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RV INVESTIGATOR: CSIRO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E25D83">
            <w:pPr>
              <w:pStyle w:val="TableText"/>
              <w:keepLines/>
              <w:rPr>
                <w:sz w:val="22"/>
              </w:rPr>
            </w:pPr>
            <w:r w:rsidRPr="00CB40E1">
              <w:rPr>
                <w:sz w:val="22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E3D97" w:rsidP="00E25D83">
            <w:pPr>
              <w:pStyle w:val="TableTextCentred"/>
              <w:keepLines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E25D83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CB40E1" w:rsidRDefault="00E25D83" w:rsidP="00E25D83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lastRenderedPageBreak/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AAD SCIENCE: from July 1 2016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ANTARCTIC GATEWAY PARTNERSHIP: at end of current funding allocation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ACECRC: at end of current funding allocation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RV INVESTIGATOR: from July 1 2016</w:t>
            </w:r>
          </w:p>
        </w:tc>
      </w:tr>
      <w:tr w:rsidR="00E25D83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E25D83" w:rsidRPr="00CB40E1" w:rsidRDefault="00E25D83" w:rsidP="00E25D83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AAD SCIENCE: ongoing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ANTARCTIC GATEWAY PARTNERSHIP: an additional 5 years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ACECRC: an additional 4 years</w:t>
            </w:r>
          </w:p>
          <w:p w:rsidR="00E25D83" w:rsidRPr="00E25D83" w:rsidRDefault="00E25D83" w:rsidP="00E25D83">
            <w:pPr>
              <w:pStyle w:val="TableTextCentred"/>
              <w:numPr>
                <w:ilvl w:val="0"/>
                <w:numId w:val="7"/>
              </w:numPr>
              <w:ind w:left="47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25D83">
              <w:rPr>
                <w:sz w:val="22"/>
              </w:rPr>
              <w:t>RV INVESTIGATOR: ongoing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E3D9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E3D97" w:rsidP="00660385">
            <w:pPr>
              <w:pStyle w:val="TableTextCentred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Tr="006403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CB40E1" w:rsidRDefault="00CB40E1" w:rsidP="00660385">
            <w:pPr>
              <w:pStyle w:val="TableText"/>
              <w:rPr>
                <w:sz w:val="22"/>
              </w:rPr>
            </w:pPr>
            <w:r w:rsidRPr="00CB40E1">
              <w:rPr>
                <w:sz w:val="22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EE3D97" w:rsidP="00660385">
            <w:pPr>
              <w:pStyle w:val="TableTextCentred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640346" w:rsidRPr="00CB40E1" w:rsidTr="0064034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top"/>
          </w:tcPr>
          <w:p w:rsidR="00640346" w:rsidRPr="00CB40E1" w:rsidRDefault="00640346" w:rsidP="00660385">
            <w:pPr>
              <w:pStyle w:val="TableTextCentred"/>
              <w:jc w:val="left"/>
              <w:rPr>
                <w:b/>
                <w:sz w:val="22"/>
              </w:rPr>
            </w:pPr>
            <w:r w:rsidRPr="00CB40E1">
              <w:rPr>
                <w:b/>
                <w:sz w:val="22"/>
              </w:rPr>
              <w:t>NOTE:</w:t>
            </w:r>
          </w:p>
          <w:p w:rsidR="00640346" w:rsidRPr="00CB40E1" w:rsidRDefault="00640346" w:rsidP="00660385">
            <w:pPr>
              <w:pStyle w:val="TableTextCentred"/>
              <w:jc w:val="left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Please note that:</w:t>
            </w:r>
          </w:p>
          <w:p w:rsidR="00CB40E1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i/>
                <w:sz w:val="22"/>
              </w:rPr>
            </w:pPr>
            <w:r w:rsidRPr="00CB40E1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CB40E1" w:rsidRDefault="00CB40E1" w:rsidP="00660385">
            <w:pPr>
              <w:pStyle w:val="TableTextBullet1"/>
              <w:numPr>
                <w:ilvl w:val="0"/>
                <w:numId w:val="0"/>
              </w:numPr>
              <w:ind w:left="113"/>
              <w:rPr>
                <w:sz w:val="22"/>
              </w:rPr>
            </w:pPr>
            <w:r w:rsidRPr="00CB40E1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p w:rsidR="00E25D83" w:rsidRDefault="00E25D83" w:rsidP="00E25D83"/>
    <w:sectPr w:rsidR="00E25D83" w:rsidSect="00BC55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6" w:rsidRDefault="007616C6" w:rsidP="008F588A">
      <w:pPr>
        <w:spacing w:line="240" w:lineRule="auto"/>
      </w:pPr>
      <w:r>
        <w:separator/>
      </w:r>
    </w:p>
  </w:endnote>
  <w:endnote w:type="continuationSeparator" w:id="0">
    <w:p w:rsidR="007616C6" w:rsidRDefault="007616C6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473D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8F588A" w:rsidP="008F588A">
          <w:pPr>
            <w:pStyle w:val="Footer"/>
            <w:spacing w:before="180" w:after="60"/>
            <w:ind w:left="0" w:right="0"/>
          </w:pPr>
        </w:p>
      </w:tc>
      <w:tc>
        <w:tcPr>
          <w:tcW w:w="2410" w:type="dxa"/>
          <w:shd w:val="clear" w:color="auto" w:fill="auto"/>
        </w:tcPr>
        <w:p w:rsidR="008F588A" w:rsidRPr="008F588A" w:rsidRDefault="008F588A" w:rsidP="008F588A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12893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12893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Look w:val="04A0" w:firstRow="1" w:lastRow="0" w:firstColumn="1" w:lastColumn="0" w:noHBand="0" w:noVBand="1"/>
    </w:tblPr>
    <w:tblGrid>
      <w:gridCol w:w="8080"/>
      <w:gridCol w:w="2410"/>
    </w:tblGrid>
    <w:tr w:rsidR="008F588A" w:rsidRPr="008F588A" w:rsidTr="00473D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80" w:type="dxa"/>
          <w:shd w:val="clear" w:color="auto" w:fill="auto"/>
        </w:tcPr>
        <w:p w:rsidR="008F588A" w:rsidRDefault="00CF6DB6" w:rsidP="00CF6DB6">
          <w:pPr>
            <w:pStyle w:val="Footer"/>
            <w:spacing w:before="180" w:after="60"/>
            <w:ind w:left="0" w:right="0"/>
          </w:pPr>
          <w:r>
            <w:rPr>
              <w:color w:val="788184"/>
              <w:szCs w:val="20"/>
            </w:rPr>
            <w:t xml:space="preserve">Parliamentary Budget Office   </w:t>
          </w:r>
          <w:r w:rsidR="008F588A" w:rsidRPr="008F588A">
            <w:rPr>
              <w:color w:val="788184"/>
              <w:szCs w:val="20"/>
            </w:rPr>
            <w:t>PO Box 6010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 Parliament House </w:t>
          </w:r>
          <w:r>
            <w:rPr>
              <w:color w:val="788184"/>
              <w:szCs w:val="20"/>
            </w:rPr>
            <w:t xml:space="preserve"> </w:t>
          </w:r>
          <w:r w:rsidR="008F588A" w:rsidRPr="008F588A">
            <w:rPr>
              <w:color w:val="788184"/>
              <w:szCs w:val="20"/>
            </w:rPr>
            <w:t xml:space="preserve"> Canberra ACT 2600</w:t>
          </w:r>
          <w:r>
            <w:rPr>
              <w:color w:val="788184"/>
              <w:szCs w:val="20"/>
            </w:rPr>
            <w:br/>
            <w:t xml:space="preserve">Tel: 02 6277 9500   Email: pbo@pbo.gov.au   </w:t>
          </w:r>
          <w:r w:rsidR="008F588A" w:rsidRPr="008F588A">
            <w:rPr>
              <w:color w:val="788184"/>
              <w:szCs w:val="20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8F588A" w:rsidRDefault="008F588A" w:rsidP="00CF6DB6">
          <w:pPr>
            <w:pStyle w:val="Footer"/>
            <w:spacing w:before="180" w:after="60"/>
            <w:ind w:left="0" w:right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788184"/>
            </w:rPr>
          </w:pPr>
          <w:r w:rsidRPr="008F588A">
            <w:rPr>
              <w:color w:val="788184"/>
              <w:szCs w:val="20"/>
            </w:rPr>
            <w:t xml:space="preserve">Page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PAGE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12893">
            <w:rPr>
              <w:noProof/>
              <w:color w:val="788184"/>
              <w:szCs w:val="20"/>
            </w:rPr>
            <w:t>1</w:t>
          </w:r>
          <w:r w:rsidRPr="008F588A">
            <w:rPr>
              <w:color w:val="788184"/>
              <w:szCs w:val="20"/>
            </w:rPr>
            <w:fldChar w:fldCharType="end"/>
          </w:r>
          <w:r w:rsidRPr="008F588A">
            <w:rPr>
              <w:color w:val="788184"/>
              <w:szCs w:val="20"/>
            </w:rPr>
            <w:t xml:space="preserve"> of </w:t>
          </w:r>
          <w:r w:rsidRPr="008F588A">
            <w:rPr>
              <w:color w:val="788184"/>
              <w:szCs w:val="20"/>
            </w:rPr>
            <w:fldChar w:fldCharType="begin"/>
          </w:r>
          <w:r w:rsidRPr="008F588A">
            <w:rPr>
              <w:color w:val="788184"/>
              <w:szCs w:val="20"/>
            </w:rPr>
            <w:instrText xml:space="preserve"> NUMPAGES  \* Arabic  \* MERGEFORMAT </w:instrText>
          </w:r>
          <w:r w:rsidRPr="008F588A">
            <w:rPr>
              <w:color w:val="788184"/>
              <w:szCs w:val="20"/>
            </w:rPr>
            <w:fldChar w:fldCharType="separate"/>
          </w:r>
          <w:r w:rsidR="00C12893">
            <w:rPr>
              <w:noProof/>
              <w:color w:val="788184"/>
              <w:szCs w:val="20"/>
            </w:rPr>
            <w:t>4</w:t>
          </w:r>
          <w:r w:rsidRPr="008F588A">
            <w:rPr>
              <w:color w:val="788184"/>
              <w:szCs w:val="20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6" w:rsidRDefault="007616C6" w:rsidP="008F588A">
      <w:pPr>
        <w:spacing w:line="240" w:lineRule="auto"/>
      </w:pPr>
      <w:r>
        <w:separator/>
      </w:r>
    </w:p>
  </w:footnote>
  <w:footnote w:type="continuationSeparator" w:id="0">
    <w:p w:rsidR="007616C6" w:rsidRDefault="007616C6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8F588A" w:rsidP="00CB40E1">
    <w:pPr>
      <w:pStyle w:val="Header"/>
    </w:pPr>
    <w:r>
      <w:rPr>
        <w:noProof/>
        <w:lang w:eastAsia="en-AU"/>
      </w:rPr>
      <w:drawing>
        <wp:inline distT="0" distB="0" distL="0" distR="0" wp14:anchorId="5FE611AD" wp14:editId="1840FB2F">
          <wp:extent cx="2696845" cy="572135"/>
          <wp:effectExtent l="0" t="0" r="825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0E162308"/>
    <w:multiLevelType w:val="hybridMultilevel"/>
    <w:tmpl w:val="F5461A66"/>
    <w:lvl w:ilvl="0" w:tplc="46E2E33C">
      <w:start w:val="1"/>
      <w:numFmt w:val="decimal"/>
      <w:lvlText w:val="%1."/>
      <w:lvlJc w:val="left"/>
      <w:pPr>
        <w:ind w:left="717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33206DF"/>
    <w:multiLevelType w:val="multilevel"/>
    <w:tmpl w:val="B7A0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4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6">
    <w:nsid w:val="338A707E"/>
    <w:multiLevelType w:val="hybridMultilevel"/>
    <w:tmpl w:val="74AE9C14"/>
    <w:lvl w:ilvl="0" w:tplc="110E9A64">
      <w:start w:val="1"/>
      <w:numFmt w:val="decimal"/>
      <w:lvlText w:val="%1."/>
      <w:lvlJc w:val="left"/>
      <w:pPr>
        <w:ind w:left="717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38DA3241"/>
    <w:multiLevelType w:val="hybridMultilevel"/>
    <w:tmpl w:val="35822A6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4CD8328E"/>
    <w:multiLevelType w:val="hybridMultilevel"/>
    <w:tmpl w:val="81BED432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B264E79"/>
    <w:multiLevelType w:val="hybridMultilevel"/>
    <w:tmpl w:val="0D641C78"/>
    <w:lvl w:ilvl="0" w:tplc="A54A9EF0">
      <w:start w:val="1"/>
      <w:numFmt w:val="decimal"/>
      <w:lvlText w:val="%1."/>
      <w:lvlJc w:val="left"/>
      <w:pPr>
        <w:ind w:left="717" w:hanging="6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37" w:hanging="360"/>
      </w:p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</w:lvl>
    <w:lvl w:ilvl="3" w:tplc="0C09000F" w:tentative="1">
      <w:start w:val="1"/>
      <w:numFmt w:val="decimal"/>
      <w:lvlText w:val="%4."/>
      <w:lvlJc w:val="left"/>
      <w:pPr>
        <w:ind w:left="2577" w:hanging="360"/>
      </w:p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</w:lvl>
    <w:lvl w:ilvl="6" w:tplc="0C09000F" w:tentative="1">
      <w:start w:val="1"/>
      <w:numFmt w:val="decimal"/>
      <w:lvlText w:val="%7."/>
      <w:lvlJc w:val="left"/>
      <w:pPr>
        <w:ind w:left="4737" w:hanging="360"/>
      </w:p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1">
    <w:nsid w:val="762F4411"/>
    <w:multiLevelType w:val="hybridMultilevel"/>
    <w:tmpl w:val="EA2094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2D"/>
    <w:rsid w:val="000B16B1"/>
    <w:rsid w:val="0014239B"/>
    <w:rsid w:val="00473D36"/>
    <w:rsid w:val="004C5CC2"/>
    <w:rsid w:val="00515A85"/>
    <w:rsid w:val="0055581F"/>
    <w:rsid w:val="005F7DE0"/>
    <w:rsid w:val="00640346"/>
    <w:rsid w:val="00660385"/>
    <w:rsid w:val="007202A8"/>
    <w:rsid w:val="007616C6"/>
    <w:rsid w:val="007B029A"/>
    <w:rsid w:val="007C4F2D"/>
    <w:rsid w:val="008B1774"/>
    <w:rsid w:val="008F588A"/>
    <w:rsid w:val="00902D2D"/>
    <w:rsid w:val="009E5FB7"/>
    <w:rsid w:val="00BC559C"/>
    <w:rsid w:val="00C12893"/>
    <w:rsid w:val="00CB40E1"/>
    <w:rsid w:val="00CF6DB6"/>
    <w:rsid w:val="00D134CA"/>
    <w:rsid w:val="00E15AAE"/>
    <w:rsid w:val="00E201A7"/>
    <w:rsid w:val="00E25D83"/>
    <w:rsid w:val="00EE3D97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E25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after="0" w:line="300" w:lineRule="atLeast"/>
    </w:p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Theme="majorHAnsi" w:hAnsiTheme="majorHAnsi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F6DB6"/>
    <w:rPr>
      <w:rFonts w:asciiTheme="majorHAnsi" w:hAnsiTheme="majorHAnsi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basedOn w:val="DefaultParagraphFont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rFonts w:cs="Times New Roman"/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rFonts w:cs="Times New Roman"/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basedOn w:val="DefaultParagraphFont"/>
    <w:uiPriority w:val="99"/>
    <w:unhideWhenUsed/>
    <w:rsid w:val="00CF6DB6"/>
    <w:rPr>
      <w:color w:val="0000FF" w:themeColor="hyperlink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line="240" w:lineRule="auto"/>
      <w:ind w:left="283"/>
    </w:pPr>
    <w:rPr>
      <w:rFonts w:eastAsia="Times New Roman" w:cs="Times New Roman"/>
      <w:sz w:val="20"/>
      <w:lang w:eastAsia="en-AU"/>
    </w:rPr>
  </w:style>
  <w:style w:type="table" w:customStyle="1" w:styleId="Style1">
    <w:name w:val="Style1"/>
    <w:basedOn w:val="TableNormal"/>
    <w:uiPriority w:val="99"/>
    <w:rsid w:val="00515A85"/>
    <w:pPr>
      <w:spacing w:after="0" w:line="240" w:lineRule="auto"/>
    </w:pPr>
    <w:tblPr/>
  </w:style>
  <w:style w:type="paragraph" w:styleId="ListParagraph">
    <w:name w:val="List Paragraph"/>
    <w:basedOn w:val="Normal"/>
    <w:uiPriority w:val="1"/>
    <w:rsid w:val="00E2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2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3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news/tas/greens-invest-antarctic-science-its-time-remove-world%E2%80%99s-blindfold-we-face-climate-chang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4</cp:revision>
  <cp:lastPrinted>2016-04-20T06:27:00Z</cp:lastPrinted>
  <dcterms:created xsi:type="dcterms:W3CDTF">2016-06-28T01:14:00Z</dcterms:created>
  <dcterms:modified xsi:type="dcterms:W3CDTF">2016-06-28T06:20:00Z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