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055728"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Renter’s Rights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055728"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24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(ie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C4BC5"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055728" w:rsidRPr="005C738C">
                <w:rPr>
                  <w:rStyle w:val="Hyperlink"/>
                  <w:sz w:val="22"/>
                </w:rPr>
                <w:t>http://greens.org.au/sites/greens.org.au/files/Greens-Initiaitive-Renters-Rights-2016.pdf</w:t>
              </w:r>
            </w:hyperlink>
            <w:r w:rsidR="00055728">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055728" w:rsidRPr="00055728" w:rsidRDefault="00055728" w:rsidP="00055728">
            <w:pPr>
              <w:cnfStyle w:val="000000000000" w:firstRow="0" w:lastRow="0" w:firstColumn="0" w:lastColumn="0" w:oddVBand="0" w:evenVBand="0" w:oddHBand="0" w:evenHBand="0" w:firstRowFirstColumn="0" w:firstRowLastColumn="0" w:lastRowFirstColumn="0" w:lastRowLastColumn="0"/>
              <w:rPr>
                <w:bCs/>
                <w:sz w:val="22"/>
              </w:rPr>
            </w:pPr>
            <w:r w:rsidRPr="00055728">
              <w:rPr>
                <w:rFonts w:ascii="Calibri" w:hAnsi="Calibri" w:cs="Calibri"/>
                <w:bCs/>
                <w:sz w:val="22"/>
              </w:rPr>
              <w:t>A package to improve the quality and standard of Australia’s private rental stock by:</w:t>
            </w:r>
          </w:p>
          <w:p w:rsidR="00055728" w:rsidRPr="00055728" w:rsidRDefault="00055728" w:rsidP="00055728">
            <w:pPr>
              <w:pStyle w:val="ListParagraph"/>
              <w:widowControl/>
              <w:numPr>
                <w:ilvl w:val="0"/>
                <w:numId w:val="6"/>
              </w:numPr>
              <w:cnfStyle w:val="000000000000" w:firstRow="0" w:lastRow="0" w:firstColumn="0" w:lastColumn="0" w:oddVBand="0" w:evenVBand="0" w:oddHBand="0" w:evenHBand="0" w:firstRowFirstColumn="0" w:firstRowLastColumn="0" w:lastRowFirstColumn="0" w:lastRowLastColumn="0"/>
              <w:rPr>
                <w:rFonts w:cs="Calibri"/>
                <w:sz w:val="22"/>
              </w:rPr>
            </w:pPr>
            <w:r w:rsidRPr="00055728">
              <w:rPr>
                <w:rFonts w:cs="Calibri"/>
                <w:sz w:val="22"/>
              </w:rPr>
              <w:t>Introducing a new national minimum standard for private rental tenancies (no cost)</w:t>
            </w:r>
          </w:p>
          <w:p w:rsidR="00055728" w:rsidRPr="00055728" w:rsidRDefault="00055728" w:rsidP="00055728">
            <w:pPr>
              <w:pStyle w:val="ListParagraph"/>
              <w:widowControl/>
              <w:numPr>
                <w:ilvl w:val="0"/>
                <w:numId w:val="6"/>
              </w:numPr>
              <w:cnfStyle w:val="000000000000" w:firstRow="0" w:lastRow="0" w:firstColumn="0" w:lastColumn="0" w:oddVBand="0" w:evenVBand="0" w:oddHBand="0" w:evenHBand="0" w:firstRowFirstColumn="0" w:firstRowLastColumn="0" w:lastRowFirstColumn="0" w:lastRowLastColumn="0"/>
              <w:rPr>
                <w:rFonts w:cs="Calibri"/>
                <w:sz w:val="22"/>
              </w:rPr>
            </w:pPr>
            <w:r w:rsidRPr="00055728">
              <w:rPr>
                <w:rFonts w:cs="Calibri"/>
                <w:sz w:val="22"/>
              </w:rPr>
              <w:t>Provide a funding package worth $500 per property  to assist for landlords to make upgrades to meet th</w:t>
            </w:r>
            <w:r w:rsidRPr="00055728">
              <w:rPr>
                <w:sz w:val="22"/>
              </w:rPr>
              <w:t xml:space="preserve">e new </w:t>
            </w:r>
            <w:r w:rsidRPr="00055728">
              <w:rPr>
                <w:rFonts w:cs="Calibri"/>
                <w:sz w:val="22"/>
              </w:rPr>
              <w:t>standard</w:t>
            </w:r>
            <w:r w:rsidRPr="00055728">
              <w:rPr>
                <w:sz w:val="22"/>
              </w:rPr>
              <w:t>s</w:t>
            </w:r>
            <w:r w:rsidRPr="00055728">
              <w:rPr>
                <w:rFonts w:cs="Calibri"/>
                <w:sz w:val="22"/>
              </w:rPr>
              <w:t xml:space="preserve"> (to a cap of $100m per year for up to 200,000 properties per year)</w:t>
            </w:r>
          </w:p>
          <w:p w:rsidR="00055728" w:rsidRPr="00055728" w:rsidRDefault="00055728" w:rsidP="00055728">
            <w:pPr>
              <w:pStyle w:val="ListParagraph"/>
              <w:widowControl/>
              <w:numPr>
                <w:ilvl w:val="0"/>
                <w:numId w:val="6"/>
              </w:numPr>
              <w:cnfStyle w:val="000000000000" w:firstRow="0" w:lastRow="0" w:firstColumn="0" w:lastColumn="0" w:oddVBand="0" w:evenVBand="0" w:oddHBand="0" w:evenHBand="0" w:firstRowFirstColumn="0" w:firstRowLastColumn="0" w:lastRowFirstColumn="0" w:lastRowLastColumn="0"/>
              <w:rPr>
                <w:sz w:val="22"/>
                <w:lang w:val="en-AU"/>
              </w:rPr>
            </w:pPr>
            <w:r w:rsidRPr="00055728">
              <w:rPr>
                <w:rFonts w:cs="Calibri"/>
                <w:sz w:val="22"/>
              </w:rPr>
              <w:t>Urgently review and increase funding to Tenancy Advice Services in each state and territory – by $10m per year</w:t>
            </w:r>
          </w:p>
          <w:p w:rsidR="00640346" w:rsidRPr="00CB40E1" w:rsidRDefault="00640346" w:rsidP="00055728">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lastRenderedPageBreak/>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055728" w:rsidRPr="00055728" w:rsidRDefault="00055728" w:rsidP="00055728">
            <w:pPr>
              <w:cnfStyle w:val="000000100000" w:firstRow="0" w:lastRow="0" w:firstColumn="0" w:lastColumn="0" w:oddVBand="0" w:evenVBand="0" w:oddHBand="1" w:evenHBand="0" w:firstRowFirstColumn="0" w:firstRowLastColumn="0" w:lastRowFirstColumn="0" w:lastRowLastColumn="0"/>
              <w:rPr>
                <w:rFonts w:cs="Calibri"/>
                <w:sz w:val="22"/>
              </w:rPr>
            </w:pPr>
            <w:r w:rsidRPr="00055728">
              <w:rPr>
                <w:rFonts w:cs="Arial"/>
                <w:color w:val="333333"/>
                <w:sz w:val="22"/>
                <w:shd w:val="clear" w:color="auto" w:fill="FFFFFF"/>
              </w:rPr>
              <w:t>The proportion of Australian households renting is 31%. Around one quarter (26%) of all households rented privately, with 4% of households renting from state and territory government housing authorities</w:t>
            </w:r>
            <w:r w:rsidRPr="00055728">
              <w:rPr>
                <w:rStyle w:val="FootnoteReference"/>
                <w:rFonts w:cs="Arial"/>
                <w:color w:val="333333"/>
                <w:sz w:val="22"/>
                <w:shd w:val="clear" w:color="auto" w:fill="FFFFFF"/>
              </w:rPr>
              <w:footnoteReference w:id="1"/>
            </w:r>
            <w:r w:rsidRPr="00055728">
              <w:rPr>
                <w:rFonts w:cs="Arial"/>
                <w:color w:val="333333"/>
                <w:sz w:val="22"/>
                <w:shd w:val="clear" w:color="auto" w:fill="FFFFFF"/>
              </w:rPr>
              <w:t>.</w:t>
            </w:r>
            <w:r w:rsidRPr="00055728">
              <w:rPr>
                <w:rStyle w:val="apple-converted-space"/>
                <w:rFonts w:cs="Arial"/>
                <w:color w:val="333333"/>
                <w:sz w:val="22"/>
                <w:shd w:val="clear" w:color="auto" w:fill="FFFFFF"/>
              </w:rPr>
              <w:t> </w:t>
            </w:r>
            <w:r w:rsidRPr="00055728">
              <w:rPr>
                <w:rFonts w:cs="Calibri"/>
                <w:sz w:val="22"/>
              </w:rPr>
              <w:t> </w:t>
            </w:r>
          </w:p>
          <w:p w:rsidR="00055728" w:rsidRPr="00055728" w:rsidRDefault="00055728" w:rsidP="00055728">
            <w:pPr>
              <w:pStyle w:val="Plain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rsidR="00055728" w:rsidRPr="00055728" w:rsidRDefault="00055728" w:rsidP="00055728">
            <w:pPr>
              <w:pStyle w:val="Plain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sz w:val="22"/>
                <w:szCs w:val="22"/>
              </w:rPr>
              <w:t>The new national minimum standard would cover the five most urgent issues facing tenants today:</w:t>
            </w:r>
          </w:p>
          <w:p w:rsidR="00055728" w:rsidRPr="00055728" w:rsidRDefault="00055728" w:rsidP="00055728">
            <w:pPr>
              <w:pStyle w:val="PlainText"/>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b/>
                <w:bCs/>
                <w:sz w:val="22"/>
                <w:szCs w:val="22"/>
              </w:rPr>
              <w:t>Stability and fairness of rent prices</w:t>
            </w:r>
            <w:r w:rsidRPr="00055728">
              <w:rPr>
                <w:rFonts w:ascii="Calibri" w:hAnsi="Calibri" w:cs="Calibri"/>
                <w:sz w:val="22"/>
                <w:szCs w:val="22"/>
              </w:rPr>
              <w:t xml:space="preserve"> </w:t>
            </w:r>
          </w:p>
          <w:p w:rsidR="00055728" w:rsidRPr="00055728" w:rsidRDefault="00055728" w:rsidP="00055728">
            <w:pPr>
              <w:pStyle w:val="PlainText"/>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b/>
                <w:bCs/>
                <w:sz w:val="22"/>
                <w:szCs w:val="22"/>
              </w:rPr>
              <w:t xml:space="preserve">Security of tenure </w:t>
            </w:r>
            <w:r w:rsidRPr="00055728">
              <w:rPr>
                <w:rFonts w:ascii="Calibri" w:hAnsi="Calibri" w:cs="Calibri"/>
                <w:sz w:val="22"/>
                <w:szCs w:val="22"/>
              </w:rPr>
              <w:t xml:space="preserve">provisions such as longer minimum notice periods for evictions and longer leases as of right </w:t>
            </w:r>
          </w:p>
          <w:p w:rsidR="00055728" w:rsidRPr="00055728" w:rsidRDefault="00055728" w:rsidP="00055728">
            <w:pPr>
              <w:pStyle w:val="PlainText"/>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b/>
                <w:bCs/>
                <w:sz w:val="22"/>
                <w:szCs w:val="22"/>
              </w:rPr>
              <w:t xml:space="preserve">A new ‘efficiency standard’ to guarantee the home is cheap to run and comfortable and cosy to live in. </w:t>
            </w:r>
            <w:r w:rsidRPr="00055728">
              <w:rPr>
                <w:rFonts w:ascii="Calibri" w:hAnsi="Calibri" w:cs="Calibri"/>
                <w:sz w:val="22"/>
                <w:szCs w:val="22"/>
              </w:rPr>
              <w:t>This would cover</w:t>
            </w:r>
            <w:r w:rsidRPr="00055728">
              <w:rPr>
                <w:rFonts w:ascii="Calibri" w:hAnsi="Calibri" w:cs="Calibri"/>
                <w:b/>
                <w:bCs/>
                <w:sz w:val="22"/>
                <w:szCs w:val="22"/>
              </w:rPr>
              <w:t xml:space="preserve"> </w:t>
            </w:r>
            <w:r w:rsidRPr="00055728">
              <w:rPr>
                <w:rFonts w:ascii="Calibri" w:hAnsi="Calibri" w:cs="Calibri"/>
                <w:sz w:val="22"/>
                <w:szCs w:val="22"/>
              </w:rPr>
              <w:t>energy and water efficiency, heating and cooling, and hot water systems, and fixed appliances (like ovens) are energy and water efficient, as well as insulation, ventilation and so on.  </w:t>
            </w:r>
          </w:p>
          <w:p w:rsidR="00055728" w:rsidRPr="00055728" w:rsidRDefault="00055728" w:rsidP="00055728">
            <w:pPr>
              <w:pStyle w:val="PlainText"/>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b/>
                <w:bCs/>
                <w:sz w:val="22"/>
                <w:szCs w:val="22"/>
              </w:rPr>
              <w:t xml:space="preserve">Safety and security </w:t>
            </w:r>
            <w:r w:rsidRPr="00055728">
              <w:rPr>
                <w:rFonts w:ascii="Calibri" w:hAnsi="Calibri" w:cs="Calibri"/>
                <w:sz w:val="22"/>
                <w:szCs w:val="22"/>
              </w:rPr>
              <w:t>of the home</w:t>
            </w:r>
            <w:r w:rsidRPr="00055728">
              <w:rPr>
                <w:rFonts w:ascii="Calibri" w:hAnsi="Calibri" w:cs="Calibri"/>
                <w:b/>
                <w:bCs/>
                <w:sz w:val="22"/>
                <w:szCs w:val="22"/>
              </w:rPr>
              <w:t xml:space="preserve"> </w:t>
            </w:r>
          </w:p>
          <w:p w:rsidR="00055728" w:rsidRPr="00055728" w:rsidRDefault="00055728" w:rsidP="00055728">
            <w:pPr>
              <w:pStyle w:val="PlainText"/>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55728">
              <w:rPr>
                <w:rFonts w:ascii="Calibri" w:hAnsi="Calibri" w:cs="Calibri"/>
                <w:b/>
                <w:bCs/>
                <w:sz w:val="22"/>
                <w:szCs w:val="22"/>
              </w:rPr>
              <w:t>Better protection for marginal groups</w:t>
            </w:r>
            <w:r w:rsidRPr="00055728">
              <w:rPr>
                <w:rFonts w:ascii="Calibri" w:hAnsi="Calibri" w:cs="Calibri"/>
                <w:sz w:val="22"/>
                <w:szCs w:val="22"/>
              </w:rPr>
              <w:t xml:space="preserve"> (including people in boarding houses and caravan parks) who are at risk of homelessness not currently covered in state and territory tenancy laws</w:t>
            </w:r>
          </w:p>
          <w:p w:rsidR="00055728" w:rsidRPr="00055728" w:rsidRDefault="00055728" w:rsidP="00055728">
            <w:pPr>
              <w:pStyle w:val="PlainText"/>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u w:val="single"/>
              </w:rPr>
            </w:pPr>
          </w:p>
          <w:p w:rsidR="00640346" w:rsidRPr="00055728" w:rsidRDefault="00055728" w:rsidP="00055728">
            <w:pPr>
              <w:pStyle w:val="Plain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The Greens propose</w:t>
            </w:r>
            <w:r w:rsidRPr="00055728">
              <w:rPr>
                <w:rFonts w:ascii="Calibri" w:hAnsi="Calibri" w:cs="Calibri"/>
                <w:sz w:val="22"/>
                <w:szCs w:val="22"/>
              </w:rPr>
              <w:t xml:space="preserve"> a </w:t>
            </w:r>
            <w:r w:rsidRPr="00055728">
              <w:rPr>
                <w:rFonts w:ascii="Calibri" w:hAnsi="Calibri" w:cs="Calibri"/>
                <w:b/>
                <w:sz w:val="22"/>
                <w:szCs w:val="22"/>
              </w:rPr>
              <w:t>new national body</w:t>
            </w:r>
            <w:r w:rsidRPr="00055728">
              <w:rPr>
                <w:rFonts w:ascii="Calibri" w:hAnsi="Calibri" w:cs="Calibri"/>
                <w:sz w:val="22"/>
                <w:szCs w:val="22"/>
              </w:rPr>
              <w:t xml:space="preserve"> to set and oversee the implementation</w:t>
            </w:r>
            <w:r>
              <w:rPr>
                <w:rFonts w:ascii="Calibri" w:hAnsi="Calibri" w:cs="Calibri"/>
                <w:sz w:val="22"/>
                <w:szCs w:val="22"/>
              </w:rPr>
              <w:t xml:space="preserve"> of national minimum standards and</w:t>
            </w:r>
            <w:r w:rsidRPr="00055728">
              <w:rPr>
                <w:rFonts w:ascii="Calibri" w:hAnsi="Calibri" w:cs="Calibri"/>
                <w:sz w:val="22"/>
                <w:szCs w:val="22"/>
              </w:rPr>
              <w:t xml:space="preserve"> would be based on the same body that administers similar programs such as the Universal design for housing policy, which supports the implementation of livable housing designs for those with disabilities.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055728" w:rsidRDefault="0005572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055728">
              <w:rPr>
                <w:sz w:val="22"/>
              </w:rPr>
              <w:t>Yes, part of the Greens Housing Affordability Platform.</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55728"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Capped</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05572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lastRenderedPageBreak/>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55728"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5572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55728"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5572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2A29F9"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-102</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2A29F9"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-124</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2A29F9"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-124</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2A29F9"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-124</w:t>
            </w:r>
          </w:p>
        </w:tc>
      </w:tr>
      <w:tr w:rsidR="002A29F9"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2A29F9" w:rsidRPr="00CB40E1" w:rsidRDefault="002A29F9"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2A29F9" w:rsidRPr="00CB40E1" w:rsidRDefault="002A29F9" w:rsidP="00424D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-102</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2A29F9" w:rsidRPr="00CB40E1" w:rsidRDefault="002A29F9" w:rsidP="00424D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-124</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2A29F9" w:rsidRPr="00CB40E1" w:rsidRDefault="002A29F9" w:rsidP="00424D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-124</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2A29F9" w:rsidRPr="00CB40E1" w:rsidRDefault="002A29F9" w:rsidP="00424D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-124</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A29F9"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Emissions reductions from improving the quality of rental housing stock.</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2A29F9" w:rsidRPr="002A29F9" w:rsidRDefault="002A29F9" w:rsidP="002A29F9">
            <w:pPr>
              <w:shd w:val="clear" w:color="auto" w:fill="FFFFFF"/>
              <w:spacing w:after="150"/>
              <w:cnfStyle w:val="000000100000" w:firstRow="0" w:lastRow="0" w:firstColumn="0" w:lastColumn="0" w:oddVBand="0" w:evenVBand="0" w:oddHBand="1" w:evenHBand="0" w:firstRowFirstColumn="0" w:firstRowLastColumn="0" w:lastRowFirstColumn="0" w:lastRowLastColumn="0"/>
              <w:rPr>
                <w:sz w:val="22"/>
              </w:rPr>
            </w:pPr>
            <w:r w:rsidRPr="002A29F9">
              <w:rPr>
                <w:sz w:val="22"/>
              </w:rPr>
              <w:t>The Greens conducted a widespread rental survey in 2013 which found renters are living in insecure tenure, inefficient housing, with very little rights.  For example:</w:t>
            </w:r>
          </w:p>
          <w:p w:rsidR="002A29F9" w:rsidRPr="002A29F9" w:rsidRDefault="002A29F9" w:rsidP="002A29F9">
            <w:pPr>
              <w:pStyle w:val="ListParagraph"/>
              <w:numPr>
                <w:ilvl w:val="0"/>
                <w:numId w:val="8"/>
              </w:numPr>
              <w:shd w:val="clear" w:color="auto" w:fill="FFFFFF"/>
              <w:spacing w:after="150" w:line="300" w:lineRule="atLeast"/>
              <w:cnfStyle w:val="000000100000" w:firstRow="0" w:lastRow="0" w:firstColumn="0" w:lastColumn="0" w:oddVBand="0" w:evenVBand="0" w:oddHBand="1" w:evenHBand="0" w:firstRowFirstColumn="0" w:firstRowLastColumn="0" w:lastRowFirstColumn="0" w:lastRowLastColumn="0"/>
              <w:rPr>
                <w:sz w:val="22"/>
                <w:lang w:val="en-AU"/>
              </w:rPr>
            </w:pPr>
            <w:r w:rsidRPr="002A29F9">
              <w:rPr>
                <w:sz w:val="22"/>
              </w:rPr>
              <w:t>66% of renters wanted the option to enter into a long term lease</w:t>
            </w:r>
          </w:p>
          <w:p w:rsidR="002A29F9" w:rsidRPr="002A29F9" w:rsidRDefault="002A29F9" w:rsidP="002A29F9">
            <w:pPr>
              <w:pStyle w:val="ListParagraph"/>
              <w:numPr>
                <w:ilvl w:val="0"/>
                <w:numId w:val="8"/>
              </w:numPr>
              <w:shd w:val="clear" w:color="auto" w:fill="FFFFFF"/>
              <w:spacing w:after="150" w:line="300" w:lineRule="atLeast"/>
              <w:cnfStyle w:val="000000100000" w:firstRow="0" w:lastRow="0" w:firstColumn="0" w:lastColumn="0" w:oddVBand="0" w:evenVBand="0" w:oddHBand="1" w:evenHBand="0" w:firstRowFirstColumn="0" w:firstRowLastColumn="0" w:lastRowFirstColumn="0" w:lastRowLastColumn="0"/>
              <w:rPr>
                <w:sz w:val="22"/>
                <w:lang w:val="en-AU"/>
              </w:rPr>
            </w:pPr>
            <w:r w:rsidRPr="002A29F9">
              <w:rPr>
                <w:sz w:val="22"/>
              </w:rPr>
              <w:t>58% of respondents had been forced to couch surf with friends or family because they couldn’t find a place to live</w:t>
            </w:r>
          </w:p>
          <w:p w:rsidR="002A29F9" w:rsidRPr="002A29F9" w:rsidRDefault="002A29F9" w:rsidP="002A29F9">
            <w:pPr>
              <w:pStyle w:val="ListParagraph"/>
              <w:numPr>
                <w:ilvl w:val="0"/>
                <w:numId w:val="8"/>
              </w:numPr>
              <w:shd w:val="clear" w:color="auto" w:fill="FFFFFF"/>
              <w:spacing w:after="150" w:line="300" w:lineRule="atLeast"/>
              <w:cnfStyle w:val="000000100000" w:firstRow="0" w:lastRow="0" w:firstColumn="0" w:lastColumn="0" w:oddVBand="0" w:evenVBand="0" w:oddHBand="1" w:evenHBand="0" w:firstRowFirstColumn="0" w:firstRowLastColumn="0" w:lastRowFirstColumn="0" w:lastRowLastColumn="0"/>
              <w:rPr>
                <w:sz w:val="22"/>
                <w:lang w:val="en-AU"/>
              </w:rPr>
            </w:pPr>
            <w:r w:rsidRPr="002A29F9">
              <w:rPr>
                <w:sz w:val="22"/>
              </w:rPr>
              <w:t>73% said their houses were not cool in summer or warm in winter, meaning heating or cooling was required with the associated financial and environmental cost</w:t>
            </w:r>
          </w:p>
          <w:p w:rsidR="00640346" w:rsidRPr="002A29F9" w:rsidRDefault="002A29F9" w:rsidP="002A29F9">
            <w:pPr>
              <w:pStyle w:val="ListParagraph"/>
              <w:numPr>
                <w:ilvl w:val="0"/>
                <w:numId w:val="8"/>
              </w:numPr>
              <w:shd w:val="clear" w:color="auto" w:fill="FFFFFF"/>
              <w:spacing w:after="150" w:line="300" w:lineRule="atLeast"/>
              <w:cnfStyle w:val="000000100000" w:firstRow="0" w:lastRow="0" w:firstColumn="0" w:lastColumn="0" w:oddVBand="0" w:evenVBand="0" w:oddHBand="1" w:evenHBand="0" w:firstRowFirstColumn="0" w:firstRowLastColumn="0" w:lastRowFirstColumn="0" w:lastRowLastColumn="0"/>
              <w:rPr>
                <w:lang w:val="en-AU"/>
              </w:rPr>
            </w:pPr>
            <w:r w:rsidRPr="002A29F9">
              <w:rPr>
                <w:sz w:val="22"/>
              </w:rPr>
              <w:t>67% are in rental stress, paying more than 30% of their income on rent, 14% paying up to 70%.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A29F9"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Housing and Treasury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A29F9"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None</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A29F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2A29F9" w:rsidRDefault="002A29F9"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2A29F9">
              <w:rPr>
                <w:rFonts w:cs="Arial"/>
                <w:bCs/>
                <w:color w:val="000000"/>
                <w:sz w:val="22"/>
                <w:shd w:val="clear" w:color="auto" w:fill="FFFFFF"/>
              </w:rPr>
              <w:t>ABS 4130.0 - Housing Occupancy and Costs, 2013-14</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A29F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131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AC4BC5">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AC4BC5">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131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AC4BC5">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AC4BC5">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 w:id="1">
    <w:p w:rsidR="00055728" w:rsidRPr="004A7AD3" w:rsidRDefault="00055728" w:rsidP="00055728">
      <w:pPr>
        <w:pStyle w:val="FootnoteText"/>
        <w:rPr>
          <w:lang w:val="en-AU"/>
        </w:rPr>
      </w:pPr>
      <w:r>
        <w:rPr>
          <w:rStyle w:val="FootnoteReference"/>
        </w:rPr>
        <w:footnoteRef/>
      </w:r>
      <w:r>
        <w:t xml:space="preserve"> </w:t>
      </w:r>
      <w:hyperlink r:id="rId1" w:history="1">
        <w:r w:rsidRPr="00B970AA">
          <w:rPr>
            <w:rStyle w:val="Hyperlink"/>
          </w:rPr>
          <w:t>http://www.abs.gov.au/ausstats/abs@.nsf/Lookup/by%20Subject/4130.0~2013-14~Main%20Features~Key%20Findings~1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21D35BF9"/>
    <w:multiLevelType w:val="hybridMultilevel"/>
    <w:tmpl w:val="2850CE78"/>
    <w:lvl w:ilvl="0" w:tplc="3E26A9C2">
      <w:start w:val="4130"/>
      <w:numFmt w:val="bullet"/>
      <w:lvlText w:val="-"/>
      <w:lvlJc w:val="left"/>
      <w:pPr>
        <w:ind w:left="720" w:hanging="360"/>
      </w:pPr>
      <w:rPr>
        <w:rFonts w:ascii="Calibri" w:eastAsiaTheme="minorHAnsi" w:hAnsi="Calibri" w:cstheme="minorBidi" w:hint="default"/>
        <w:color w:val="4040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617350"/>
    <w:multiLevelType w:val="hybridMultilevel"/>
    <w:tmpl w:val="0546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7F4596A"/>
    <w:multiLevelType w:val="hybridMultilevel"/>
    <w:tmpl w:val="24787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55728"/>
    <w:rsid w:val="000B16B1"/>
    <w:rsid w:val="0013176E"/>
    <w:rsid w:val="0014239B"/>
    <w:rsid w:val="002A29F9"/>
    <w:rsid w:val="004C5CC2"/>
    <w:rsid w:val="00515A85"/>
    <w:rsid w:val="0055581F"/>
    <w:rsid w:val="005F7DE0"/>
    <w:rsid w:val="00640346"/>
    <w:rsid w:val="00660385"/>
    <w:rsid w:val="007202A8"/>
    <w:rsid w:val="007616C6"/>
    <w:rsid w:val="007B029A"/>
    <w:rsid w:val="007C4F2D"/>
    <w:rsid w:val="008B1774"/>
    <w:rsid w:val="008F588A"/>
    <w:rsid w:val="00902D2D"/>
    <w:rsid w:val="009E5FB7"/>
    <w:rsid w:val="00AC4BC5"/>
    <w:rsid w:val="00BC559C"/>
    <w:rsid w:val="00CB40E1"/>
    <w:rsid w:val="00CF6DB6"/>
    <w:rsid w:val="00D134CA"/>
    <w:rsid w:val="00E15AAE"/>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basedOn w:val="Normal"/>
    <w:uiPriority w:val="34"/>
    <w:qFormat/>
    <w:rsid w:val="00055728"/>
    <w:pPr>
      <w:widowControl w:val="0"/>
      <w:spacing w:line="240" w:lineRule="auto"/>
    </w:pPr>
    <w:rPr>
      <w:lang w:val="en-US"/>
    </w:rPr>
  </w:style>
  <w:style w:type="paragraph" w:styleId="FootnoteText">
    <w:name w:val="footnote text"/>
    <w:basedOn w:val="Normal"/>
    <w:link w:val="FootnoteTextChar"/>
    <w:uiPriority w:val="99"/>
    <w:semiHidden/>
    <w:unhideWhenUsed/>
    <w:rsid w:val="00055728"/>
    <w:pPr>
      <w:widowControl w:val="0"/>
      <w:spacing w:line="240" w:lineRule="auto"/>
    </w:pPr>
    <w:rPr>
      <w:sz w:val="20"/>
      <w:szCs w:val="20"/>
      <w:lang w:val="en-US"/>
    </w:rPr>
  </w:style>
  <w:style w:type="character" w:customStyle="1" w:styleId="FootnoteTextChar">
    <w:name w:val="Footnote Text Char"/>
    <w:basedOn w:val="DefaultParagraphFont"/>
    <w:link w:val="FootnoteText"/>
    <w:uiPriority w:val="99"/>
    <w:semiHidden/>
    <w:rsid w:val="00055728"/>
    <w:rPr>
      <w:sz w:val="20"/>
      <w:szCs w:val="20"/>
      <w:lang w:val="en-US"/>
    </w:rPr>
  </w:style>
  <w:style w:type="character" w:styleId="FootnoteReference">
    <w:name w:val="footnote reference"/>
    <w:basedOn w:val="DefaultParagraphFont"/>
    <w:uiPriority w:val="99"/>
    <w:semiHidden/>
    <w:unhideWhenUsed/>
    <w:rsid w:val="00055728"/>
    <w:rPr>
      <w:vertAlign w:val="superscript"/>
    </w:rPr>
  </w:style>
  <w:style w:type="paragraph" w:styleId="PlainText">
    <w:name w:val="Plain Text"/>
    <w:basedOn w:val="Normal"/>
    <w:link w:val="PlainTextChar"/>
    <w:uiPriority w:val="99"/>
    <w:unhideWhenUsed/>
    <w:rsid w:val="00055728"/>
    <w:pPr>
      <w:spacing w:line="240" w:lineRule="auto"/>
    </w:pPr>
    <w:rPr>
      <w:rFonts w:ascii="Arial" w:eastAsiaTheme="minorEastAsia" w:hAnsi="Arial"/>
      <w:sz w:val="20"/>
      <w:szCs w:val="21"/>
      <w:lang w:eastAsia="en-AU"/>
    </w:rPr>
  </w:style>
  <w:style w:type="character" w:customStyle="1" w:styleId="PlainTextChar">
    <w:name w:val="Plain Text Char"/>
    <w:basedOn w:val="DefaultParagraphFont"/>
    <w:link w:val="PlainText"/>
    <w:uiPriority w:val="99"/>
    <w:rsid w:val="00055728"/>
    <w:rPr>
      <w:rFonts w:ascii="Arial" w:eastAsiaTheme="minorEastAsia" w:hAnsi="Arial"/>
      <w:sz w:val="20"/>
      <w:szCs w:val="21"/>
      <w:lang w:eastAsia="en-AU"/>
    </w:rPr>
  </w:style>
  <w:style w:type="character" w:customStyle="1" w:styleId="apple-converted-space">
    <w:name w:val="apple-converted-space"/>
    <w:basedOn w:val="DefaultParagraphFont"/>
    <w:rsid w:val="00055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basedOn w:val="Normal"/>
    <w:uiPriority w:val="34"/>
    <w:qFormat/>
    <w:rsid w:val="00055728"/>
    <w:pPr>
      <w:widowControl w:val="0"/>
      <w:spacing w:line="240" w:lineRule="auto"/>
    </w:pPr>
    <w:rPr>
      <w:lang w:val="en-US"/>
    </w:rPr>
  </w:style>
  <w:style w:type="paragraph" w:styleId="FootnoteText">
    <w:name w:val="footnote text"/>
    <w:basedOn w:val="Normal"/>
    <w:link w:val="FootnoteTextChar"/>
    <w:uiPriority w:val="99"/>
    <w:semiHidden/>
    <w:unhideWhenUsed/>
    <w:rsid w:val="00055728"/>
    <w:pPr>
      <w:widowControl w:val="0"/>
      <w:spacing w:line="240" w:lineRule="auto"/>
    </w:pPr>
    <w:rPr>
      <w:sz w:val="20"/>
      <w:szCs w:val="20"/>
      <w:lang w:val="en-US"/>
    </w:rPr>
  </w:style>
  <w:style w:type="character" w:customStyle="1" w:styleId="FootnoteTextChar">
    <w:name w:val="Footnote Text Char"/>
    <w:basedOn w:val="DefaultParagraphFont"/>
    <w:link w:val="FootnoteText"/>
    <w:uiPriority w:val="99"/>
    <w:semiHidden/>
    <w:rsid w:val="00055728"/>
    <w:rPr>
      <w:sz w:val="20"/>
      <w:szCs w:val="20"/>
      <w:lang w:val="en-US"/>
    </w:rPr>
  </w:style>
  <w:style w:type="character" w:styleId="FootnoteReference">
    <w:name w:val="footnote reference"/>
    <w:basedOn w:val="DefaultParagraphFont"/>
    <w:uiPriority w:val="99"/>
    <w:semiHidden/>
    <w:unhideWhenUsed/>
    <w:rsid w:val="00055728"/>
    <w:rPr>
      <w:vertAlign w:val="superscript"/>
    </w:rPr>
  </w:style>
  <w:style w:type="paragraph" w:styleId="PlainText">
    <w:name w:val="Plain Text"/>
    <w:basedOn w:val="Normal"/>
    <w:link w:val="PlainTextChar"/>
    <w:uiPriority w:val="99"/>
    <w:unhideWhenUsed/>
    <w:rsid w:val="00055728"/>
    <w:pPr>
      <w:spacing w:line="240" w:lineRule="auto"/>
    </w:pPr>
    <w:rPr>
      <w:rFonts w:ascii="Arial" w:eastAsiaTheme="minorEastAsia" w:hAnsi="Arial"/>
      <w:sz w:val="20"/>
      <w:szCs w:val="21"/>
      <w:lang w:eastAsia="en-AU"/>
    </w:rPr>
  </w:style>
  <w:style w:type="character" w:customStyle="1" w:styleId="PlainTextChar">
    <w:name w:val="Plain Text Char"/>
    <w:basedOn w:val="DefaultParagraphFont"/>
    <w:link w:val="PlainText"/>
    <w:uiPriority w:val="99"/>
    <w:rsid w:val="00055728"/>
    <w:rPr>
      <w:rFonts w:ascii="Arial" w:eastAsiaTheme="minorEastAsia" w:hAnsi="Arial"/>
      <w:sz w:val="20"/>
      <w:szCs w:val="21"/>
      <w:lang w:eastAsia="en-AU"/>
    </w:rPr>
  </w:style>
  <w:style w:type="character" w:customStyle="1" w:styleId="apple-converted-space">
    <w:name w:val="apple-converted-space"/>
    <w:basedOn w:val="DefaultParagraphFont"/>
    <w:rsid w:val="0005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Greens-Initiaitive-Renters-Rights-2016.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Lookup/by%20Subject/4130.0~2013-14~Main%20Features~Key%20Findings~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2016-06-24T04:45:00Z</dcterms:created>
  <dcterms:modified xsi:type="dcterms:W3CDTF">2016-06-24T07:39:00Z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