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1753"/>
        <w:gridCol w:w="370"/>
        <w:gridCol w:w="1478"/>
        <w:gridCol w:w="2294"/>
        <w:gridCol w:w="2288"/>
        <w:gridCol w:w="2293"/>
      </w:tblGrid>
      <w:tr w:rsidR="008F588A" w:rsidRPr="00515A85" w:rsidTr="00190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1901CD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High Income Tax Guarantee (The Buffett Rule)</w:t>
            </w:r>
          </w:p>
        </w:tc>
      </w:tr>
      <w:tr w:rsidR="008F588A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1901CD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23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33877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1901CD" w:rsidRPr="007E5972">
                <w:rPr>
                  <w:rStyle w:val="Hyperlink"/>
                  <w:sz w:val="22"/>
                </w:rPr>
                <w:t>http://greens.org.au/sites/greens.org.au/files/20160427%20Buffett%20High%20Income%20Tax%20Guarantee.pdf</w:t>
              </w:r>
            </w:hyperlink>
            <w:r w:rsidR="001901CD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901CD" w:rsidRDefault="001901C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901CD">
              <w:rPr>
                <w:sz w:val="22"/>
              </w:rPr>
              <w:t xml:space="preserve">For individuals with a total income of $300,000+ a year, a statutory floor of 35 per cent of their total </w:t>
            </w:r>
            <w:r w:rsidR="00AB0A8E">
              <w:rPr>
                <w:sz w:val="22"/>
              </w:rPr>
              <w:t xml:space="preserve">(pre-tax) </w:t>
            </w:r>
            <w:r w:rsidRPr="001901CD">
              <w:rPr>
                <w:sz w:val="22"/>
              </w:rPr>
              <w:t>income, so that deductions cannot be utilised to reduce taxable income to artificially low levels.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1901CD" w:rsidRDefault="001901C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901CD">
              <w:rPr>
                <w:sz w:val="22"/>
              </w:rPr>
              <w:t>To reduce tax evasion from very high income earners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1901CD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1901CD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1901CD" w:rsidRDefault="001901C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901CD">
              <w:rPr>
                <w:sz w:val="22"/>
              </w:rPr>
              <w:t xml:space="preserve">Yes, it will interact with the changes to marginal tax rates proposed in </w:t>
            </w:r>
            <w:r w:rsidRPr="001901CD">
              <w:rPr>
                <w:i/>
                <w:sz w:val="22"/>
              </w:rPr>
              <w:t xml:space="preserve">Top Marginal Tax Rates </w:t>
            </w:r>
            <w:r w:rsidRPr="001901CD">
              <w:rPr>
                <w:sz w:val="22"/>
              </w:rPr>
              <w:t>policy.</w:t>
            </w:r>
          </w:p>
        </w:tc>
      </w:tr>
      <w:tr w:rsidR="00640346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N/A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D64D4D" w:rsidRDefault="001901C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No</w:t>
            </w:r>
            <w:bookmarkStart w:id="0" w:name="_GoBack"/>
            <w:bookmarkEnd w:id="0"/>
          </w:p>
        </w:tc>
      </w:tr>
      <w:tr w:rsidR="00640346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No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No</w:t>
            </w:r>
          </w:p>
        </w:tc>
      </w:tr>
      <w:tr w:rsidR="00640346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N/A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D64D4D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D64D4D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D64D4D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D64D4D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D64D4D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D64D4D">
              <w:rPr>
                <w:b/>
                <w:sz w:val="22"/>
              </w:rPr>
              <w:t>Estimated financial implications (outturn prices)</w:t>
            </w:r>
            <w:r w:rsidRPr="00D64D4D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D64D4D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2016–17</w:t>
            </w:r>
          </w:p>
        </w:tc>
        <w:tc>
          <w:tcPr>
            <w:tcW w:w="109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D64D4D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2017–18</w:t>
            </w:r>
          </w:p>
        </w:tc>
        <w:tc>
          <w:tcPr>
            <w:tcW w:w="109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D64D4D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2018–19</w:t>
            </w:r>
          </w:p>
        </w:tc>
        <w:tc>
          <w:tcPr>
            <w:tcW w:w="109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D64D4D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2019–20</w:t>
            </w:r>
          </w:p>
        </w:tc>
      </w:tr>
      <w:tr w:rsidR="001901CD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901CD" w:rsidRPr="00CB40E1" w:rsidRDefault="001901CD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81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1901CD" w:rsidRPr="00D64D4D" w:rsidRDefault="001901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D64D4D">
              <w:rPr>
                <w:rFonts w:ascii="Calibri" w:hAnsi="Calibri"/>
                <w:color w:val="000000"/>
                <w:sz w:val="22"/>
              </w:rPr>
              <w:t>-306</w:t>
            </w:r>
          </w:p>
        </w:tc>
        <w:tc>
          <w:tcPr>
            <w:tcW w:w="109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1901CD" w:rsidRPr="00D64D4D" w:rsidRDefault="001901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D64D4D">
              <w:rPr>
                <w:rFonts w:ascii="Calibri" w:hAnsi="Calibri"/>
                <w:color w:val="000000"/>
                <w:sz w:val="22"/>
              </w:rPr>
              <w:t>2079</w:t>
            </w:r>
          </w:p>
        </w:tc>
        <w:tc>
          <w:tcPr>
            <w:tcW w:w="109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1901CD" w:rsidRPr="00D64D4D" w:rsidRDefault="001901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D64D4D">
              <w:rPr>
                <w:rFonts w:ascii="Calibri" w:hAnsi="Calibri"/>
                <w:color w:val="000000"/>
                <w:sz w:val="22"/>
              </w:rPr>
              <w:t>3332</w:t>
            </w:r>
          </w:p>
        </w:tc>
        <w:tc>
          <w:tcPr>
            <w:tcW w:w="109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1901CD" w:rsidRPr="00D64D4D" w:rsidRDefault="001901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D64D4D">
              <w:rPr>
                <w:rFonts w:ascii="Calibri" w:hAnsi="Calibri"/>
                <w:color w:val="000000"/>
                <w:sz w:val="22"/>
              </w:rPr>
              <w:t>3283</w:t>
            </w:r>
          </w:p>
        </w:tc>
      </w:tr>
      <w:tr w:rsidR="001901CD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901CD" w:rsidRPr="00CB40E1" w:rsidRDefault="001901CD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81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1901CD" w:rsidRPr="00D64D4D" w:rsidRDefault="001901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D64D4D">
              <w:rPr>
                <w:rFonts w:ascii="Calibri" w:hAnsi="Calibri"/>
                <w:color w:val="000000"/>
                <w:sz w:val="22"/>
              </w:rPr>
              <w:t>-306</w:t>
            </w:r>
          </w:p>
        </w:tc>
        <w:tc>
          <w:tcPr>
            <w:tcW w:w="109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1901CD" w:rsidRPr="00D64D4D" w:rsidRDefault="001901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D64D4D">
              <w:rPr>
                <w:rFonts w:ascii="Calibri" w:hAnsi="Calibri"/>
                <w:color w:val="000000"/>
                <w:sz w:val="22"/>
              </w:rPr>
              <w:t>2079</w:t>
            </w:r>
          </w:p>
        </w:tc>
        <w:tc>
          <w:tcPr>
            <w:tcW w:w="109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1901CD" w:rsidRPr="00D64D4D" w:rsidRDefault="001901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D64D4D">
              <w:rPr>
                <w:rFonts w:ascii="Calibri" w:hAnsi="Calibri"/>
                <w:color w:val="000000"/>
                <w:sz w:val="22"/>
              </w:rPr>
              <w:t>3332</w:t>
            </w:r>
          </w:p>
        </w:tc>
        <w:tc>
          <w:tcPr>
            <w:tcW w:w="109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1901CD" w:rsidRPr="00D64D4D" w:rsidRDefault="001901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D64D4D">
              <w:rPr>
                <w:rFonts w:ascii="Calibri" w:hAnsi="Calibri"/>
                <w:color w:val="000000"/>
                <w:sz w:val="22"/>
              </w:rPr>
              <w:t>3283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D64D4D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D64D4D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 xml:space="preserve">See report by The Australia Institute based on NATSEM data, </w:t>
            </w:r>
            <w:hyperlink r:id="rId9" w:history="1">
              <w:r w:rsidRPr="00D64D4D">
                <w:rPr>
                  <w:rStyle w:val="Hyperlink"/>
                  <w:i/>
                  <w:sz w:val="22"/>
                </w:rPr>
                <w:t>Closing the Tax Loopholes: A Buffett Rule for Australia.</w:t>
              </w:r>
            </w:hyperlink>
          </w:p>
        </w:tc>
      </w:tr>
      <w:tr w:rsidR="00640346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Yes, see above.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It is estimated to apply to the top 1% of income earners, or 31, 524 households, predominately people aged between 40 and 60 years old.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Australian Tax Office</w:t>
            </w:r>
          </w:p>
        </w:tc>
      </w:tr>
      <w:tr w:rsidR="00640346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No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901CD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901CD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901CD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1901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List major data sources utilised to develop policy (for example, ABS catalogue number 3201.0).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As above</w:t>
            </w:r>
          </w:p>
        </w:tc>
      </w:tr>
      <w:tr w:rsidR="00640346" w:rsidTr="0019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98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64D4D" w:rsidRDefault="001901CD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64D4D"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563C3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33877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33877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563C3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33877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33877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1901CD"/>
    <w:rsid w:val="004C5CC2"/>
    <w:rsid w:val="00515A85"/>
    <w:rsid w:val="0055581F"/>
    <w:rsid w:val="00563C3E"/>
    <w:rsid w:val="005F7DE0"/>
    <w:rsid w:val="00640346"/>
    <w:rsid w:val="00660385"/>
    <w:rsid w:val="007202A8"/>
    <w:rsid w:val="007616C6"/>
    <w:rsid w:val="007B029A"/>
    <w:rsid w:val="007C4F2D"/>
    <w:rsid w:val="00833877"/>
    <w:rsid w:val="008B1774"/>
    <w:rsid w:val="008F588A"/>
    <w:rsid w:val="00902D2D"/>
    <w:rsid w:val="00AB0A8E"/>
    <w:rsid w:val="00BC559C"/>
    <w:rsid w:val="00CB40E1"/>
    <w:rsid w:val="00CF6DB6"/>
    <w:rsid w:val="00D134CA"/>
    <w:rsid w:val="00D64D4D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sites/greens.org.au/files/20160427%20Buffett%20High%20Income%20Tax%20Guarantee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ai.org.au/sites/defualt/files/Buffett%20Rule%20Final_0_0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6</cp:revision>
  <cp:lastPrinted>2016-04-20T06:27:00Z</cp:lastPrinted>
  <dcterms:created xsi:type="dcterms:W3CDTF">2016-06-23T06:03:00Z</dcterms:created>
  <dcterms:modified xsi:type="dcterms:W3CDTF">2016-06-23T07:54:00Z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