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3E77F7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Top</w:t>
            </w:r>
            <w:r w:rsidR="00214A2C">
              <w:rPr>
                <w:sz w:val="22"/>
              </w:rPr>
              <w:t xml:space="preserve"> Marginal Tax Rates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214A2C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79790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C1191E" w:rsidRPr="007E5972">
                <w:rPr>
                  <w:rStyle w:val="Hyperlink"/>
                  <w:sz w:val="22"/>
                </w:rPr>
                <w:t>http://greens.org.au/news/vic/greens-oppose-income-tax-cuts-company-tax-cuts-big-business</w:t>
              </w:r>
            </w:hyperlink>
            <w:r w:rsidR="00C1191E">
              <w:rPr>
                <w:sz w:val="22"/>
              </w:rPr>
              <w:t xml:space="preserve"> </w:t>
            </w:r>
          </w:p>
          <w:p w:rsidR="00BA0C8D" w:rsidRDefault="00BA0C8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and</w:t>
            </w:r>
          </w:p>
          <w:p w:rsidR="00BA0C8D" w:rsidRPr="00CB40E1" w:rsidRDefault="0079790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="00BA0C8D" w:rsidRPr="007E5972">
                <w:rPr>
                  <w:rStyle w:val="Hyperlink"/>
                  <w:sz w:val="22"/>
                </w:rPr>
                <w:t>http://www.theaustralian.com.au/national-affairs/treasury/greens-plan-to-raise-taxes-on-highestincome-earners/news-story/429171208693a53487a9351307f3418e</w:t>
              </w:r>
            </w:hyperlink>
            <w:r w:rsidR="00BA0C8D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3E77F7" w:rsidP="003E77F7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E77F7">
              <w:rPr>
                <w:sz w:val="22"/>
              </w:rPr>
              <w:t>To oppose the proposed lifting of the $80,000 tax rate to $87,000, make the temporary 2 cent increase to the top marginal tax rate permanent and introduce a new 50 cent tax rate on incomes over one million dollars.</w:t>
            </w:r>
          </w:p>
          <w:p w:rsidR="00DC7792" w:rsidRPr="003E77F7" w:rsidRDefault="00DC7792" w:rsidP="00DC779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Fringe Benefits Tax will be lifted accordingly.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3E77F7" w:rsidRDefault="003E77F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E77F7">
              <w:rPr>
                <w:sz w:val="22"/>
              </w:rPr>
              <w:t>To address the structural challenges in the budget and reduce income inequality.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3E77F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No, however it will interact with the High Income Tax Guarantee policy.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3E77F7" w:rsidP="00040794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3E77F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the proposed lifting on the $80k income tax rate to $87k will not go ahead.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77F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794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77F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2750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77F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3100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77F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</w:tr>
      <w:tr w:rsidR="003E77F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E77F7" w:rsidRPr="00CB40E1" w:rsidRDefault="003E77F7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E77F7" w:rsidRPr="00CB40E1" w:rsidRDefault="003E77F7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794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E77F7" w:rsidRPr="00CB40E1" w:rsidRDefault="003E77F7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2750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E77F7" w:rsidRPr="00CB40E1" w:rsidRDefault="003E77F7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3100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E77F7" w:rsidRPr="00CB40E1" w:rsidRDefault="003E77F7" w:rsidP="003F632B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3E77F7" w:rsidRDefault="00BA0C8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Australia’s higher income earners would be affected.</w:t>
            </w:r>
          </w:p>
          <w:p w:rsidR="003E77F7" w:rsidRDefault="003E77F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77F7" w:rsidRPr="00CB40E1" w:rsidRDefault="003E77F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ATO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77F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>
      <w:bookmarkStart w:id="0" w:name="_GoBack"/>
      <w:bookmarkEnd w:id="0"/>
    </w:p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E411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97900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9790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E411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97900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9790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40794"/>
    <w:rsid w:val="000B16B1"/>
    <w:rsid w:val="000C47FC"/>
    <w:rsid w:val="0014239B"/>
    <w:rsid w:val="00214A2C"/>
    <w:rsid w:val="003E77F7"/>
    <w:rsid w:val="004C5CC2"/>
    <w:rsid w:val="004F05A0"/>
    <w:rsid w:val="00515A85"/>
    <w:rsid w:val="0055581F"/>
    <w:rsid w:val="005C5A06"/>
    <w:rsid w:val="005F7DE0"/>
    <w:rsid w:val="00640346"/>
    <w:rsid w:val="00660385"/>
    <w:rsid w:val="007202A8"/>
    <w:rsid w:val="007616C6"/>
    <w:rsid w:val="00797900"/>
    <w:rsid w:val="007B029A"/>
    <w:rsid w:val="007C4F2D"/>
    <w:rsid w:val="008B1774"/>
    <w:rsid w:val="008F588A"/>
    <w:rsid w:val="00902D2D"/>
    <w:rsid w:val="00BA0C8D"/>
    <w:rsid w:val="00BC559C"/>
    <w:rsid w:val="00C1191E"/>
    <w:rsid w:val="00CB40E1"/>
    <w:rsid w:val="00CF6DB6"/>
    <w:rsid w:val="00D134CA"/>
    <w:rsid w:val="00DC7792"/>
    <w:rsid w:val="00E15AAE"/>
    <w:rsid w:val="00E411F3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vic/greens-oppose-income-tax-cuts-company-tax-cuts-big-busines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australian.com.au/national-affairs/treasury/greens-plan-to-raise-taxes-on-highestincome-earners/news-story/429171208693a53487a9351307f3418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11</cp:revision>
  <cp:lastPrinted>2016-04-20T06:27:00Z</cp:lastPrinted>
  <dcterms:created xsi:type="dcterms:W3CDTF">2016-06-23T03:56:00Z</dcterms:created>
  <dcterms:modified xsi:type="dcterms:W3CDTF">2016-06-23T07:53:00Z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