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44F" w:rsidRDefault="0046444F" w:rsidP="0046444F">
      <w:pPr>
        <w:pStyle w:val="Title"/>
      </w:pPr>
      <w:r w:rsidRPr="008D77AF">
        <w:t>Policy costing—outside the caretaker period</w:t>
      </w:r>
    </w:p>
    <w:tbl>
      <w:tblPr>
        <w:tblStyle w:val="LightGrid-Accent6"/>
        <w:tblW w:w="5000" w:type="pct"/>
        <w:tblLook w:val="0600" w:firstRow="0" w:lastRow="0" w:firstColumn="0" w:lastColumn="0" w:noHBand="1" w:noVBand="1"/>
      </w:tblPr>
      <w:tblGrid>
        <w:gridCol w:w="3085"/>
        <w:gridCol w:w="1276"/>
        <w:gridCol w:w="4167"/>
      </w:tblGrid>
      <w:tr w:rsidR="0098222F" w:rsidRPr="008D77AF" w:rsidTr="008112CC">
        <w:tc>
          <w:tcPr>
            <w:tcW w:w="1809" w:type="pct"/>
            <w:shd w:val="clear" w:color="auto" w:fill="D7DDE9" w:themeFill="accent3"/>
          </w:tcPr>
          <w:p w:rsidR="0098222F" w:rsidRPr="008D77AF" w:rsidRDefault="0098222F" w:rsidP="0098222F">
            <w:pPr>
              <w:pStyle w:val="PullOutBoxHeading"/>
            </w:pPr>
            <w:r w:rsidRPr="008D77AF">
              <w:t>Name of proposal:</w:t>
            </w:r>
          </w:p>
        </w:tc>
        <w:tc>
          <w:tcPr>
            <w:tcW w:w="3191" w:type="pct"/>
            <w:gridSpan w:val="2"/>
            <w:shd w:val="clear" w:color="auto" w:fill="D7DDE9" w:themeFill="accent3"/>
          </w:tcPr>
          <w:p w:rsidR="004B3022" w:rsidRPr="008D77AF" w:rsidRDefault="00EC322D" w:rsidP="003C54BF">
            <w:pPr>
              <w:pStyle w:val="PullOutBoxHeading"/>
            </w:pPr>
            <w:bookmarkStart w:id="0" w:name="_GoBack"/>
            <w:r w:rsidRPr="00EC322D">
              <w:t>Taxation of Uber and taxis</w:t>
            </w:r>
            <w:bookmarkEnd w:id="0"/>
          </w:p>
        </w:tc>
      </w:tr>
      <w:tr w:rsidR="0098222F" w:rsidRPr="008D77AF" w:rsidTr="008112CC">
        <w:tc>
          <w:tcPr>
            <w:tcW w:w="1809" w:type="pct"/>
          </w:tcPr>
          <w:p w:rsidR="0098222F" w:rsidRPr="008D77AF" w:rsidRDefault="0098222F" w:rsidP="0098222F">
            <w:pPr>
              <w:pStyle w:val="PullOutBoxBodyText"/>
            </w:pPr>
            <w:r w:rsidRPr="008D77AF">
              <w:t>Summary of proposal:</w:t>
            </w:r>
          </w:p>
        </w:tc>
        <w:tc>
          <w:tcPr>
            <w:tcW w:w="3191" w:type="pct"/>
            <w:gridSpan w:val="2"/>
          </w:tcPr>
          <w:p w:rsidR="00914D1C" w:rsidRDefault="00914D1C" w:rsidP="00914D1C">
            <w:pPr>
              <w:pStyle w:val="PullOutBoxBodyText"/>
            </w:pPr>
            <w:r>
              <w:t xml:space="preserve">The proposal </w:t>
            </w:r>
            <w:r w:rsidR="00A73B8C">
              <w:t>included two options to</w:t>
            </w:r>
            <w:r>
              <w:t xml:space="preserve"> change the requirement to register for Goods and Services Tax (GST)</w:t>
            </w:r>
            <w:r w:rsidR="00A73B8C">
              <w:t>.</w:t>
            </w:r>
          </w:p>
          <w:p w:rsidR="00AF21EE" w:rsidRDefault="00914D1C" w:rsidP="00914D1C">
            <w:pPr>
              <w:pStyle w:val="PullOutBoxBodyText"/>
              <w:tabs>
                <w:tab w:val="left" w:pos="884"/>
              </w:tabs>
            </w:pPr>
            <w:r w:rsidRPr="006539DB">
              <w:rPr>
                <w:u w:val="single"/>
              </w:rPr>
              <w:t xml:space="preserve">Option </w:t>
            </w:r>
            <w:r w:rsidR="00AF21EE" w:rsidRPr="00AF21EE">
              <w:rPr>
                <w:u w:val="single"/>
              </w:rPr>
              <w:t>1</w:t>
            </w:r>
            <w:r w:rsidR="004D34AF">
              <w:rPr>
                <w:u w:val="single"/>
              </w:rPr>
              <w:t xml:space="preserve"> –</w:t>
            </w:r>
            <w:r w:rsidR="00AF21EE" w:rsidRPr="00AF21EE">
              <w:rPr>
                <w:u w:val="single"/>
              </w:rPr>
              <w:t xml:space="preserve"> Remove </w:t>
            </w:r>
            <w:r w:rsidR="00364C15">
              <w:rPr>
                <w:u w:val="single"/>
              </w:rPr>
              <w:t xml:space="preserve">compulsory GST registration for </w:t>
            </w:r>
            <w:r w:rsidR="00AF21EE">
              <w:rPr>
                <w:u w:val="single"/>
              </w:rPr>
              <w:t>r</w:t>
            </w:r>
            <w:r w:rsidR="00AF21EE" w:rsidRPr="006539DB">
              <w:rPr>
                <w:u w:val="single"/>
              </w:rPr>
              <w:t>ide</w:t>
            </w:r>
            <w:r w:rsidR="00AF21EE">
              <w:rPr>
                <w:u w:val="single"/>
              </w:rPr>
              <w:noBreakHyphen/>
              <w:t>sourcing services</w:t>
            </w:r>
            <w:r w:rsidR="00364C15">
              <w:rPr>
                <w:u w:val="single"/>
              </w:rPr>
              <w:t xml:space="preserve"> only</w:t>
            </w:r>
            <w:r>
              <w:t>:</w:t>
            </w:r>
          </w:p>
          <w:p w:rsidR="00914D1C" w:rsidRDefault="00914D1C" w:rsidP="00914D1C">
            <w:pPr>
              <w:pStyle w:val="PullOutBoxBodyText"/>
              <w:tabs>
                <w:tab w:val="left" w:pos="884"/>
              </w:tabs>
            </w:pPr>
            <w:r>
              <w:t xml:space="preserve">Suppliers of ride-sourcing services (such as Uber) with a turnover below $75,000 would no longer be required to register for GST.  </w:t>
            </w:r>
          </w:p>
          <w:p w:rsidR="00364C15" w:rsidRDefault="00914D1C" w:rsidP="00914D1C">
            <w:pPr>
              <w:pStyle w:val="PullOutBoxBodyText"/>
              <w:tabs>
                <w:tab w:val="left" w:pos="884"/>
              </w:tabs>
            </w:pPr>
            <w:r w:rsidRPr="006539DB">
              <w:rPr>
                <w:u w:val="single"/>
              </w:rPr>
              <w:t>Option 2</w:t>
            </w:r>
            <w:r w:rsidR="00AF21EE" w:rsidRPr="006539DB">
              <w:rPr>
                <w:u w:val="single"/>
              </w:rPr>
              <w:t xml:space="preserve"> – Remove compulsory GST registration for </w:t>
            </w:r>
            <w:r w:rsidR="00AF21EE">
              <w:rPr>
                <w:u w:val="single"/>
              </w:rPr>
              <w:t xml:space="preserve">all </w:t>
            </w:r>
            <w:r w:rsidR="00364C15">
              <w:rPr>
                <w:u w:val="single"/>
              </w:rPr>
              <w:t>taxi travel services</w:t>
            </w:r>
            <w:r w:rsidRPr="006539DB">
              <w:rPr>
                <w:u w:val="single"/>
              </w:rPr>
              <w:t>:</w:t>
            </w:r>
            <w:r>
              <w:t xml:space="preserve"> </w:t>
            </w:r>
          </w:p>
          <w:p w:rsidR="00914D1C" w:rsidRDefault="00914D1C" w:rsidP="00914D1C">
            <w:pPr>
              <w:pStyle w:val="PullOutBoxBodyText"/>
              <w:tabs>
                <w:tab w:val="left" w:pos="884"/>
              </w:tabs>
            </w:pPr>
            <w:r>
              <w:t>Suppliers of all forms of taxi travel (including ride</w:t>
            </w:r>
            <w:r w:rsidR="008069F7">
              <w:noBreakHyphen/>
            </w:r>
            <w:r>
              <w:t xml:space="preserve">sourcing services) with a turnover below $75,000 would no longer be required to register for GST.  </w:t>
            </w:r>
          </w:p>
          <w:p w:rsidR="00914D1C" w:rsidRDefault="00914D1C" w:rsidP="00914D1C">
            <w:pPr>
              <w:pStyle w:val="PullOutBoxBodyText"/>
              <w:tabs>
                <w:tab w:val="left" w:pos="884"/>
              </w:tabs>
            </w:pPr>
            <w:r>
              <w:t xml:space="preserve">Under both options, suppliers of all forms of taxi travel (including ride-sourcing services) with a turnover above $75,000 would be required to register for GST. </w:t>
            </w:r>
          </w:p>
          <w:p w:rsidR="008112CC" w:rsidRPr="008D77AF" w:rsidRDefault="00914D1C" w:rsidP="00914D1C">
            <w:pPr>
              <w:pStyle w:val="PullOutBoxBodyText"/>
            </w:pPr>
            <w:r>
              <w:t>The proposal would have effect from 1 July 2015.</w:t>
            </w:r>
          </w:p>
        </w:tc>
      </w:tr>
      <w:tr w:rsidR="0098222F" w:rsidRPr="008D77AF" w:rsidTr="008112CC">
        <w:tc>
          <w:tcPr>
            <w:tcW w:w="1809" w:type="pct"/>
          </w:tcPr>
          <w:p w:rsidR="0098222F" w:rsidRPr="008D77AF" w:rsidRDefault="0098222F" w:rsidP="0098222F">
            <w:pPr>
              <w:pStyle w:val="PullOutBoxBodyText"/>
            </w:pPr>
            <w:r w:rsidRPr="008D77AF">
              <w:t>Person/party requesting the costing:</w:t>
            </w:r>
          </w:p>
        </w:tc>
        <w:tc>
          <w:tcPr>
            <w:tcW w:w="3191" w:type="pct"/>
            <w:gridSpan w:val="2"/>
          </w:tcPr>
          <w:p w:rsidR="0098222F" w:rsidRPr="008D77AF" w:rsidRDefault="00914D1C" w:rsidP="00FD1EE0">
            <w:pPr>
              <w:pStyle w:val="PullOutBoxBodyText"/>
            </w:pPr>
            <w:r w:rsidRPr="00914D1C">
              <w:t>Senator David Leyonhjelm, Liberal Democratic Party</w:t>
            </w:r>
          </w:p>
        </w:tc>
      </w:tr>
      <w:tr w:rsidR="008112CC" w:rsidRPr="008D77AF" w:rsidTr="008112CC">
        <w:tc>
          <w:tcPr>
            <w:tcW w:w="1809" w:type="pct"/>
          </w:tcPr>
          <w:p w:rsidR="008112CC" w:rsidRPr="008D77AF" w:rsidRDefault="008112CC" w:rsidP="0056001A">
            <w:pPr>
              <w:pStyle w:val="PullOutBoxBodyText"/>
            </w:pPr>
            <w:r w:rsidRPr="008D77AF">
              <w:t>Did the applicant request the costing be confidential:</w:t>
            </w:r>
          </w:p>
        </w:tc>
        <w:tc>
          <w:tcPr>
            <w:tcW w:w="748" w:type="pct"/>
            <w:tcBorders>
              <w:right w:val="nil"/>
            </w:tcBorders>
          </w:tcPr>
          <w:p w:rsidR="008112CC" w:rsidRPr="008D77AF" w:rsidRDefault="00426AAA" w:rsidP="0056001A">
            <w:pPr>
              <w:pStyle w:val="PullOutBoxBodyText"/>
            </w:pPr>
            <w:sdt>
              <w:sdtPr>
                <w:id w:val="33003715"/>
                <w14:checkbox>
                  <w14:checked w14:val="1"/>
                  <w14:checkedState w14:val="2612" w14:font="MS Gothic"/>
                  <w14:uncheckedState w14:val="2610" w14:font="MS Gothic"/>
                </w14:checkbox>
              </w:sdtPr>
              <w:sdtEndPr/>
              <w:sdtContent>
                <w:r w:rsidR="00914D1C">
                  <w:rPr>
                    <w:rFonts w:ascii="MS Gothic" w:eastAsia="MS Gothic" w:hAnsi="MS Gothic" w:hint="eastAsia"/>
                  </w:rPr>
                  <w:t>☒</w:t>
                </w:r>
              </w:sdtContent>
            </w:sdt>
            <w:r w:rsidR="008112CC" w:rsidRPr="008D77AF">
              <w:t xml:space="preserve"> Yes</w:t>
            </w:r>
          </w:p>
        </w:tc>
        <w:tc>
          <w:tcPr>
            <w:tcW w:w="2443" w:type="pct"/>
            <w:tcBorders>
              <w:left w:val="nil"/>
              <w:right w:val="single" w:sz="4" w:space="0" w:color="auto"/>
            </w:tcBorders>
          </w:tcPr>
          <w:p w:rsidR="008112CC" w:rsidRPr="008D77AF" w:rsidRDefault="00426AAA" w:rsidP="0056001A">
            <w:pPr>
              <w:pStyle w:val="PullOutBoxBodyText"/>
            </w:pPr>
            <w:sdt>
              <w:sdtPr>
                <w:id w:val="-864130722"/>
                <w14:checkbox>
                  <w14:checked w14:val="0"/>
                  <w14:checkedState w14:val="2612" w14:font="MS Gothic"/>
                  <w14:uncheckedState w14:val="2610" w14:font="MS Gothic"/>
                </w14:checkbox>
              </w:sdtPr>
              <w:sdtEndPr/>
              <w:sdtContent>
                <w:r w:rsidR="008112CC" w:rsidRPr="008D77AF">
                  <w:rPr>
                    <w:rFonts w:ascii="MS Gothic" w:eastAsia="MS Gothic" w:hAnsi="MS Gothic" w:hint="eastAsia"/>
                  </w:rPr>
                  <w:t>☐</w:t>
                </w:r>
              </w:sdtContent>
            </w:sdt>
            <w:r w:rsidR="008112CC" w:rsidRPr="008D77AF">
              <w:t xml:space="preserve"> No</w:t>
            </w:r>
          </w:p>
        </w:tc>
      </w:tr>
      <w:tr w:rsidR="008112CC" w:rsidRPr="008D77AF" w:rsidTr="0056001A">
        <w:tc>
          <w:tcPr>
            <w:tcW w:w="1809" w:type="pct"/>
          </w:tcPr>
          <w:p w:rsidR="008112CC" w:rsidRPr="008D77AF" w:rsidRDefault="008112CC" w:rsidP="0056001A">
            <w:pPr>
              <w:pStyle w:val="PullOutBoxBodyText"/>
            </w:pPr>
            <w:r w:rsidRPr="008D77AF">
              <w:t>Date costing request received:</w:t>
            </w:r>
          </w:p>
        </w:tc>
        <w:tc>
          <w:tcPr>
            <w:tcW w:w="3191" w:type="pct"/>
            <w:gridSpan w:val="2"/>
          </w:tcPr>
          <w:p w:rsidR="008112CC" w:rsidRPr="008D77AF" w:rsidRDefault="00495B0D" w:rsidP="0056001A">
            <w:pPr>
              <w:pStyle w:val="PullOutBoxBodyText"/>
            </w:pPr>
            <w:r>
              <w:t>9 August 2016</w:t>
            </w:r>
          </w:p>
        </w:tc>
      </w:tr>
      <w:tr w:rsidR="008112CC" w:rsidRPr="008D77AF" w:rsidTr="008112CC">
        <w:tc>
          <w:tcPr>
            <w:tcW w:w="1809" w:type="pct"/>
          </w:tcPr>
          <w:p w:rsidR="008112CC" w:rsidRPr="008D77AF" w:rsidRDefault="008112CC" w:rsidP="0098222F">
            <w:pPr>
              <w:pStyle w:val="PullOutBoxBodyText"/>
            </w:pPr>
            <w:r w:rsidRPr="008D77AF">
              <w:t>Date costing completed:</w:t>
            </w:r>
          </w:p>
        </w:tc>
        <w:tc>
          <w:tcPr>
            <w:tcW w:w="3191" w:type="pct"/>
            <w:gridSpan w:val="2"/>
          </w:tcPr>
          <w:p w:rsidR="008112CC" w:rsidRPr="008D77AF" w:rsidRDefault="0029039F" w:rsidP="00B62B98">
            <w:pPr>
              <w:pStyle w:val="PullOutBoxBodyText"/>
              <w:tabs>
                <w:tab w:val="center" w:pos="2613"/>
              </w:tabs>
            </w:pPr>
            <w:r>
              <w:t>13</w:t>
            </w:r>
            <w:r w:rsidR="00301ADA">
              <w:t xml:space="preserve"> September</w:t>
            </w:r>
            <w:r w:rsidR="00017119">
              <w:t xml:space="preserve"> 2016</w:t>
            </w:r>
          </w:p>
        </w:tc>
      </w:tr>
      <w:tr w:rsidR="008112CC" w:rsidRPr="008D77AF" w:rsidTr="008112CC">
        <w:tc>
          <w:tcPr>
            <w:tcW w:w="1809" w:type="pct"/>
          </w:tcPr>
          <w:p w:rsidR="008112CC" w:rsidRPr="008D77AF" w:rsidRDefault="008112CC" w:rsidP="0098222F">
            <w:pPr>
              <w:pStyle w:val="PullOutBoxBodyText"/>
            </w:pPr>
            <w:r w:rsidRPr="008D77AF">
              <w:t>Expiry date of the costing:</w:t>
            </w:r>
          </w:p>
        </w:tc>
        <w:tc>
          <w:tcPr>
            <w:tcW w:w="3191" w:type="pct"/>
            <w:gridSpan w:val="2"/>
          </w:tcPr>
          <w:p w:rsidR="008112CC" w:rsidRPr="008D77AF" w:rsidRDefault="00151A61" w:rsidP="00151A61">
            <w:pPr>
              <w:pStyle w:val="PullOutBoxBodyText"/>
            </w:pPr>
            <w:r>
              <w:t>The impact of the proposal in 2016-17 is valid unti</w:t>
            </w:r>
            <w:r w:rsidR="00E52686">
              <w:t>l 1 October 2016.</w:t>
            </w:r>
            <w:r w:rsidR="009446BC">
              <w:t xml:space="preserve"> </w:t>
            </w:r>
            <w:r w:rsidR="00E52686">
              <w:t xml:space="preserve"> The impact in</w:t>
            </w:r>
            <w:r>
              <w:t xml:space="preserve"> the remaining years is valid until the r</w:t>
            </w:r>
            <w:r w:rsidR="008112CC" w:rsidRPr="008D77AF">
              <w:t>elease of the next economic and fiscal outlook report.</w:t>
            </w:r>
          </w:p>
        </w:tc>
      </w:tr>
    </w:tbl>
    <w:p w:rsidR="0046444F" w:rsidRPr="008D77AF" w:rsidRDefault="0046444F" w:rsidP="00B81018">
      <w:pPr>
        <w:pStyle w:val="Heading1"/>
        <w:spacing w:after="200"/>
      </w:pPr>
      <w:r w:rsidRPr="008D77AF">
        <w:t>Costing overview</w:t>
      </w:r>
    </w:p>
    <w:p w:rsidR="00B81018" w:rsidRDefault="00575092" w:rsidP="00B81018">
      <w:pPr>
        <w:pStyle w:val="BodyText"/>
        <w:spacing w:before="0"/>
      </w:pPr>
      <w:r w:rsidRPr="00575092">
        <w:t xml:space="preserve">The reduced GST receipts from this proposal do not have a net financial impact on the underlying cash balance of the Commonwealth Government, as GST (net of administrative costs) is paid directly to the states and territories under the </w:t>
      </w:r>
      <w:r w:rsidRPr="00737B64">
        <w:rPr>
          <w:i/>
        </w:rPr>
        <w:t>Intergovernmental Agreement on Federal Financial Relations</w:t>
      </w:r>
      <w:r w:rsidR="00B81018">
        <w:t>.</w:t>
      </w:r>
    </w:p>
    <w:p w:rsidR="00D14DE3" w:rsidRDefault="00D14DE3" w:rsidP="006C3668">
      <w:pPr>
        <w:pStyle w:val="BodyText"/>
      </w:pPr>
      <w:r>
        <w:lastRenderedPageBreak/>
        <w:t>The effect of removing the current requirement to register for GST for certain taxi-like businesses will be to make those businesses</w:t>
      </w:r>
      <w:r w:rsidR="00F43312">
        <w:t xml:space="preserve"> that choose not to register</w:t>
      </w:r>
      <w:r>
        <w:t xml:space="preserve"> </w:t>
      </w:r>
      <w:r w:rsidR="00F43312">
        <w:t xml:space="preserve">input-taxed (i.e. </w:t>
      </w:r>
      <w:r>
        <w:t xml:space="preserve">exempt from the requirement to remit GST on services they supply, but </w:t>
      </w:r>
      <w:r w:rsidR="00F43312">
        <w:t>unable</w:t>
      </w:r>
      <w:r>
        <w:t xml:space="preserve"> to claim GST input tax credits for the GST they pay on their business inputs</w:t>
      </w:r>
      <w:r w:rsidR="002F21C6">
        <w:t xml:space="preserve"> such as fuel, insurance, maintenance, tyres, etc.</w:t>
      </w:r>
      <w:r w:rsidR="00F43312">
        <w:t>)</w:t>
      </w:r>
      <w:r w:rsidR="002F21C6">
        <w:t xml:space="preserve"> as long as their total turnover remains below the $75,000 per annum threshold.</w:t>
      </w:r>
    </w:p>
    <w:p w:rsidR="00A03CE1" w:rsidRDefault="00A05CB3" w:rsidP="00A03CE1">
      <w:pPr>
        <w:pStyle w:val="BodyText"/>
      </w:pPr>
      <w:r>
        <w:t>The</w:t>
      </w:r>
      <w:r w:rsidRPr="009466AB">
        <w:t xml:space="preserve"> delay between when GST revenue is recognised as being owed to the Commonwealth and the receipt of the payment through lodgement of a Bu</w:t>
      </w:r>
      <w:r>
        <w:t>siness Activity Statement (BAS) result</w:t>
      </w:r>
      <w:r w:rsidR="00B97747">
        <w:t>s</w:t>
      </w:r>
      <w:r>
        <w:t xml:space="preserve"> in a difference between t</w:t>
      </w:r>
      <w:r w:rsidR="00A03CE1" w:rsidRPr="009466AB">
        <w:t xml:space="preserve">he underlying cash balance impact of this proposal </w:t>
      </w:r>
      <w:r>
        <w:t>and</w:t>
      </w:r>
      <w:r w:rsidR="00A03CE1">
        <w:t xml:space="preserve"> the</w:t>
      </w:r>
      <w:r>
        <w:t xml:space="preserve"> fiscal balance impact.</w:t>
      </w:r>
    </w:p>
    <w:p w:rsidR="00CA605C" w:rsidRDefault="00CA605C" w:rsidP="008F6BC3">
      <w:pPr>
        <w:pStyle w:val="Heading2"/>
        <w:spacing w:before="220" w:after="220"/>
      </w:pPr>
      <w:r w:rsidRPr="006539DB">
        <w:t xml:space="preserve">Option </w:t>
      </w:r>
      <w:r w:rsidRPr="00AF21EE">
        <w:t xml:space="preserve">1 </w:t>
      </w:r>
      <w:r>
        <w:t>–</w:t>
      </w:r>
      <w:r w:rsidRPr="00AF21EE">
        <w:t xml:space="preserve"> Remove</w:t>
      </w:r>
      <w:r>
        <w:t xml:space="preserve"> compulsory GST registration for r</w:t>
      </w:r>
      <w:r w:rsidRPr="006539DB">
        <w:t>ide</w:t>
      </w:r>
      <w:r>
        <w:noBreakHyphen/>
        <w:t>sourcing services only</w:t>
      </w:r>
      <w:r w:rsidRPr="00B1365C">
        <w:t xml:space="preserve"> </w:t>
      </w:r>
    </w:p>
    <w:p w:rsidR="006C3668" w:rsidRPr="00002D5D" w:rsidRDefault="00575092" w:rsidP="006C3668">
      <w:pPr>
        <w:pStyle w:val="BodyText"/>
      </w:pPr>
      <w:r w:rsidRPr="00B1365C">
        <w:t xml:space="preserve">Option 1 </w:t>
      </w:r>
      <w:r w:rsidR="00405D41" w:rsidRPr="00B1365C">
        <w:t>of this proposal would be expected to d</w:t>
      </w:r>
      <w:r w:rsidR="00CF4D84">
        <w:t>ecrease the fiscal balance by $5</w:t>
      </w:r>
      <w:r w:rsidR="00405D41" w:rsidRPr="00B1365C">
        <w:t> million and have no impact on the underlying cash balance over the 2016</w:t>
      </w:r>
      <w:r w:rsidR="00405D41" w:rsidRPr="00B1365C">
        <w:noBreakHyphen/>
        <w:t>17 Budget forward estimates period.  On a fiscal balance basis, this impact reflects a decrease in GST revenue of $</w:t>
      </w:r>
      <w:r w:rsidR="00CF4D84">
        <w:t>16</w:t>
      </w:r>
      <w:r w:rsidR="00405D41">
        <w:t xml:space="preserve">0 million and a </w:t>
      </w:r>
      <w:r w:rsidR="00CF4D84">
        <w:t>decrease in GST expenses of $155</w:t>
      </w:r>
      <w:r w:rsidR="00405D41" w:rsidRPr="00B1365C">
        <w:t> million over this period.</w:t>
      </w:r>
    </w:p>
    <w:p w:rsidR="00F009B6" w:rsidRPr="005B0970" w:rsidRDefault="00F009B6" w:rsidP="008F6BC3">
      <w:pPr>
        <w:pStyle w:val="Caption"/>
        <w:spacing w:before="200"/>
      </w:pPr>
      <w:r w:rsidRPr="008112CC">
        <w:t xml:space="preserve">Table </w:t>
      </w:r>
      <w:fldSimple w:instr=" SEQ Table \* ARABIC \s 1 ">
        <w:r w:rsidR="00215B3F">
          <w:rPr>
            <w:noProof/>
          </w:rPr>
          <w:t>1</w:t>
        </w:r>
      </w:fldSimple>
      <w:r w:rsidRPr="008112CC">
        <w:t xml:space="preserve">: </w:t>
      </w:r>
      <w:r w:rsidR="00B1365C">
        <w:t xml:space="preserve">Option 1 </w:t>
      </w:r>
      <w:r w:rsidR="00CA605C" w:rsidRPr="00AF21EE">
        <w:t xml:space="preserve">- Remove </w:t>
      </w:r>
      <w:r w:rsidR="00CA605C">
        <w:t>compulsory GST registration for r</w:t>
      </w:r>
      <w:r w:rsidR="00CA605C" w:rsidRPr="006539DB">
        <w:t>ide</w:t>
      </w:r>
      <w:r w:rsidR="00CA605C">
        <w:noBreakHyphen/>
        <w:t>sourcing services only</w:t>
      </w:r>
      <w:r w:rsidR="00CA605C" w:rsidRPr="00B1365C">
        <w:t xml:space="preserve"> </w:t>
      </w:r>
      <w:r w:rsidR="00B1365C">
        <w:t xml:space="preserve">- </w:t>
      </w:r>
      <w:r>
        <w:t>Financial implications (outturn prices</w:t>
      </w:r>
      <w:proofErr w:type="gramStart"/>
      <w:r>
        <w:t>)</w:t>
      </w:r>
      <w:r w:rsidRPr="008112CC">
        <w:rPr>
          <w:vertAlign w:val="superscript"/>
        </w:rPr>
        <w:t>(</w:t>
      </w:r>
      <w:proofErr w:type="gramEnd"/>
      <w:r w:rsidRPr="008112CC">
        <w:rPr>
          <w:vertAlign w:val="superscript"/>
        </w:rPr>
        <w:t>a)</w:t>
      </w:r>
    </w:p>
    <w:tbl>
      <w:tblPr>
        <w:tblStyle w:val="LightGrid-Accent6"/>
        <w:tblW w:w="5000" w:type="pct"/>
        <w:tblLook w:val="0680" w:firstRow="0" w:lastRow="0" w:firstColumn="1" w:lastColumn="0" w:noHBand="1" w:noVBand="1"/>
      </w:tblPr>
      <w:tblGrid>
        <w:gridCol w:w="2518"/>
        <w:gridCol w:w="1203"/>
        <w:gridCol w:w="1202"/>
        <w:gridCol w:w="1202"/>
        <w:gridCol w:w="1202"/>
        <w:gridCol w:w="1201"/>
      </w:tblGrid>
      <w:tr w:rsidR="00F009B6" w:rsidTr="009466AB">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F009B6" w:rsidRPr="005B0970" w:rsidRDefault="00F009B6" w:rsidP="009466AB">
            <w:pPr>
              <w:pStyle w:val="TableHeading"/>
            </w:pPr>
            <w:r w:rsidRPr="005B0970">
              <w:t>Impact on ($m)</w:t>
            </w:r>
          </w:p>
        </w:tc>
        <w:tc>
          <w:tcPr>
            <w:tcW w:w="705" w:type="pct"/>
            <w:shd w:val="clear" w:color="auto" w:fill="D7DDE9" w:themeFill="accent3"/>
            <w:vAlign w:val="center"/>
          </w:tcPr>
          <w:p w:rsidR="00F009B6" w:rsidRPr="005B0970" w:rsidRDefault="00F009B6" w:rsidP="009466A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2016–17</w:t>
            </w:r>
          </w:p>
        </w:tc>
        <w:tc>
          <w:tcPr>
            <w:tcW w:w="705" w:type="pct"/>
            <w:shd w:val="clear" w:color="auto" w:fill="D7DDE9" w:themeFill="accent3"/>
            <w:vAlign w:val="center"/>
          </w:tcPr>
          <w:p w:rsidR="00F009B6" w:rsidRPr="005B0970" w:rsidRDefault="00F009B6" w:rsidP="009466A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705" w:type="pct"/>
            <w:shd w:val="clear" w:color="auto" w:fill="D7DDE9" w:themeFill="accent3"/>
            <w:vAlign w:val="center"/>
          </w:tcPr>
          <w:p w:rsidR="00F009B6" w:rsidRPr="005B0970" w:rsidRDefault="00F009B6" w:rsidP="009466A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705" w:type="pct"/>
            <w:shd w:val="clear" w:color="auto" w:fill="D7DDE9" w:themeFill="accent3"/>
            <w:vAlign w:val="center"/>
          </w:tcPr>
          <w:p w:rsidR="00F009B6" w:rsidRPr="005B0970" w:rsidRDefault="00F009B6" w:rsidP="009466A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2019–20</w:t>
            </w:r>
          </w:p>
        </w:tc>
        <w:tc>
          <w:tcPr>
            <w:tcW w:w="704" w:type="pct"/>
            <w:shd w:val="clear" w:color="auto" w:fill="D7DDE9" w:themeFill="accent3"/>
            <w:vAlign w:val="center"/>
          </w:tcPr>
          <w:p w:rsidR="00F009B6" w:rsidRPr="008927EB" w:rsidRDefault="00F009B6" w:rsidP="009466AB">
            <w:pPr>
              <w:pStyle w:val="TableHeadingRight"/>
              <w:cnfStyle w:val="000000000000" w:firstRow="0" w:lastRow="0" w:firstColumn="0" w:lastColumn="0" w:oddVBand="0" w:evenVBand="0" w:oddHBand="0" w:evenHBand="0" w:firstRowFirstColumn="0" w:firstRowLastColumn="0" w:lastRowFirstColumn="0" w:lastRowLastColumn="0"/>
            </w:pPr>
            <w:r w:rsidRPr="008927EB">
              <w:t>Total to 2019–20</w:t>
            </w:r>
          </w:p>
        </w:tc>
      </w:tr>
      <w:tr w:rsidR="008B2327" w:rsidTr="009466AB">
        <w:tc>
          <w:tcPr>
            <w:cnfStyle w:val="001000000000" w:firstRow="0" w:lastRow="0" w:firstColumn="1" w:lastColumn="0" w:oddVBand="0" w:evenVBand="0" w:oddHBand="0" w:evenHBand="0" w:firstRowFirstColumn="0" w:firstRowLastColumn="0" w:lastRowFirstColumn="0" w:lastRowLastColumn="0"/>
            <w:tcW w:w="1476" w:type="pct"/>
            <w:vAlign w:val="center"/>
          </w:tcPr>
          <w:p w:rsidR="008B2327" w:rsidRPr="005B0970" w:rsidRDefault="008B2327" w:rsidP="009466AB">
            <w:pPr>
              <w:pStyle w:val="TableHeading"/>
              <w:rPr>
                <w:rFonts w:asciiTheme="majorHAnsi" w:hAnsiTheme="majorHAnsi"/>
              </w:rPr>
            </w:pPr>
            <w:r w:rsidRPr="005B0970">
              <w:t>Fiscal balance</w:t>
            </w:r>
          </w:p>
        </w:tc>
        <w:tc>
          <w:tcPr>
            <w:tcW w:w="705" w:type="pct"/>
            <w:vAlign w:val="center"/>
          </w:tcPr>
          <w:p w:rsidR="008B2327" w:rsidRPr="00B97747" w:rsidRDefault="008927EB">
            <w:pPr>
              <w:pStyle w:val="TableTextRight"/>
              <w:cnfStyle w:val="000000000000" w:firstRow="0" w:lastRow="0" w:firstColumn="0" w:lastColumn="0" w:oddVBand="0" w:evenVBand="0" w:oddHBand="0" w:evenHBand="0" w:firstRowFirstColumn="0" w:firstRowLastColumn="0" w:lastRowFirstColumn="0" w:lastRowLastColumn="0"/>
            </w:pPr>
            <w:r w:rsidRPr="00313564">
              <w:t>-</w:t>
            </w:r>
            <w:r w:rsidR="0029039F">
              <w:t>5</w:t>
            </w:r>
            <w:r w:rsidR="007465A9" w:rsidRPr="00313564">
              <w:t>.0</w:t>
            </w:r>
          </w:p>
        </w:tc>
        <w:tc>
          <w:tcPr>
            <w:tcW w:w="705" w:type="pct"/>
            <w:vAlign w:val="center"/>
          </w:tcPr>
          <w:p w:rsidR="008B2327" w:rsidRPr="00B97747" w:rsidRDefault="008927EB">
            <w:pPr>
              <w:pStyle w:val="TableTextRight"/>
              <w:cnfStyle w:val="000000000000" w:firstRow="0" w:lastRow="0" w:firstColumn="0" w:lastColumn="0" w:oddVBand="0" w:evenVBand="0" w:oddHBand="0" w:evenHBand="0" w:firstRowFirstColumn="0" w:firstRowLastColumn="0" w:lastRowFirstColumn="0" w:lastRowLastColumn="0"/>
            </w:pPr>
            <w:r w:rsidRPr="00313564">
              <w:t>-</w:t>
            </w:r>
          </w:p>
        </w:tc>
        <w:tc>
          <w:tcPr>
            <w:tcW w:w="705" w:type="pct"/>
            <w:vAlign w:val="center"/>
          </w:tcPr>
          <w:p w:rsidR="008B2327" w:rsidRPr="00B97747" w:rsidRDefault="008927EB">
            <w:pPr>
              <w:pStyle w:val="TableTextRight"/>
              <w:cnfStyle w:val="000000000000" w:firstRow="0" w:lastRow="0" w:firstColumn="0" w:lastColumn="0" w:oddVBand="0" w:evenVBand="0" w:oddHBand="0" w:evenHBand="0" w:firstRowFirstColumn="0" w:firstRowLastColumn="0" w:lastRowFirstColumn="0" w:lastRowLastColumn="0"/>
            </w:pPr>
            <w:r w:rsidRPr="00313564">
              <w:t>-</w:t>
            </w:r>
          </w:p>
        </w:tc>
        <w:tc>
          <w:tcPr>
            <w:tcW w:w="705" w:type="pct"/>
            <w:vAlign w:val="center"/>
          </w:tcPr>
          <w:p w:rsidR="008B2327" w:rsidRPr="00B97747" w:rsidRDefault="008927EB">
            <w:pPr>
              <w:pStyle w:val="TableTextRight"/>
              <w:cnfStyle w:val="000000000000" w:firstRow="0" w:lastRow="0" w:firstColumn="0" w:lastColumn="0" w:oddVBand="0" w:evenVBand="0" w:oddHBand="0" w:evenHBand="0" w:firstRowFirstColumn="0" w:firstRowLastColumn="0" w:lastRowFirstColumn="0" w:lastRowLastColumn="0"/>
            </w:pPr>
            <w:r w:rsidRPr="00313564">
              <w:t>-</w:t>
            </w:r>
          </w:p>
        </w:tc>
        <w:tc>
          <w:tcPr>
            <w:tcW w:w="704" w:type="pct"/>
            <w:vAlign w:val="center"/>
          </w:tcPr>
          <w:p w:rsidR="008B2327" w:rsidRPr="008927EB" w:rsidRDefault="0029039F" w:rsidP="009466AB">
            <w:pPr>
              <w:pStyle w:val="TableTextRightBold"/>
              <w:cnfStyle w:val="000000000000" w:firstRow="0" w:lastRow="0" w:firstColumn="0" w:lastColumn="0" w:oddVBand="0" w:evenVBand="0" w:oddHBand="0" w:evenHBand="0" w:firstRowFirstColumn="0" w:firstRowLastColumn="0" w:lastRowFirstColumn="0" w:lastRowLastColumn="0"/>
            </w:pPr>
            <w:r>
              <w:rPr>
                <w:bCs/>
                <w:noProof/>
                <w:color w:val="000000"/>
                <w:szCs w:val="20"/>
              </w:rPr>
              <w:t>-5</w:t>
            </w:r>
            <w:r w:rsidR="007465A9">
              <w:rPr>
                <w:bCs/>
                <w:noProof/>
                <w:color w:val="000000"/>
                <w:szCs w:val="20"/>
              </w:rPr>
              <w:t>.0</w:t>
            </w:r>
          </w:p>
        </w:tc>
      </w:tr>
      <w:tr w:rsidR="008B2327" w:rsidTr="009466AB">
        <w:tc>
          <w:tcPr>
            <w:cnfStyle w:val="001000000000" w:firstRow="0" w:lastRow="0" w:firstColumn="1" w:lastColumn="0" w:oddVBand="0" w:evenVBand="0" w:oddHBand="0" w:evenHBand="0" w:firstRowFirstColumn="0" w:firstRowLastColumn="0" w:lastRowFirstColumn="0" w:lastRowLastColumn="0"/>
            <w:tcW w:w="1476" w:type="pct"/>
            <w:vAlign w:val="center"/>
          </w:tcPr>
          <w:p w:rsidR="008B2327" w:rsidRPr="005B0970" w:rsidRDefault="008B2327" w:rsidP="009466AB">
            <w:pPr>
              <w:pStyle w:val="TableHeading"/>
            </w:pPr>
            <w:r w:rsidRPr="005B0970">
              <w:t>Underlying cash balance</w:t>
            </w:r>
          </w:p>
        </w:tc>
        <w:tc>
          <w:tcPr>
            <w:tcW w:w="705" w:type="pct"/>
            <w:vAlign w:val="center"/>
          </w:tcPr>
          <w:p w:rsidR="008B2327" w:rsidRPr="00B97747" w:rsidRDefault="008927EB">
            <w:pPr>
              <w:pStyle w:val="TableTextRight"/>
              <w:cnfStyle w:val="000000000000" w:firstRow="0" w:lastRow="0" w:firstColumn="0" w:lastColumn="0" w:oddVBand="0" w:evenVBand="0" w:oddHBand="0" w:evenHBand="0" w:firstRowFirstColumn="0" w:firstRowLastColumn="0" w:lastRowFirstColumn="0" w:lastRowLastColumn="0"/>
            </w:pPr>
            <w:r w:rsidRPr="00313564">
              <w:t>-</w:t>
            </w:r>
          </w:p>
        </w:tc>
        <w:tc>
          <w:tcPr>
            <w:tcW w:w="705" w:type="pct"/>
            <w:vAlign w:val="center"/>
          </w:tcPr>
          <w:p w:rsidR="008B2327" w:rsidRPr="00B97747" w:rsidRDefault="008927EB">
            <w:pPr>
              <w:pStyle w:val="TableTextRight"/>
              <w:cnfStyle w:val="000000000000" w:firstRow="0" w:lastRow="0" w:firstColumn="0" w:lastColumn="0" w:oddVBand="0" w:evenVBand="0" w:oddHBand="0" w:evenHBand="0" w:firstRowFirstColumn="0" w:firstRowLastColumn="0" w:lastRowFirstColumn="0" w:lastRowLastColumn="0"/>
            </w:pPr>
            <w:r w:rsidRPr="00313564">
              <w:t>-</w:t>
            </w:r>
          </w:p>
        </w:tc>
        <w:tc>
          <w:tcPr>
            <w:tcW w:w="705" w:type="pct"/>
            <w:vAlign w:val="center"/>
          </w:tcPr>
          <w:p w:rsidR="008B2327" w:rsidRPr="00B97747" w:rsidRDefault="008927EB">
            <w:pPr>
              <w:pStyle w:val="TableTextRight"/>
              <w:cnfStyle w:val="000000000000" w:firstRow="0" w:lastRow="0" w:firstColumn="0" w:lastColumn="0" w:oddVBand="0" w:evenVBand="0" w:oddHBand="0" w:evenHBand="0" w:firstRowFirstColumn="0" w:firstRowLastColumn="0" w:lastRowFirstColumn="0" w:lastRowLastColumn="0"/>
            </w:pPr>
            <w:r w:rsidRPr="00313564">
              <w:t>-</w:t>
            </w:r>
          </w:p>
        </w:tc>
        <w:tc>
          <w:tcPr>
            <w:tcW w:w="705" w:type="pct"/>
            <w:vAlign w:val="center"/>
          </w:tcPr>
          <w:p w:rsidR="008B2327" w:rsidRPr="00B97747" w:rsidRDefault="008927EB">
            <w:pPr>
              <w:pStyle w:val="TableTextRight"/>
              <w:cnfStyle w:val="000000000000" w:firstRow="0" w:lastRow="0" w:firstColumn="0" w:lastColumn="0" w:oddVBand="0" w:evenVBand="0" w:oddHBand="0" w:evenHBand="0" w:firstRowFirstColumn="0" w:firstRowLastColumn="0" w:lastRowFirstColumn="0" w:lastRowLastColumn="0"/>
            </w:pPr>
            <w:r w:rsidRPr="00313564">
              <w:t>-</w:t>
            </w:r>
          </w:p>
        </w:tc>
        <w:tc>
          <w:tcPr>
            <w:tcW w:w="704" w:type="pct"/>
            <w:vAlign w:val="center"/>
          </w:tcPr>
          <w:p w:rsidR="008B2327" w:rsidRPr="008927EB" w:rsidRDefault="008927EB" w:rsidP="009466AB">
            <w:pPr>
              <w:pStyle w:val="TableTextRightBold"/>
              <w:cnfStyle w:val="000000000000" w:firstRow="0" w:lastRow="0" w:firstColumn="0" w:lastColumn="0" w:oddVBand="0" w:evenVBand="0" w:oddHBand="0" w:evenHBand="0" w:firstRowFirstColumn="0" w:firstRowLastColumn="0" w:lastRowFirstColumn="0" w:lastRowLastColumn="0"/>
            </w:pPr>
            <w:r w:rsidRPr="008927EB">
              <w:rPr>
                <w:bCs/>
                <w:noProof/>
                <w:color w:val="000000"/>
                <w:szCs w:val="20"/>
              </w:rPr>
              <w:t>-</w:t>
            </w:r>
          </w:p>
        </w:tc>
      </w:tr>
    </w:tbl>
    <w:p w:rsidR="00F009B6" w:rsidRDefault="00F009B6" w:rsidP="006623E7">
      <w:pPr>
        <w:pStyle w:val="TableFootnotes"/>
        <w:ind w:left="284" w:hanging="284"/>
      </w:pPr>
      <w:r>
        <w:t xml:space="preserve">A positive number represents an increase in the relevant budget </w:t>
      </w:r>
      <w:proofErr w:type="gramStart"/>
      <w:r>
        <w:t>balance,</w:t>
      </w:r>
      <w:proofErr w:type="gramEnd"/>
      <w:r>
        <w:t xml:space="preserve"> a negative number represents a decrease.</w:t>
      </w:r>
    </w:p>
    <w:p w:rsidR="00F009B6" w:rsidRDefault="00F009B6" w:rsidP="006623E7">
      <w:pPr>
        <w:pStyle w:val="TableFootnotes"/>
        <w:keepNext/>
        <w:numPr>
          <w:ilvl w:val="0"/>
          <w:numId w:val="11"/>
        </w:numPr>
        <w:ind w:left="284" w:hanging="284"/>
      </w:pPr>
      <w:r>
        <w:t>Indicates nil.</w:t>
      </w:r>
    </w:p>
    <w:p w:rsidR="00CA605C" w:rsidRDefault="00CA605C" w:rsidP="008F6BC3">
      <w:pPr>
        <w:pStyle w:val="Heading2"/>
        <w:spacing w:before="220" w:after="220"/>
      </w:pPr>
      <w:r w:rsidRPr="006539DB">
        <w:t xml:space="preserve">Option 2 – Remove compulsory GST registration for </w:t>
      </w:r>
      <w:r>
        <w:t>all taxi travel services</w:t>
      </w:r>
      <w:r w:rsidRPr="00B1365C">
        <w:t xml:space="preserve"> </w:t>
      </w:r>
    </w:p>
    <w:p w:rsidR="008F6BC3" w:rsidRDefault="00F009B6" w:rsidP="008F6BC3">
      <w:pPr>
        <w:pStyle w:val="BodyText"/>
      </w:pPr>
      <w:r w:rsidRPr="00B1365C">
        <w:t xml:space="preserve">Option 2 of this proposal would be expected to </w:t>
      </w:r>
      <w:r w:rsidR="00D03146" w:rsidRPr="00B1365C">
        <w:t>decrease the fiscal balance by $</w:t>
      </w:r>
      <w:r w:rsidR="00405D41">
        <w:t>2</w:t>
      </w:r>
      <w:r w:rsidR="00D03146" w:rsidRPr="00B1365C">
        <w:t>0 million and have no impact on the underlying cash balance over the 2016</w:t>
      </w:r>
      <w:r w:rsidR="00D03146" w:rsidRPr="00B1365C">
        <w:noBreakHyphen/>
        <w:t>17 Budget forward estimates period</w:t>
      </w:r>
      <w:r w:rsidR="004653DD" w:rsidRPr="00B1365C">
        <w:t>.  On a fiscal balance basis, t</w:t>
      </w:r>
      <w:r w:rsidRPr="00B1365C">
        <w:t>his impact reflects a decrease in GST revenue of $</w:t>
      </w:r>
      <w:r w:rsidR="00CF4D84">
        <w:t>585</w:t>
      </w:r>
      <w:r w:rsidR="0029500F">
        <w:t> million and a</w:t>
      </w:r>
      <w:r w:rsidRPr="00B1365C">
        <w:t xml:space="preserve"> decrease in GST expenses of $</w:t>
      </w:r>
      <w:r w:rsidR="00CF4D84">
        <w:t>565</w:t>
      </w:r>
      <w:r w:rsidRPr="00B1365C">
        <w:t> million over this period.</w:t>
      </w:r>
    </w:p>
    <w:p w:rsidR="00F009B6" w:rsidRPr="005B0970" w:rsidRDefault="00F009B6" w:rsidP="008F6BC3">
      <w:pPr>
        <w:pStyle w:val="Caption"/>
        <w:spacing w:before="200"/>
      </w:pPr>
      <w:r w:rsidRPr="008112CC">
        <w:t xml:space="preserve">Table </w:t>
      </w:r>
      <w:r w:rsidR="00B1365C">
        <w:t>2</w:t>
      </w:r>
      <w:r w:rsidRPr="008112CC">
        <w:t xml:space="preserve">: </w:t>
      </w:r>
      <w:r w:rsidR="00B1365C">
        <w:t xml:space="preserve">Option 2 </w:t>
      </w:r>
      <w:r w:rsidR="00CA605C">
        <w:t>-</w:t>
      </w:r>
      <w:r w:rsidR="00CA605C" w:rsidRPr="006539DB">
        <w:t xml:space="preserve"> Remove compulsory GST registration for </w:t>
      </w:r>
      <w:r w:rsidR="00CA605C">
        <w:t>all taxi travel services</w:t>
      </w:r>
      <w:r w:rsidR="00CA605C" w:rsidRPr="00B1365C">
        <w:t xml:space="preserve"> </w:t>
      </w:r>
      <w:r w:rsidR="00B1365C">
        <w:t xml:space="preserve">- </w:t>
      </w:r>
      <w:r>
        <w:t>Financial implications (outturn prices</w:t>
      </w:r>
      <w:proofErr w:type="gramStart"/>
      <w:r>
        <w:t>)</w:t>
      </w:r>
      <w:r w:rsidRPr="008112CC">
        <w:rPr>
          <w:vertAlign w:val="superscript"/>
        </w:rPr>
        <w:t>(</w:t>
      </w:r>
      <w:proofErr w:type="gramEnd"/>
      <w:r w:rsidRPr="008112CC">
        <w:rPr>
          <w:vertAlign w:val="superscript"/>
        </w:rPr>
        <w:t>a)</w:t>
      </w:r>
    </w:p>
    <w:tbl>
      <w:tblPr>
        <w:tblStyle w:val="LightGrid-Accent6"/>
        <w:tblW w:w="5000" w:type="pct"/>
        <w:tblLook w:val="0680" w:firstRow="0" w:lastRow="0" w:firstColumn="1" w:lastColumn="0" w:noHBand="1" w:noVBand="1"/>
      </w:tblPr>
      <w:tblGrid>
        <w:gridCol w:w="2518"/>
        <w:gridCol w:w="1203"/>
        <w:gridCol w:w="1202"/>
        <w:gridCol w:w="1202"/>
        <w:gridCol w:w="1202"/>
        <w:gridCol w:w="1201"/>
      </w:tblGrid>
      <w:tr w:rsidR="00F009B6" w:rsidTr="009466AB">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F009B6" w:rsidRPr="005B0970" w:rsidRDefault="00F009B6" w:rsidP="009466AB">
            <w:pPr>
              <w:pStyle w:val="TableHeading"/>
            </w:pPr>
            <w:r w:rsidRPr="005B0970">
              <w:t>Impact on ($m)</w:t>
            </w:r>
          </w:p>
        </w:tc>
        <w:tc>
          <w:tcPr>
            <w:tcW w:w="705" w:type="pct"/>
            <w:shd w:val="clear" w:color="auto" w:fill="D7DDE9" w:themeFill="accent3"/>
            <w:vAlign w:val="center"/>
          </w:tcPr>
          <w:p w:rsidR="00F009B6" w:rsidRPr="005B0970" w:rsidRDefault="00F009B6" w:rsidP="009466A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2016–17</w:t>
            </w:r>
          </w:p>
        </w:tc>
        <w:tc>
          <w:tcPr>
            <w:tcW w:w="705" w:type="pct"/>
            <w:shd w:val="clear" w:color="auto" w:fill="D7DDE9" w:themeFill="accent3"/>
            <w:vAlign w:val="center"/>
          </w:tcPr>
          <w:p w:rsidR="00F009B6" w:rsidRPr="005B0970" w:rsidRDefault="00F009B6" w:rsidP="009466A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705" w:type="pct"/>
            <w:shd w:val="clear" w:color="auto" w:fill="D7DDE9" w:themeFill="accent3"/>
            <w:vAlign w:val="center"/>
          </w:tcPr>
          <w:p w:rsidR="00F009B6" w:rsidRPr="005B0970" w:rsidRDefault="00F009B6" w:rsidP="009466A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705" w:type="pct"/>
            <w:shd w:val="clear" w:color="auto" w:fill="D7DDE9" w:themeFill="accent3"/>
            <w:vAlign w:val="center"/>
          </w:tcPr>
          <w:p w:rsidR="00F009B6" w:rsidRPr="005B0970" w:rsidRDefault="00F009B6" w:rsidP="009466AB">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2019–20</w:t>
            </w:r>
          </w:p>
        </w:tc>
        <w:tc>
          <w:tcPr>
            <w:tcW w:w="704" w:type="pct"/>
            <w:shd w:val="clear" w:color="auto" w:fill="D7DDE9" w:themeFill="accent3"/>
            <w:vAlign w:val="center"/>
          </w:tcPr>
          <w:p w:rsidR="00F009B6" w:rsidRPr="008927EB" w:rsidRDefault="00F009B6" w:rsidP="009466AB">
            <w:pPr>
              <w:pStyle w:val="TableHeadingRight"/>
              <w:cnfStyle w:val="000000000000" w:firstRow="0" w:lastRow="0" w:firstColumn="0" w:lastColumn="0" w:oddVBand="0" w:evenVBand="0" w:oddHBand="0" w:evenHBand="0" w:firstRowFirstColumn="0" w:firstRowLastColumn="0" w:lastRowFirstColumn="0" w:lastRowLastColumn="0"/>
            </w:pPr>
            <w:r w:rsidRPr="008927EB">
              <w:t>Total to 2019–20</w:t>
            </w:r>
          </w:p>
        </w:tc>
      </w:tr>
      <w:tr w:rsidR="00B1365C" w:rsidTr="009466AB">
        <w:tc>
          <w:tcPr>
            <w:cnfStyle w:val="001000000000" w:firstRow="0" w:lastRow="0" w:firstColumn="1" w:lastColumn="0" w:oddVBand="0" w:evenVBand="0" w:oddHBand="0" w:evenHBand="0" w:firstRowFirstColumn="0" w:firstRowLastColumn="0" w:lastRowFirstColumn="0" w:lastRowLastColumn="0"/>
            <w:tcW w:w="1476" w:type="pct"/>
            <w:vAlign w:val="center"/>
          </w:tcPr>
          <w:p w:rsidR="00B1365C" w:rsidRPr="005B0970" w:rsidRDefault="00B1365C" w:rsidP="009466AB">
            <w:pPr>
              <w:pStyle w:val="TableHeading"/>
              <w:rPr>
                <w:rFonts w:asciiTheme="majorHAnsi" w:hAnsiTheme="majorHAnsi"/>
              </w:rPr>
            </w:pPr>
            <w:r w:rsidRPr="005B0970">
              <w:t>Fiscal balance</w:t>
            </w:r>
          </w:p>
        </w:tc>
        <w:tc>
          <w:tcPr>
            <w:tcW w:w="705" w:type="pct"/>
            <w:vAlign w:val="center"/>
          </w:tcPr>
          <w:p w:rsidR="00B1365C" w:rsidRPr="008D77AF" w:rsidRDefault="00B1365C" w:rsidP="009466AB">
            <w:pPr>
              <w:pStyle w:val="TableTextRight"/>
              <w:cnfStyle w:val="000000000000" w:firstRow="0" w:lastRow="0" w:firstColumn="0" w:lastColumn="0" w:oddVBand="0" w:evenVBand="0" w:oddHBand="0" w:evenHBand="0" w:firstRowFirstColumn="0" w:firstRowLastColumn="0" w:lastRowFirstColumn="0" w:lastRowLastColumn="0"/>
            </w:pPr>
            <w:r>
              <w:rPr>
                <w:color w:val="000000"/>
                <w:szCs w:val="20"/>
              </w:rPr>
              <w:t>-</w:t>
            </w:r>
            <w:r w:rsidR="0029039F">
              <w:rPr>
                <w:color w:val="000000"/>
                <w:szCs w:val="20"/>
              </w:rPr>
              <w:t>15</w:t>
            </w:r>
            <w:r>
              <w:rPr>
                <w:color w:val="000000"/>
                <w:szCs w:val="20"/>
              </w:rPr>
              <w:t>.0</w:t>
            </w:r>
          </w:p>
        </w:tc>
        <w:tc>
          <w:tcPr>
            <w:tcW w:w="705" w:type="pct"/>
            <w:vAlign w:val="center"/>
          </w:tcPr>
          <w:p w:rsidR="00B1365C" w:rsidRPr="008D77AF" w:rsidRDefault="008927EB" w:rsidP="009466AB">
            <w:pPr>
              <w:pStyle w:val="TableTextRight"/>
              <w:cnfStyle w:val="000000000000" w:firstRow="0" w:lastRow="0" w:firstColumn="0" w:lastColumn="0" w:oddVBand="0" w:evenVBand="0" w:oddHBand="0" w:evenHBand="0" w:firstRowFirstColumn="0" w:firstRowLastColumn="0" w:lastRowFirstColumn="0" w:lastRowLastColumn="0"/>
            </w:pPr>
            <w:r>
              <w:rPr>
                <w:noProof/>
                <w:color w:val="000000"/>
                <w:szCs w:val="20"/>
              </w:rPr>
              <w:t>-</w:t>
            </w:r>
            <w:r w:rsidR="0029039F">
              <w:rPr>
                <w:noProof/>
                <w:color w:val="000000"/>
                <w:szCs w:val="20"/>
              </w:rPr>
              <w:t>5.0</w:t>
            </w:r>
          </w:p>
        </w:tc>
        <w:tc>
          <w:tcPr>
            <w:tcW w:w="705" w:type="pct"/>
            <w:vAlign w:val="center"/>
          </w:tcPr>
          <w:p w:rsidR="00B1365C" w:rsidRPr="008D77AF" w:rsidRDefault="008927EB" w:rsidP="009466AB">
            <w:pPr>
              <w:pStyle w:val="TableTextRight"/>
              <w:cnfStyle w:val="000000000000" w:firstRow="0" w:lastRow="0" w:firstColumn="0" w:lastColumn="0" w:oddVBand="0" w:evenVBand="0" w:oddHBand="0" w:evenHBand="0" w:firstRowFirstColumn="0" w:firstRowLastColumn="0" w:lastRowFirstColumn="0" w:lastRowLastColumn="0"/>
            </w:pPr>
            <w:r>
              <w:rPr>
                <w:noProof/>
                <w:color w:val="000000"/>
                <w:szCs w:val="20"/>
              </w:rPr>
              <w:t>-</w:t>
            </w:r>
          </w:p>
        </w:tc>
        <w:tc>
          <w:tcPr>
            <w:tcW w:w="705" w:type="pct"/>
            <w:vAlign w:val="center"/>
          </w:tcPr>
          <w:p w:rsidR="00B1365C" w:rsidRPr="008D77AF" w:rsidRDefault="008927EB" w:rsidP="009466AB">
            <w:pPr>
              <w:pStyle w:val="TableTextRight"/>
              <w:cnfStyle w:val="000000000000" w:firstRow="0" w:lastRow="0" w:firstColumn="0" w:lastColumn="0" w:oddVBand="0" w:evenVBand="0" w:oddHBand="0" w:evenHBand="0" w:firstRowFirstColumn="0" w:firstRowLastColumn="0" w:lastRowFirstColumn="0" w:lastRowLastColumn="0"/>
            </w:pPr>
            <w:r>
              <w:rPr>
                <w:noProof/>
                <w:color w:val="000000"/>
                <w:szCs w:val="20"/>
              </w:rPr>
              <w:t>-</w:t>
            </w:r>
          </w:p>
        </w:tc>
        <w:tc>
          <w:tcPr>
            <w:tcW w:w="704" w:type="pct"/>
            <w:vAlign w:val="center"/>
          </w:tcPr>
          <w:p w:rsidR="00B1365C" w:rsidRPr="008927EB" w:rsidRDefault="00B1365C" w:rsidP="009466AB">
            <w:pPr>
              <w:pStyle w:val="TableTextRightBold"/>
              <w:cnfStyle w:val="000000000000" w:firstRow="0" w:lastRow="0" w:firstColumn="0" w:lastColumn="0" w:oddVBand="0" w:evenVBand="0" w:oddHBand="0" w:evenHBand="0" w:firstRowFirstColumn="0" w:firstRowLastColumn="0" w:lastRowFirstColumn="0" w:lastRowLastColumn="0"/>
            </w:pPr>
            <w:r w:rsidRPr="008927EB">
              <w:rPr>
                <w:bCs/>
                <w:noProof/>
                <w:color w:val="000000"/>
                <w:szCs w:val="20"/>
              </w:rPr>
              <w:t>-</w:t>
            </w:r>
            <w:r w:rsidR="007465A9">
              <w:rPr>
                <w:bCs/>
                <w:noProof/>
                <w:color w:val="000000"/>
                <w:szCs w:val="20"/>
              </w:rPr>
              <w:t>2</w:t>
            </w:r>
            <w:r w:rsidRPr="008927EB">
              <w:rPr>
                <w:bCs/>
                <w:noProof/>
                <w:color w:val="000000"/>
                <w:szCs w:val="20"/>
              </w:rPr>
              <w:t>0.0</w:t>
            </w:r>
          </w:p>
        </w:tc>
      </w:tr>
      <w:tr w:rsidR="00B1365C" w:rsidTr="009466AB">
        <w:tc>
          <w:tcPr>
            <w:cnfStyle w:val="001000000000" w:firstRow="0" w:lastRow="0" w:firstColumn="1" w:lastColumn="0" w:oddVBand="0" w:evenVBand="0" w:oddHBand="0" w:evenHBand="0" w:firstRowFirstColumn="0" w:firstRowLastColumn="0" w:lastRowFirstColumn="0" w:lastRowLastColumn="0"/>
            <w:tcW w:w="1476" w:type="pct"/>
            <w:vAlign w:val="center"/>
          </w:tcPr>
          <w:p w:rsidR="00B1365C" w:rsidRPr="005B0970" w:rsidRDefault="00B1365C" w:rsidP="009466AB">
            <w:pPr>
              <w:pStyle w:val="TableHeading"/>
            </w:pPr>
            <w:r w:rsidRPr="005B0970">
              <w:t>Underlying cash balance</w:t>
            </w:r>
          </w:p>
        </w:tc>
        <w:tc>
          <w:tcPr>
            <w:tcW w:w="705" w:type="pct"/>
            <w:vAlign w:val="center"/>
          </w:tcPr>
          <w:p w:rsidR="00B1365C" w:rsidRPr="008D77AF" w:rsidRDefault="008927EB" w:rsidP="009466AB">
            <w:pPr>
              <w:pStyle w:val="TableTextRight"/>
              <w:cnfStyle w:val="000000000000" w:firstRow="0" w:lastRow="0" w:firstColumn="0" w:lastColumn="0" w:oddVBand="0" w:evenVBand="0" w:oddHBand="0" w:evenHBand="0" w:firstRowFirstColumn="0" w:firstRowLastColumn="0" w:lastRowFirstColumn="0" w:lastRowLastColumn="0"/>
            </w:pPr>
            <w:r>
              <w:rPr>
                <w:noProof/>
                <w:color w:val="000000"/>
                <w:szCs w:val="20"/>
              </w:rPr>
              <w:t>-</w:t>
            </w:r>
          </w:p>
        </w:tc>
        <w:tc>
          <w:tcPr>
            <w:tcW w:w="705" w:type="pct"/>
            <w:vAlign w:val="center"/>
          </w:tcPr>
          <w:p w:rsidR="00B1365C" w:rsidRPr="008D77AF" w:rsidRDefault="008927EB" w:rsidP="009466AB">
            <w:pPr>
              <w:pStyle w:val="TableTextRight"/>
              <w:cnfStyle w:val="000000000000" w:firstRow="0" w:lastRow="0" w:firstColumn="0" w:lastColumn="0" w:oddVBand="0" w:evenVBand="0" w:oddHBand="0" w:evenHBand="0" w:firstRowFirstColumn="0" w:firstRowLastColumn="0" w:lastRowFirstColumn="0" w:lastRowLastColumn="0"/>
            </w:pPr>
            <w:r>
              <w:rPr>
                <w:noProof/>
                <w:color w:val="000000"/>
                <w:szCs w:val="20"/>
              </w:rPr>
              <w:t>-</w:t>
            </w:r>
          </w:p>
        </w:tc>
        <w:tc>
          <w:tcPr>
            <w:tcW w:w="705" w:type="pct"/>
            <w:vAlign w:val="center"/>
          </w:tcPr>
          <w:p w:rsidR="00B1365C" w:rsidRPr="008D77AF" w:rsidRDefault="008927EB" w:rsidP="009466AB">
            <w:pPr>
              <w:pStyle w:val="TableTextRight"/>
              <w:cnfStyle w:val="000000000000" w:firstRow="0" w:lastRow="0" w:firstColumn="0" w:lastColumn="0" w:oddVBand="0" w:evenVBand="0" w:oddHBand="0" w:evenHBand="0" w:firstRowFirstColumn="0" w:firstRowLastColumn="0" w:lastRowFirstColumn="0" w:lastRowLastColumn="0"/>
            </w:pPr>
            <w:r>
              <w:rPr>
                <w:noProof/>
                <w:color w:val="000000"/>
                <w:szCs w:val="20"/>
              </w:rPr>
              <w:t>-</w:t>
            </w:r>
          </w:p>
        </w:tc>
        <w:tc>
          <w:tcPr>
            <w:tcW w:w="705" w:type="pct"/>
            <w:vAlign w:val="center"/>
          </w:tcPr>
          <w:p w:rsidR="00B1365C" w:rsidRPr="008D77AF" w:rsidRDefault="008927EB" w:rsidP="009466AB">
            <w:pPr>
              <w:pStyle w:val="TableTextRight"/>
              <w:cnfStyle w:val="000000000000" w:firstRow="0" w:lastRow="0" w:firstColumn="0" w:lastColumn="0" w:oddVBand="0" w:evenVBand="0" w:oddHBand="0" w:evenHBand="0" w:firstRowFirstColumn="0" w:firstRowLastColumn="0" w:lastRowFirstColumn="0" w:lastRowLastColumn="0"/>
            </w:pPr>
            <w:r>
              <w:rPr>
                <w:noProof/>
                <w:color w:val="000000"/>
                <w:szCs w:val="20"/>
              </w:rPr>
              <w:t>-</w:t>
            </w:r>
          </w:p>
        </w:tc>
        <w:tc>
          <w:tcPr>
            <w:tcW w:w="704" w:type="pct"/>
            <w:vAlign w:val="center"/>
          </w:tcPr>
          <w:p w:rsidR="00B1365C" w:rsidRPr="008927EB" w:rsidRDefault="008927EB" w:rsidP="009466AB">
            <w:pPr>
              <w:pStyle w:val="TableTextRightBold"/>
              <w:cnfStyle w:val="000000000000" w:firstRow="0" w:lastRow="0" w:firstColumn="0" w:lastColumn="0" w:oddVBand="0" w:evenVBand="0" w:oddHBand="0" w:evenHBand="0" w:firstRowFirstColumn="0" w:firstRowLastColumn="0" w:lastRowFirstColumn="0" w:lastRowLastColumn="0"/>
            </w:pPr>
            <w:r w:rsidRPr="008927EB">
              <w:rPr>
                <w:bCs/>
                <w:noProof/>
                <w:color w:val="000000"/>
                <w:szCs w:val="20"/>
              </w:rPr>
              <w:t>-</w:t>
            </w:r>
          </w:p>
        </w:tc>
      </w:tr>
    </w:tbl>
    <w:p w:rsidR="008F6BC3" w:rsidRDefault="00F009B6" w:rsidP="008F6BC3">
      <w:pPr>
        <w:pStyle w:val="TableFootnotes"/>
        <w:numPr>
          <w:ilvl w:val="0"/>
          <w:numId w:val="15"/>
        </w:numPr>
        <w:ind w:left="284" w:hanging="284"/>
        <w:contextualSpacing w:val="0"/>
      </w:pPr>
      <w:r>
        <w:t xml:space="preserve">A positive number represents an increase in the relevant budget </w:t>
      </w:r>
      <w:proofErr w:type="gramStart"/>
      <w:r>
        <w:t>balance,</w:t>
      </w:r>
      <w:proofErr w:type="gramEnd"/>
      <w:r>
        <w:t xml:space="preserve"> a negative number represents a decrease.</w:t>
      </w:r>
    </w:p>
    <w:p w:rsidR="00F009B6" w:rsidRDefault="00F009B6" w:rsidP="008F6BC3">
      <w:pPr>
        <w:pStyle w:val="TableFootnotes"/>
        <w:numPr>
          <w:ilvl w:val="0"/>
          <w:numId w:val="11"/>
        </w:numPr>
        <w:ind w:left="284" w:hanging="284"/>
        <w:contextualSpacing w:val="0"/>
      </w:pPr>
      <w:r>
        <w:t>Indicates nil.</w:t>
      </w:r>
    </w:p>
    <w:p w:rsidR="001E1580" w:rsidRDefault="001E1580" w:rsidP="001E1580">
      <w:pPr>
        <w:spacing w:before="114" w:after="114"/>
      </w:pPr>
      <w:r w:rsidRPr="00BB599D">
        <w:lastRenderedPageBreak/>
        <w:t>A detailed breakdown of the financial implications o</w:t>
      </w:r>
      <w:r>
        <w:t>f these proposals over the 2016</w:t>
      </w:r>
      <w:r>
        <w:noBreakHyphen/>
      </w:r>
      <w:r w:rsidRPr="00BB599D">
        <w:t>17</w:t>
      </w:r>
      <w:r>
        <w:t> </w:t>
      </w:r>
      <w:r w:rsidRPr="00BB599D">
        <w:t xml:space="preserve">Budget forward estimates period is presented at </w:t>
      </w:r>
      <w:r w:rsidRPr="00BB599D">
        <w:rPr>
          <w:u w:val="single"/>
        </w:rPr>
        <w:t>Attachment A</w:t>
      </w:r>
      <w:r w:rsidRPr="00BB599D">
        <w:t>.</w:t>
      </w:r>
    </w:p>
    <w:p w:rsidR="006C3668" w:rsidRPr="009466AB" w:rsidRDefault="009B4D74" w:rsidP="006C3668">
      <w:pPr>
        <w:pStyle w:val="BodyText"/>
      </w:pPr>
      <w:r w:rsidRPr="009466AB">
        <w:t>Both options of t</w:t>
      </w:r>
      <w:r w:rsidR="006C3668" w:rsidRPr="009466AB">
        <w:t xml:space="preserve">his proposal </w:t>
      </w:r>
      <w:r w:rsidR="0056001A" w:rsidRPr="009466AB">
        <w:t xml:space="preserve">would be expected to </w:t>
      </w:r>
      <w:r w:rsidR="006C3668" w:rsidRPr="009466AB">
        <w:t xml:space="preserve">have an ongoing impact </w:t>
      </w:r>
      <w:r w:rsidR="00110F6D">
        <w:t xml:space="preserve">on the level of GST revenue </w:t>
      </w:r>
      <w:r w:rsidR="006C3668" w:rsidRPr="009466AB">
        <w:t>that extends beyond the</w:t>
      </w:r>
      <w:r w:rsidR="00633812" w:rsidRPr="009466AB">
        <w:t xml:space="preserve"> 2016</w:t>
      </w:r>
      <w:r w:rsidR="00633812" w:rsidRPr="009466AB">
        <w:noBreakHyphen/>
        <w:t>17 Budget</w:t>
      </w:r>
      <w:r w:rsidR="006C3668" w:rsidRPr="009466AB">
        <w:t xml:space="preserve"> forward estimates period.</w:t>
      </w:r>
      <w:r w:rsidR="00393C38">
        <w:t xml:space="preserve">  </w:t>
      </w:r>
    </w:p>
    <w:p w:rsidR="00017119" w:rsidRDefault="00A03CE1" w:rsidP="00017119">
      <w:pPr>
        <w:autoSpaceDE w:val="0"/>
        <w:autoSpaceDN w:val="0"/>
        <w:adjustRightInd w:val="0"/>
        <w:spacing w:before="114" w:after="114"/>
      </w:pPr>
      <w:r>
        <w:t>D</w:t>
      </w:r>
      <w:r w:rsidR="00017119">
        <w:t xml:space="preserve">epartmental costs </w:t>
      </w:r>
      <w:r>
        <w:t xml:space="preserve">are not expected to materially change </w:t>
      </w:r>
      <w:r w:rsidR="00017119">
        <w:t xml:space="preserve">as a result of the proposal.  The reduction in costs to the Australian Taxation Office (ATO) associated with processing GST payments is expected to be minimal.  </w:t>
      </w:r>
      <w:r w:rsidR="00BB68AF">
        <w:t>Similarly, the</w:t>
      </w:r>
      <w:r w:rsidR="00017119">
        <w:t xml:space="preserve"> increase in expenses associated with increased </w:t>
      </w:r>
      <w:r w:rsidR="00BB68AF">
        <w:t xml:space="preserve">ATO </w:t>
      </w:r>
      <w:r w:rsidR="00B62B98">
        <w:t>compliance activity</w:t>
      </w:r>
      <w:r w:rsidR="00017119">
        <w:t xml:space="preserve"> to monitor the correct registration and reporting of affected entities</w:t>
      </w:r>
      <w:r w:rsidR="00BB68AF">
        <w:t xml:space="preserve"> is also expected to be minimal</w:t>
      </w:r>
      <w:r w:rsidR="00017119">
        <w:t>.</w:t>
      </w:r>
      <w:r w:rsidR="00BB68AF">
        <w:t xml:space="preserve"> </w:t>
      </w:r>
      <w:r w:rsidR="00345256">
        <w:t xml:space="preserve"> </w:t>
      </w:r>
      <w:r w:rsidR="00BB68AF">
        <w:t>T</w:t>
      </w:r>
      <w:r w:rsidR="00345256">
        <w:t>he net change in departmental costs as a result of the</w:t>
      </w:r>
      <w:r w:rsidR="00BB68AF">
        <w:t>se offsetting impacts</w:t>
      </w:r>
      <w:r w:rsidR="00345256">
        <w:t xml:space="preserve"> is expected to be negligible.</w:t>
      </w:r>
    </w:p>
    <w:p w:rsidR="00347181" w:rsidRDefault="00347181" w:rsidP="00347181">
      <w:pPr>
        <w:autoSpaceDE w:val="0"/>
        <w:autoSpaceDN w:val="0"/>
        <w:adjustRightInd w:val="0"/>
      </w:pPr>
      <w:r>
        <w:t>This costing is considered to be of low reliability</w:t>
      </w:r>
      <w:r w:rsidR="00BB68AF">
        <w:t>, as it</w:t>
      </w:r>
      <w:r>
        <w:t xml:space="preserve"> relies on several assumptions around turnover distributions </w:t>
      </w:r>
      <w:r w:rsidR="0029500F">
        <w:t xml:space="preserve">and </w:t>
      </w:r>
      <w:r w:rsidR="00FB0C02">
        <w:t xml:space="preserve">estimated </w:t>
      </w:r>
      <w:r w:rsidR="0029500F">
        <w:t xml:space="preserve">growth </w:t>
      </w:r>
      <w:r>
        <w:t>of taxi travel and ride</w:t>
      </w:r>
      <w:r w:rsidR="001E1580">
        <w:t>-</w:t>
      </w:r>
      <w:r>
        <w:t xml:space="preserve">sourcing services.  </w:t>
      </w:r>
      <w:r w:rsidR="00BB68AF">
        <w:t>In particular, b</w:t>
      </w:r>
      <w:r>
        <w:t xml:space="preserve">ehavioural responses to </w:t>
      </w:r>
      <w:r w:rsidR="001E1580">
        <w:t>both</w:t>
      </w:r>
      <w:r w:rsidR="00BB68AF">
        <w:t xml:space="preserve"> options</w:t>
      </w:r>
      <w:r>
        <w:t xml:space="preserve"> and the</w:t>
      </w:r>
      <w:r w:rsidR="0029500F">
        <w:t xml:space="preserve"> impact </w:t>
      </w:r>
      <w:r w:rsidR="0020157C">
        <w:t>these</w:t>
      </w:r>
      <w:r w:rsidR="00FB0C02">
        <w:t xml:space="preserve"> could have </w:t>
      </w:r>
      <w:r w:rsidR="0029500F">
        <w:t>on</w:t>
      </w:r>
      <w:r>
        <w:t xml:space="preserve"> </w:t>
      </w:r>
      <w:r w:rsidR="00F157CC">
        <w:t xml:space="preserve">the </w:t>
      </w:r>
      <w:r>
        <w:t xml:space="preserve">future </w:t>
      </w:r>
      <w:r w:rsidR="001E1580">
        <w:t>structure</w:t>
      </w:r>
      <w:r>
        <w:t xml:space="preserve"> of the taxi tr</w:t>
      </w:r>
      <w:r w:rsidR="001E1580">
        <w:t xml:space="preserve">avel and ride-sourcing sector </w:t>
      </w:r>
      <w:r>
        <w:t>are extremely uncertain.</w:t>
      </w:r>
    </w:p>
    <w:p w:rsidR="00FE3B13" w:rsidRPr="00CA06C8" w:rsidRDefault="00FE3B13" w:rsidP="00CA06C8">
      <w:pPr>
        <w:pStyle w:val="Heading1"/>
      </w:pPr>
      <w:r w:rsidRPr="00CA06C8">
        <w:t>Key assumptions</w:t>
      </w:r>
    </w:p>
    <w:p w:rsidR="00A03CE1" w:rsidRDefault="00CA605C" w:rsidP="00A03CE1">
      <w:pPr>
        <w:pStyle w:val="ListBullet"/>
      </w:pPr>
      <w:r>
        <w:t>While the proposal has a 1 July 2015 start date, i</w:t>
      </w:r>
      <w:r w:rsidR="00A03CE1" w:rsidRPr="00347181">
        <w:t>t is assumed that the proposal would only be able to be imp</w:t>
      </w:r>
      <w:r w:rsidR="00A03CE1">
        <w:t>lemented prospectively</w:t>
      </w:r>
      <w:r w:rsidR="00CF4D84">
        <w:t xml:space="preserve"> (from 1 October 2016)</w:t>
      </w:r>
      <w:r w:rsidR="00A03CE1">
        <w:t>.</w:t>
      </w:r>
    </w:p>
    <w:p w:rsidR="00A03CE1" w:rsidRPr="00347181" w:rsidRDefault="00345256" w:rsidP="00A03CE1">
      <w:pPr>
        <w:pStyle w:val="ListBullet"/>
      </w:pPr>
      <w:r>
        <w:t xml:space="preserve">Current GST-registered </w:t>
      </w:r>
      <w:r w:rsidR="00A03CE1" w:rsidRPr="00347181">
        <w:t>entities</w:t>
      </w:r>
      <w:r>
        <w:t xml:space="preserve"> </w:t>
      </w:r>
      <w:r w:rsidR="00110F6D">
        <w:t>that</w:t>
      </w:r>
      <w:r>
        <w:t xml:space="preserve"> would no longer be required to register for GST under the proposal</w:t>
      </w:r>
      <w:r w:rsidR="00A03CE1" w:rsidRPr="00347181">
        <w:t xml:space="preserve"> would choose to remain registered for GST.  </w:t>
      </w:r>
    </w:p>
    <w:p w:rsidR="00A03CE1" w:rsidRPr="00347181" w:rsidRDefault="00A03CE1" w:rsidP="00A03CE1">
      <w:pPr>
        <w:pStyle w:val="ListBullet"/>
      </w:pPr>
      <w:r w:rsidRPr="00347181">
        <w:t>On a fiscal balance basis all GST revenue is recognised in the year the tax is levied on the consumer.  The payment of GST to the states and territories is recognised as an expense when GST is received by the Commonwealth.</w:t>
      </w:r>
    </w:p>
    <w:p w:rsidR="00A03CE1" w:rsidRPr="00347181" w:rsidRDefault="00A03CE1" w:rsidP="00A03CE1">
      <w:pPr>
        <w:pStyle w:val="ListBullet"/>
      </w:pPr>
      <w:r w:rsidRPr="00347181">
        <w:t>On an underlying cash balance basis GST receipts are recognised when they are collected by the ATO.  This reflects the fact that GST payments are made to the ATO in arrears, and accounts for the fact that businesses can either remit their GST annually, quarterly, or monthly.  In aggregate, it is assumed that most GST is received in year and the remainder is received in the next year.</w:t>
      </w:r>
    </w:p>
    <w:p w:rsidR="00A03CE1" w:rsidRDefault="00A03CE1" w:rsidP="00A03CE1">
      <w:pPr>
        <w:pStyle w:val="ListBullet"/>
      </w:pPr>
      <w:r w:rsidRPr="00347181">
        <w:t>There is assumed to be no delay between the receipt of GST by the Commonwealth and associated payments to states and territories.</w:t>
      </w:r>
    </w:p>
    <w:p w:rsidR="00CF66F2" w:rsidRPr="00347181" w:rsidRDefault="00CF66F2" w:rsidP="00CF66F2">
      <w:pPr>
        <w:pStyle w:val="ListBullet"/>
      </w:pPr>
      <w:r>
        <w:t xml:space="preserve">The proposal is assumed to result in </w:t>
      </w:r>
      <w:r w:rsidRPr="00145306">
        <w:t xml:space="preserve">new participants </w:t>
      </w:r>
      <w:r w:rsidR="001E1287">
        <w:t xml:space="preserve">entering </w:t>
      </w:r>
      <w:r w:rsidRPr="00145306">
        <w:t xml:space="preserve">the </w:t>
      </w:r>
      <w:r w:rsidR="00B62B98">
        <w:t>taxi travel and ride</w:t>
      </w:r>
      <w:r w:rsidR="00B62B98">
        <w:noBreakHyphen/>
      </w:r>
      <w:r>
        <w:t>sourcing sector</w:t>
      </w:r>
      <w:r w:rsidRPr="00145306">
        <w:t>.</w:t>
      </w:r>
    </w:p>
    <w:p w:rsidR="00347181" w:rsidRDefault="00347181" w:rsidP="00347181">
      <w:pPr>
        <w:pStyle w:val="ListBullet"/>
      </w:pPr>
      <w:r w:rsidRPr="00347181">
        <w:t xml:space="preserve">In response to Option 1 of this proposal, a small proportion of current non-ride-sourcing services suppliers would commence supplying ride-sourcing services in order to benefit from the exemption from the GST registration requirement and would not be replaced by new taxi drivers. </w:t>
      </w:r>
    </w:p>
    <w:p w:rsidR="00145306" w:rsidRDefault="00145306" w:rsidP="00145306">
      <w:pPr>
        <w:pStyle w:val="ListBullet"/>
      </w:pPr>
      <w:r w:rsidRPr="00145306">
        <w:t>In response to Option 2 of this proposal, a proportion of affected people restructure their business in order to reduce their turnover and benefit from the e</w:t>
      </w:r>
      <w:r>
        <w:t xml:space="preserve">xemption of GST registration.  </w:t>
      </w:r>
    </w:p>
    <w:p w:rsidR="00FE3B13" w:rsidRDefault="00FE3B13" w:rsidP="00347181">
      <w:pPr>
        <w:pStyle w:val="Heading1"/>
      </w:pPr>
      <w:r>
        <w:lastRenderedPageBreak/>
        <w:t>Methodology</w:t>
      </w:r>
    </w:p>
    <w:p w:rsidR="00145306" w:rsidRPr="00145306" w:rsidRDefault="00145306" w:rsidP="00145306">
      <w:pPr>
        <w:pStyle w:val="BodyText"/>
      </w:pPr>
      <w:r w:rsidRPr="00145306">
        <w:t xml:space="preserve">The impact of Option 1 of this proposal was estimated by calculating the estimated </w:t>
      </w:r>
      <w:r w:rsidR="00F93A82">
        <w:t xml:space="preserve">net </w:t>
      </w:r>
      <w:r w:rsidRPr="00145306">
        <w:t xml:space="preserve">GST revenue that is currently received from </w:t>
      </w:r>
      <w:r w:rsidR="001E1580" w:rsidRPr="00145306">
        <w:t>ride</w:t>
      </w:r>
      <w:r w:rsidR="001E1580">
        <w:t>-</w:t>
      </w:r>
      <w:r w:rsidRPr="00145306">
        <w:t xml:space="preserve">sourcing services and </w:t>
      </w:r>
      <w:r w:rsidR="00FE1AAD">
        <w:t>taking into account the assumed behavioural response</w:t>
      </w:r>
      <w:r w:rsidRPr="00145306">
        <w:t>.</w:t>
      </w:r>
    </w:p>
    <w:p w:rsidR="00145306" w:rsidRPr="00145306" w:rsidRDefault="00145306" w:rsidP="00145306">
      <w:pPr>
        <w:pStyle w:val="BodyText"/>
      </w:pPr>
      <w:r w:rsidRPr="00145306">
        <w:t xml:space="preserve">The impact of Option 2 of this proposal was estimated by calculating the </w:t>
      </w:r>
      <w:r w:rsidR="00F93A82">
        <w:t xml:space="preserve">net </w:t>
      </w:r>
      <w:r w:rsidRPr="00145306">
        <w:t xml:space="preserve">GST revenue that is paid by </w:t>
      </w:r>
      <w:r w:rsidR="00FE1AAD">
        <w:t xml:space="preserve">all taxis (both </w:t>
      </w:r>
      <w:r w:rsidR="001E1580">
        <w:t>ride-</w:t>
      </w:r>
      <w:r w:rsidR="00FE1AAD">
        <w:t xml:space="preserve">sourcing and </w:t>
      </w:r>
      <w:r w:rsidRPr="00145306">
        <w:t>non-ride-sourcing suppliers</w:t>
      </w:r>
      <w:r w:rsidR="00FE1AAD">
        <w:t>)</w:t>
      </w:r>
      <w:r w:rsidRPr="00145306">
        <w:t xml:space="preserve"> </w:t>
      </w:r>
      <w:r w:rsidR="00FE1AAD">
        <w:t>taking into account</w:t>
      </w:r>
      <w:r w:rsidRPr="00145306">
        <w:t xml:space="preserve"> </w:t>
      </w:r>
      <w:r w:rsidR="0029039F">
        <w:t xml:space="preserve">the </w:t>
      </w:r>
      <w:r w:rsidR="00FE1AAD">
        <w:t xml:space="preserve">assumed </w:t>
      </w:r>
      <w:r w:rsidRPr="00145306">
        <w:t>behavioural response.</w:t>
      </w:r>
    </w:p>
    <w:p w:rsidR="00145306" w:rsidRPr="00145306" w:rsidRDefault="00145306" w:rsidP="00145306">
      <w:pPr>
        <w:pStyle w:val="BodyText"/>
      </w:pPr>
      <w:r w:rsidRPr="00145306">
        <w:t xml:space="preserve">The proportion of taxi drivers operating below the threshold under the proposal and their turnover is based on BAS data from the ATO.  The proportion of </w:t>
      </w:r>
      <w:r w:rsidR="001E1580" w:rsidRPr="00145306">
        <w:t>ride</w:t>
      </w:r>
      <w:r w:rsidR="001E1580">
        <w:t>-</w:t>
      </w:r>
      <w:r w:rsidRPr="00145306">
        <w:t xml:space="preserve">sourcing service suppliers operating below the threshold under the proposal and their turnover is based on the average turnover of </w:t>
      </w:r>
      <w:r w:rsidR="001E1580" w:rsidRPr="00145306">
        <w:t>ride</w:t>
      </w:r>
      <w:r w:rsidR="001E1580">
        <w:t>-</w:t>
      </w:r>
      <w:r w:rsidRPr="00145306">
        <w:t>sourcing service suppliers.</w:t>
      </w:r>
    </w:p>
    <w:p w:rsidR="00145306" w:rsidRPr="00145306" w:rsidRDefault="00F93A82" w:rsidP="00145306">
      <w:pPr>
        <w:pStyle w:val="BodyText"/>
        <w:rPr>
          <w:rFonts w:asciiTheme="majorHAnsi" w:hAnsiTheme="majorHAnsi" w:cstheme="minorBidi"/>
          <w:bCs/>
          <w:color w:val="2B3B5F" w:themeColor="text2"/>
          <w:spacing w:val="-6"/>
          <w:kern w:val="32"/>
          <w:sz w:val="32"/>
          <w:szCs w:val="32"/>
        </w:rPr>
      </w:pPr>
      <w:r>
        <w:t xml:space="preserve">Net </w:t>
      </w:r>
      <w:r w:rsidR="00145306" w:rsidRPr="00145306">
        <w:t>GST revenue and expense estimates have</w:t>
      </w:r>
      <w:r w:rsidR="0029039F">
        <w:t xml:space="preserve"> been rounded to the nearest $5</w:t>
      </w:r>
      <w:r w:rsidR="00145306" w:rsidRPr="00145306">
        <w:t xml:space="preserve"> million.</w:t>
      </w:r>
    </w:p>
    <w:p w:rsidR="00FE3B13" w:rsidRDefault="00FE3B13" w:rsidP="00145306">
      <w:pPr>
        <w:pStyle w:val="Heading1"/>
      </w:pPr>
      <w:r>
        <w:t>Data sources</w:t>
      </w:r>
    </w:p>
    <w:sdt>
      <w:sdtPr>
        <w:id w:val="111145805"/>
        <w:bibliography/>
      </w:sdtPr>
      <w:sdtEndPr/>
      <w:sdtContent>
        <w:p w:rsidR="00375EB1" w:rsidRDefault="00375EB1" w:rsidP="001E1580">
          <w:pPr>
            <w:pStyle w:val="BodyText"/>
          </w:pPr>
          <w:r>
            <w:t>The ATO provided BAS data</w:t>
          </w:r>
        </w:p>
        <w:sdt>
          <w:sdtPr>
            <w:rPr>
              <w:rFonts w:cs="Times New Roman"/>
              <w:spacing w:val="-1"/>
            </w:rPr>
            <w:id w:val="1943331601"/>
            <w:bibliography/>
          </w:sdtPr>
          <w:sdtEndPr/>
          <w:sdtContent>
            <w:p w:rsidR="00215B3F" w:rsidRDefault="001E1580" w:rsidP="00674B7E">
              <w:pPr>
                <w:pStyle w:val="Bibliography"/>
                <w:spacing w:beforeLines="113" w:before="271" w:afterLines="113" w:after="271"/>
                <w:rPr>
                  <w:noProof/>
                </w:rPr>
              </w:pPr>
              <w:r>
                <w:fldChar w:fldCharType="begin"/>
              </w:r>
              <w:r>
                <w:instrText xml:space="preserve"> BIBLIOGRAPHY </w:instrText>
              </w:r>
              <w:r>
                <w:fldChar w:fldCharType="separate"/>
              </w:r>
              <w:r w:rsidR="00215B3F">
                <w:rPr>
                  <w:noProof/>
                </w:rPr>
                <w:t xml:space="preserve">Australian Taxi Industry Association, 2015. </w:t>
              </w:r>
              <w:r w:rsidR="00215B3F">
                <w:rPr>
                  <w:i/>
                  <w:iCs/>
                  <w:noProof/>
                </w:rPr>
                <w:t xml:space="preserve">ATIA. </w:t>
              </w:r>
              <w:r w:rsidR="00215B3F">
                <w:rPr>
                  <w:noProof/>
                </w:rPr>
                <w:t xml:space="preserve">[Online] </w:t>
              </w:r>
              <w:r w:rsidR="00215B3F">
                <w:rPr>
                  <w:noProof/>
                </w:rPr>
                <w:br/>
                <w:t xml:space="preserve">Available at: </w:t>
              </w:r>
              <w:r w:rsidR="00215B3F">
                <w:rPr>
                  <w:noProof/>
                  <w:u w:val="single"/>
                </w:rPr>
                <w:t>http://www.atia.com.au/taxi-statistics/</w:t>
              </w:r>
              <w:r w:rsidR="00215B3F">
                <w:rPr>
                  <w:noProof/>
                </w:rPr>
                <w:br/>
                <w:t>[Accessed 6 September 2016].</w:t>
              </w:r>
            </w:p>
            <w:p w:rsidR="00215B3F" w:rsidRDefault="00215B3F" w:rsidP="00674B7E">
              <w:pPr>
                <w:pStyle w:val="Bibliography"/>
                <w:spacing w:beforeLines="113" w:before="271" w:afterLines="113" w:after="271"/>
                <w:rPr>
                  <w:noProof/>
                </w:rPr>
              </w:pPr>
              <w:r>
                <w:rPr>
                  <w:noProof/>
                </w:rPr>
                <w:t xml:space="preserve">Australian Taxi Industry Association, 2015. </w:t>
              </w:r>
              <w:r>
                <w:rPr>
                  <w:i/>
                  <w:iCs/>
                  <w:noProof/>
                </w:rPr>
                <w:t xml:space="preserve">ATIA. </w:t>
              </w:r>
              <w:r>
                <w:rPr>
                  <w:noProof/>
                </w:rPr>
                <w:t xml:space="preserve">[Online] </w:t>
              </w:r>
              <w:r>
                <w:rPr>
                  <w:noProof/>
                </w:rPr>
                <w:br/>
                <w:t xml:space="preserve">Available at: </w:t>
              </w:r>
              <w:r>
                <w:rPr>
                  <w:noProof/>
                  <w:u w:val="single"/>
                </w:rPr>
                <w:t>http://www.atia.com.au/taxi-statistics/</w:t>
              </w:r>
              <w:r>
                <w:rPr>
                  <w:noProof/>
                </w:rPr>
                <w:br/>
                <w:t>[Accessed 1 March 2016].</w:t>
              </w:r>
            </w:p>
            <w:p w:rsidR="00215B3F" w:rsidRDefault="00215B3F" w:rsidP="00674B7E">
              <w:pPr>
                <w:pStyle w:val="Bibliography"/>
                <w:spacing w:beforeLines="113" w:before="271" w:afterLines="113" w:after="271"/>
                <w:rPr>
                  <w:noProof/>
                </w:rPr>
              </w:pPr>
              <w:r>
                <w:rPr>
                  <w:noProof/>
                </w:rPr>
                <w:t xml:space="preserve">Commonwealth of Australia, 2016. </w:t>
              </w:r>
              <w:r>
                <w:rPr>
                  <w:i/>
                  <w:iCs/>
                  <w:noProof/>
                </w:rPr>
                <w:t xml:space="preserve">2016-17 Budget, </w:t>
              </w:r>
              <w:r>
                <w:rPr>
                  <w:noProof/>
                </w:rPr>
                <w:t>Canberra: Commonwealth of Australia.</w:t>
              </w:r>
            </w:p>
            <w:p w:rsidR="00215B3F" w:rsidRDefault="00215B3F" w:rsidP="00674B7E">
              <w:pPr>
                <w:pStyle w:val="Bibliography"/>
                <w:spacing w:beforeLines="113" w:before="271" w:afterLines="113" w:after="271"/>
                <w:rPr>
                  <w:noProof/>
                </w:rPr>
              </w:pPr>
              <w:r>
                <w:rPr>
                  <w:noProof/>
                </w:rPr>
                <w:t xml:space="preserve">Independent Pricing and Regulatory Tribunal of New South Wales, 2015. </w:t>
              </w:r>
              <w:r>
                <w:rPr>
                  <w:i/>
                  <w:iCs/>
                  <w:noProof/>
                </w:rPr>
                <w:t xml:space="preserve">Independent Pricing and Regulatory Tribunal of New South Wales. </w:t>
              </w:r>
              <w:r>
                <w:rPr>
                  <w:noProof/>
                </w:rPr>
                <w:t xml:space="preserve">[Online] </w:t>
              </w:r>
              <w:r>
                <w:rPr>
                  <w:noProof/>
                </w:rPr>
                <w:br/>
                <w:t xml:space="preserve">Available at: </w:t>
              </w:r>
              <w:r>
                <w:rPr>
                  <w:noProof/>
                  <w:u w:val="single"/>
                </w:rPr>
                <w:t>http://www.ipart.nsw.gov.au/files/sharedassets/website/trimholdingbay/online_submission_-_uber_-_b_kitschke_-_30_jan_2015.pdf</w:t>
              </w:r>
              <w:r>
                <w:rPr>
                  <w:noProof/>
                </w:rPr>
                <w:br/>
                <w:t>[Accessed 7 September 2016].</w:t>
              </w:r>
            </w:p>
            <w:p w:rsidR="00215B3F" w:rsidRDefault="00215B3F" w:rsidP="00674B7E">
              <w:pPr>
                <w:pStyle w:val="Bibliography"/>
                <w:spacing w:beforeLines="113" w:before="271" w:afterLines="113" w:after="271"/>
                <w:rPr>
                  <w:noProof/>
                </w:rPr>
              </w:pPr>
              <w:r>
                <w:rPr>
                  <w:noProof/>
                </w:rPr>
                <w:t xml:space="preserve">Independent Pricing and Regulatory Tribunal of New South Wales, 2015. </w:t>
              </w:r>
              <w:r>
                <w:rPr>
                  <w:i/>
                  <w:iCs/>
                  <w:noProof/>
                </w:rPr>
                <w:t xml:space="preserve">Independent Pricing and Regulatory Tribunal of New South Wales. </w:t>
              </w:r>
              <w:r>
                <w:rPr>
                  <w:noProof/>
                </w:rPr>
                <w:t xml:space="preserve">[Online] </w:t>
              </w:r>
              <w:r>
                <w:rPr>
                  <w:noProof/>
                </w:rPr>
                <w:br/>
                <w:t xml:space="preserve">Available at: </w:t>
              </w:r>
              <w:r>
                <w:rPr>
                  <w:noProof/>
                  <w:u w:val="single"/>
                </w:rPr>
                <w:t>http://www.ipart.nsw.gov.au/files/sharedassets/website/trimholdingbay/online_submission_-_uber_-_b_kitschke_-_30_jan_2015.pdf</w:t>
              </w:r>
              <w:r>
                <w:rPr>
                  <w:noProof/>
                </w:rPr>
                <w:br/>
                <w:t>[Accessed 5 April 2016].</w:t>
              </w:r>
            </w:p>
            <w:p w:rsidR="00B81018" w:rsidRDefault="00B81018" w:rsidP="00B81018"/>
            <w:p w:rsidR="00B81018" w:rsidRPr="00B81018" w:rsidRDefault="00B81018" w:rsidP="00B81018"/>
            <w:p w:rsidR="00215B3F" w:rsidRDefault="00215B3F" w:rsidP="00674B7E">
              <w:pPr>
                <w:pStyle w:val="Bibliography"/>
                <w:spacing w:beforeLines="113" w:before="271" w:afterLines="113" w:after="271"/>
                <w:rPr>
                  <w:noProof/>
                </w:rPr>
              </w:pPr>
              <w:r>
                <w:rPr>
                  <w:noProof/>
                </w:rPr>
                <w:lastRenderedPageBreak/>
                <w:t xml:space="preserve">Stewart, E., 2015. </w:t>
              </w:r>
              <w:r>
                <w:rPr>
                  <w:i/>
                  <w:iCs/>
                  <w:noProof/>
                </w:rPr>
                <w:t xml:space="preserve">ABC News. </w:t>
              </w:r>
              <w:r>
                <w:rPr>
                  <w:noProof/>
                </w:rPr>
                <w:t xml:space="preserve">[Online] </w:t>
              </w:r>
              <w:r>
                <w:rPr>
                  <w:noProof/>
                </w:rPr>
                <w:br/>
                <w:t xml:space="preserve">Available at: </w:t>
              </w:r>
              <w:r>
                <w:rPr>
                  <w:noProof/>
                  <w:u w:val="single"/>
                </w:rPr>
                <w:t>http://www.abc.net.au/news/2015-07-27/uber-director-answers-common-questions-about-the-service/6650054</w:t>
              </w:r>
              <w:r>
                <w:rPr>
                  <w:noProof/>
                </w:rPr>
                <w:br/>
                <w:t>[Accessed 7 September 2016].</w:t>
              </w:r>
            </w:p>
            <w:p w:rsidR="00215B3F" w:rsidRDefault="00215B3F" w:rsidP="00674B7E">
              <w:pPr>
                <w:pStyle w:val="Bibliography"/>
                <w:spacing w:beforeLines="113" w:before="271" w:afterLines="113" w:after="271"/>
                <w:rPr>
                  <w:noProof/>
                </w:rPr>
              </w:pPr>
              <w:r>
                <w:rPr>
                  <w:noProof/>
                </w:rPr>
                <w:t xml:space="preserve">Stewart, E., 2015. </w:t>
              </w:r>
              <w:r>
                <w:rPr>
                  <w:i/>
                  <w:iCs/>
                  <w:noProof/>
                </w:rPr>
                <w:t xml:space="preserve">ABC News. </w:t>
              </w:r>
              <w:r>
                <w:rPr>
                  <w:noProof/>
                </w:rPr>
                <w:t xml:space="preserve">[Online] </w:t>
              </w:r>
              <w:r>
                <w:rPr>
                  <w:noProof/>
                </w:rPr>
                <w:br/>
                <w:t xml:space="preserve">Available at: </w:t>
              </w:r>
              <w:r>
                <w:rPr>
                  <w:noProof/>
                  <w:u w:val="single"/>
                </w:rPr>
                <w:t>http://www.abc.net.au/news/2015-07-27/uber-director-answers-common-questions-about-the-service/6650054</w:t>
              </w:r>
              <w:r>
                <w:rPr>
                  <w:noProof/>
                </w:rPr>
                <w:br/>
                <w:t>[Accessed 3 March 2016].</w:t>
              </w:r>
            </w:p>
            <w:p w:rsidR="00215B3F" w:rsidRDefault="00215B3F" w:rsidP="00674B7E">
              <w:pPr>
                <w:pStyle w:val="Bibliography"/>
                <w:spacing w:beforeLines="113" w:before="271" w:afterLines="113" w:after="271"/>
                <w:rPr>
                  <w:noProof/>
                </w:rPr>
              </w:pPr>
              <w:r>
                <w:rPr>
                  <w:noProof/>
                </w:rPr>
                <w:t xml:space="preserve">The Centre for International Economics, 2015. </w:t>
              </w:r>
              <w:r>
                <w:rPr>
                  <w:i/>
                  <w:iCs/>
                  <w:noProof/>
                </w:rPr>
                <w:t xml:space="preserve">ACT Government Chief Minister, Treasury and Economics Development Directorate. </w:t>
              </w:r>
              <w:r>
                <w:rPr>
                  <w:noProof/>
                </w:rPr>
                <w:t xml:space="preserve">[Online] </w:t>
              </w:r>
              <w:r>
                <w:rPr>
                  <w:noProof/>
                </w:rPr>
                <w:br/>
                <w:t xml:space="preserve">Available at: </w:t>
              </w:r>
              <w:r>
                <w:rPr>
                  <w:noProof/>
                  <w:u w:val="single"/>
                </w:rPr>
                <w:t>http://www.cmd.act.gov.au/__data/assets/pdf_file/0004/779179/CIE-Final-Report_ACT-Gov_ACT-Taxis-2015-04092015.pdf</w:t>
              </w:r>
              <w:r>
                <w:rPr>
                  <w:noProof/>
                </w:rPr>
                <w:br/>
                <w:t>[Accessed 6 September 2016].</w:t>
              </w:r>
            </w:p>
            <w:p w:rsidR="00215B3F" w:rsidRDefault="00215B3F" w:rsidP="00674B7E">
              <w:pPr>
                <w:pStyle w:val="Bibliography"/>
                <w:spacing w:beforeLines="113" w:before="271" w:afterLines="113" w:after="271"/>
                <w:rPr>
                  <w:noProof/>
                </w:rPr>
              </w:pPr>
              <w:r>
                <w:rPr>
                  <w:noProof/>
                </w:rPr>
                <w:t xml:space="preserve">The Centre for International Economics, 2015. </w:t>
              </w:r>
              <w:r>
                <w:rPr>
                  <w:i/>
                  <w:iCs/>
                  <w:noProof/>
                </w:rPr>
                <w:t xml:space="preserve">ACT Government Chief Minister, Treasury and Economics Development Directorate. </w:t>
              </w:r>
              <w:r>
                <w:rPr>
                  <w:noProof/>
                </w:rPr>
                <w:t xml:space="preserve">[Online] </w:t>
              </w:r>
              <w:r>
                <w:rPr>
                  <w:noProof/>
                </w:rPr>
                <w:br/>
                <w:t xml:space="preserve">Available at: </w:t>
              </w:r>
              <w:r>
                <w:rPr>
                  <w:noProof/>
                  <w:u w:val="single"/>
                </w:rPr>
                <w:t>http://www.cmd.act.gov.au/__data/assets/pdf_file/0004/779179/CIE-Final-Report_ACT-Gov_ACT-Taxis-2015-04092015.pdf</w:t>
              </w:r>
              <w:r>
                <w:rPr>
                  <w:noProof/>
                </w:rPr>
                <w:br/>
                <w:t>[Accessed 30 March 2016].</w:t>
              </w:r>
            </w:p>
            <w:p w:rsidR="00215B3F" w:rsidRDefault="00215B3F" w:rsidP="00674B7E">
              <w:pPr>
                <w:pStyle w:val="Bibliography"/>
                <w:spacing w:beforeLines="113" w:before="271" w:afterLines="113" w:after="271"/>
                <w:rPr>
                  <w:noProof/>
                </w:rPr>
              </w:pPr>
              <w:r>
                <w:rPr>
                  <w:noProof/>
                </w:rPr>
                <w:t xml:space="preserve">The Centre for International Economics, 2015. </w:t>
              </w:r>
              <w:r>
                <w:rPr>
                  <w:i/>
                  <w:iCs/>
                  <w:noProof/>
                </w:rPr>
                <w:t xml:space="preserve">Independent Pricing &amp; Regulatory Tribunal. </w:t>
              </w:r>
              <w:r>
                <w:rPr>
                  <w:noProof/>
                </w:rPr>
                <w:t xml:space="preserve">[Online] </w:t>
              </w:r>
              <w:r>
                <w:rPr>
                  <w:noProof/>
                </w:rPr>
                <w:br/>
                <w:t xml:space="preserve">Available at: </w:t>
              </w:r>
              <w:r>
                <w:rPr>
                  <w:noProof/>
                  <w:u w:val="single"/>
                </w:rPr>
                <w:t>http://www.ipart.nsw.gov.au/files/sharedassets/website/trimholdingbay/draft_report_-_the_cie_-_2014_survey_of_taxi_drivers_and_operators_-_december_2014w142654_59f780bb-c657-41e1-a3a0-d49f29ad07a2.pdf</w:t>
              </w:r>
              <w:r>
                <w:rPr>
                  <w:noProof/>
                </w:rPr>
                <w:br/>
                <w:t>[Accessed 7 September 2016].</w:t>
              </w:r>
            </w:p>
            <w:p w:rsidR="00215B3F" w:rsidRDefault="00215B3F" w:rsidP="00674B7E">
              <w:pPr>
                <w:pStyle w:val="Bibliography"/>
                <w:spacing w:beforeLines="113" w:before="271" w:afterLines="113" w:after="271"/>
                <w:rPr>
                  <w:noProof/>
                </w:rPr>
              </w:pPr>
              <w:r>
                <w:rPr>
                  <w:noProof/>
                </w:rPr>
                <w:t xml:space="preserve">The Centre for International Economics, 2015. </w:t>
              </w:r>
              <w:r>
                <w:rPr>
                  <w:i/>
                  <w:iCs/>
                  <w:noProof/>
                </w:rPr>
                <w:t xml:space="preserve">Independent Pricing &amp; Regulatory Tribunal. </w:t>
              </w:r>
              <w:r>
                <w:rPr>
                  <w:noProof/>
                </w:rPr>
                <w:t xml:space="preserve">[Online] </w:t>
              </w:r>
              <w:r>
                <w:rPr>
                  <w:noProof/>
                </w:rPr>
                <w:br/>
                <w:t xml:space="preserve">Available at: </w:t>
              </w:r>
              <w:r>
                <w:rPr>
                  <w:noProof/>
                  <w:u w:val="single"/>
                </w:rPr>
                <w:t>http://www.ipart.nsw.gov.au/files/sharedassets/website/trimholdingbay/draft_report_-_the_cie_-_2014_survey_of_taxi_drivers_and_operators_-_december_2014w142654_59f780bb-c657-41e1-a3a0-d49f29ad07a2.pdf</w:t>
              </w:r>
              <w:r>
                <w:rPr>
                  <w:noProof/>
                </w:rPr>
                <w:br/>
                <w:t>[Accessed 4 April 2016].</w:t>
              </w:r>
            </w:p>
            <w:p w:rsidR="00DF2134" w:rsidRDefault="001E1580" w:rsidP="00B81018">
              <w:pPr>
                <w:pStyle w:val="BodyText"/>
                <w:spacing w:beforeLines="113" w:before="271" w:afterLines="113" w:after="271"/>
              </w:pPr>
              <w:r>
                <w:rPr>
                  <w:b/>
                  <w:bCs/>
                  <w:noProof/>
                </w:rPr>
                <w:fldChar w:fldCharType="end"/>
              </w:r>
            </w:p>
          </w:sdtContent>
        </w:sdt>
      </w:sdtContent>
    </w:sdt>
    <w:p w:rsidR="007D0ABE" w:rsidRPr="0046444F" w:rsidRDefault="007D0ABE" w:rsidP="00B311BA">
      <w:pPr>
        <w:pStyle w:val="BodyText"/>
      </w:pPr>
    </w:p>
    <w:p w:rsidR="0046444F" w:rsidRDefault="0046444F" w:rsidP="00B311BA">
      <w:pPr>
        <w:pStyle w:val="BodyText"/>
        <w:sectPr w:rsidR="0046444F" w:rsidSect="00F32008">
          <w:headerReference w:type="default" r:id="rId9"/>
          <w:footerReference w:type="default" r:id="rId10"/>
          <w:headerReference w:type="first" r:id="rId11"/>
          <w:footerReference w:type="first" r:id="rId12"/>
          <w:pgSz w:w="11906" w:h="16838" w:code="9"/>
          <w:pgMar w:top="1361" w:right="1797" w:bottom="1474" w:left="1797" w:header="284" w:footer="454" w:gutter="0"/>
          <w:pgNumType w:start="1"/>
          <w:cols w:space="708"/>
          <w:titlePg/>
          <w:docGrid w:linePitch="360"/>
        </w:sectPr>
      </w:pPr>
    </w:p>
    <w:p w:rsidR="00016D53" w:rsidRPr="002D239A" w:rsidRDefault="00016D53" w:rsidP="002D239A">
      <w:pPr>
        <w:pStyle w:val="Heading8"/>
      </w:pPr>
      <w:r w:rsidRPr="002D239A">
        <w:lastRenderedPageBreak/>
        <w:t xml:space="preserve">– </w:t>
      </w:r>
      <w:r w:rsidR="00A35FA1">
        <w:t>Taxation of Uber and taxis</w:t>
      </w:r>
      <w:r w:rsidRPr="002D239A">
        <w:t>—financial implications</w:t>
      </w:r>
    </w:p>
    <w:p w:rsidR="00EB7899" w:rsidRDefault="00EB7899" w:rsidP="00EB7899">
      <w:pPr>
        <w:pStyle w:val="Caption"/>
        <w:keepLines/>
      </w:pPr>
      <w:r w:rsidRPr="002D239A">
        <w:t xml:space="preserve">Table </w:t>
      </w:r>
      <w:fldSimple w:instr=" STYLEREF 8 \s ">
        <w:r w:rsidR="00215B3F">
          <w:rPr>
            <w:noProof/>
          </w:rPr>
          <w:t>A</w:t>
        </w:r>
      </w:fldSimple>
      <w:fldSimple w:instr=" SEQ AppendixTable\s 8 ">
        <w:r w:rsidR="00215B3F">
          <w:rPr>
            <w:noProof/>
          </w:rPr>
          <w:t>1</w:t>
        </w:r>
      </w:fldSimple>
      <w:r w:rsidRPr="002D239A">
        <w:t>:</w:t>
      </w:r>
      <w:r>
        <w:t xml:space="preserve"> Option 1 – </w:t>
      </w:r>
      <w:r w:rsidRPr="00AF21EE">
        <w:t xml:space="preserve">Remove </w:t>
      </w:r>
      <w:r>
        <w:t>compulsory GST registration for r</w:t>
      </w:r>
      <w:r w:rsidRPr="006539DB">
        <w:t>ide</w:t>
      </w:r>
      <w:r>
        <w:noBreakHyphen/>
        <w:t>sourcing services only</w:t>
      </w:r>
      <w:r w:rsidRPr="00B1365C">
        <w:t xml:space="preserve"> </w:t>
      </w:r>
      <w:r>
        <w:t xml:space="preserve">—Fiscal </w:t>
      </w:r>
      <w:proofErr w:type="gramStart"/>
      <w:r>
        <w:t>balance</w:t>
      </w:r>
      <w:r w:rsidRPr="002D239A">
        <w:rPr>
          <w:vertAlign w:val="superscript"/>
        </w:rPr>
        <w:t>(</w:t>
      </w:r>
      <w:proofErr w:type="gramEnd"/>
      <w:r w:rsidRPr="002D239A">
        <w:rPr>
          <w:vertAlign w:val="superscript"/>
        </w:rPr>
        <w:t>a)(b)</w:t>
      </w:r>
    </w:p>
    <w:tbl>
      <w:tblPr>
        <w:tblStyle w:val="LightGrid-Accent6"/>
        <w:tblW w:w="4999" w:type="pct"/>
        <w:tblLayout w:type="fixed"/>
        <w:tblLook w:val="0680" w:firstRow="0" w:lastRow="0" w:firstColumn="1" w:lastColumn="0" w:noHBand="1" w:noVBand="1"/>
      </w:tblPr>
      <w:tblGrid>
        <w:gridCol w:w="2167"/>
        <w:gridCol w:w="1485"/>
        <w:gridCol w:w="1276"/>
        <w:gridCol w:w="1134"/>
        <w:gridCol w:w="1276"/>
        <w:gridCol w:w="1189"/>
      </w:tblGrid>
      <w:tr w:rsidR="00EB7899" w:rsidTr="00EB7899">
        <w:tc>
          <w:tcPr>
            <w:cnfStyle w:val="001000000000" w:firstRow="0" w:lastRow="0" w:firstColumn="1" w:lastColumn="0" w:oddVBand="0" w:evenVBand="0" w:oddHBand="0" w:evenHBand="0" w:firstRowFirstColumn="0" w:firstRowLastColumn="0" w:lastRowFirstColumn="0" w:lastRowLastColumn="0"/>
            <w:tcW w:w="1271" w:type="pct"/>
            <w:shd w:val="clear" w:color="auto" w:fill="D7DDE9" w:themeFill="accent3"/>
            <w:vAlign w:val="center"/>
          </w:tcPr>
          <w:p w:rsidR="00EB7899" w:rsidRPr="002D239A" w:rsidRDefault="00EB7899" w:rsidP="00BB4D3D">
            <w:pPr>
              <w:pStyle w:val="TableHeading"/>
            </w:pPr>
            <w:r>
              <w:t>($m)</w:t>
            </w:r>
          </w:p>
        </w:tc>
        <w:tc>
          <w:tcPr>
            <w:tcW w:w="871" w:type="pct"/>
            <w:shd w:val="clear" w:color="auto" w:fill="D7DDE9" w:themeFill="accent3"/>
            <w:vAlign w:val="center"/>
          </w:tcPr>
          <w:p w:rsidR="00EB7899" w:rsidRPr="002D239A" w:rsidRDefault="00EB7899" w:rsidP="00BB4D3D">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748" w:type="pct"/>
            <w:shd w:val="clear" w:color="auto" w:fill="D7DDE9" w:themeFill="accent3"/>
            <w:vAlign w:val="center"/>
          </w:tcPr>
          <w:p w:rsidR="00EB7899" w:rsidRPr="002D239A" w:rsidRDefault="00EB7899" w:rsidP="00BB4D3D">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665" w:type="pct"/>
            <w:shd w:val="clear" w:color="auto" w:fill="D7DDE9" w:themeFill="accent3"/>
            <w:vAlign w:val="center"/>
          </w:tcPr>
          <w:p w:rsidR="00EB7899" w:rsidRPr="002D239A" w:rsidRDefault="00EB7899" w:rsidP="00BB4D3D">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748" w:type="pct"/>
            <w:shd w:val="clear" w:color="auto" w:fill="D7DDE9" w:themeFill="accent3"/>
            <w:vAlign w:val="center"/>
          </w:tcPr>
          <w:p w:rsidR="00EB7899" w:rsidRPr="002D239A" w:rsidRDefault="00EB7899" w:rsidP="00BB4D3D">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697" w:type="pct"/>
            <w:shd w:val="clear" w:color="auto" w:fill="D7DDE9" w:themeFill="accent3"/>
            <w:vAlign w:val="center"/>
          </w:tcPr>
          <w:p w:rsidR="00EB7899" w:rsidRPr="002D239A" w:rsidRDefault="00EB7899" w:rsidP="00BB4D3D">
            <w:pPr>
              <w:pStyle w:val="TableHeadingRight"/>
              <w:cnfStyle w:val="000000000000" w:firstRow="0" w:lastRow="0" w:firstColumn="0" w:lastColumn="0" w:oddVBand="0" w:evenVBand="0" w:oddHBand="0" w:evenHBand="0" w:firstRowFirstColumn="0" w:firstRowLastColumn="0" w:lastRowFirstColumn="0" w:lastRowLastColumn="0"/>
            </w:pPr>
            <w:r>
              <w:t>Total to 2019–20</w:t>
            </w:r>
          </w:p>
        </w:tc>
      </w:tr>
      <w:tr w:rsidR="0029039F" w:rsidRPr="008D77AF" w:rsidTr="0029039F">
        <w:tc>
          <w:tcPr>
            <w:cnfStyle w:val="001000000000" w:firstRow="0" w:lastRow="0" w:firstColumn="1" w:lastColumn="0" w:oddVBand="0" w:evenVBand="0" w:oddHBand="0" w:evenHBand="0" w:firstRowFirstColumn="0" w:firstRowLastColumn="0" w:lastRowFirstColumn="0" w:lastRowLastColumn="0"/>
            <w:tcW w:w="1271" w:type="pct"/>
            <w:vAlign w:val="center"/>
          </w:tcPr>
          <w:p w:rsidR="0029039F" w:rsidRPr="003C54BF" w:rsidRDefault="0029039F" w:rsidP="00BB4D3D">
            <w:pPr>
              <w:pStyle w:val="TableText"/>
              <w:rPr>
                <w:b w:val="0"/>
              </w:rPr>
            </w:pPr>
            <w:r w:rsidRPr="003C54BF">
              <w:rPr>
                <w:b w:val="0"/>
              </w:rPr>
              <w:t>GST revenue</w:t>
            </w:r>
          </w:p>
        </w:tc>
        <w:tc>
          <w:tcPr>
            <w:tcW w:w="871"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-30.0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-40.0</w:t>
            </w:r>
          </w:p>
        </w:tc>
        <w:tc>
          <w:tcPr>
            <w:tcW w:w="665"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-45.0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-45.0</w:t>
            </w:r>
          </w:p>
        </w:tc>
        <w:tc>
          <w:tcPr>
            <w:tcW w:w="697"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-160.0</w:t>
            </w:r>
          </w:p>
        </w:tc>
      </w:tr>
      <w:tr w:rsidR="0029039F" w:rsidRPr="008D77AF" w:rsidTr="0029039F">
        <w:tc>
          <w:tcPr>
            <w:cnfStyle w:val="001000000000" w:firstRow="0" w:lastRow="0" w:firstColumn="1" w:lastColumn="0" w:oddVBand="0" w:evenVBand="0" w:oddHBand="0" w:evenHBand="0" w:firstRowFirstColumn="0" w:firstRowLastColumn="0" w:lastRowFirstColumn="0" w:lastRowLastColumn="0"/>
            <w:tcW w:w="1271" w:type="pct"/>
            <w:vAlign w:val="center"/>
          </w:tcPr>
          <w:p w:rsidR="0029039F" w:rsidRPr="003C54BF" w:rsidRDefault="0029039F" w:rsidP="00BB4D3D">
            <w:pPr>
              <w:pStyle w:val="TableText"/>
              <w:rPr>
                <w:b w:val="0"/>
              </w:rPr>
            </w:pPr>
            <w:r w:rsidRPr="003C54BF">
              <w:rPr>
                <w:b w:val="0"/>
              </w:rPr>
              <w:t>GST expenses</w:t>
            </w:r>
          </w:p>
        </w:tc>
        <w:tc>
          <w:tcPr>
            <w:tcW w:w="871"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25.0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40.0</w:t>
            </w:r>
          </w:p>
        </w:tc>
        <w:tc>
          <w:tcPr>
            <w:tcW w:w="665"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45.0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45.0</w:t>
            </w:r>
          </w:p>
        </w:tc>
        <w:tc>
          <w:tcPr>
            <w:tcW w:w="697"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155.0</w:t>
            </w:r>
          </w:p>
        </w:tc>
      </w:tr>
      <w:tr w:rsidR="0029039F" w:rsidTr="00313564">
        <w:tc>
          <w:tcPr>
            <w:cnfStyle w:val="001000000000" w:firstRow="0" w:lastRow="0" w:firstColumn="1" w:lastColumn="0" w:oddVBand="0" w:evenVBand="0" w:oddHBand="0" w:evenHBand="0" w:firstRowFirstColumn="0" w:firstRowLastColumn="0" w:lastRowFirstColumn="0" w:lastRowLastColumn="0"/>
            <w:tcW w:w="1271" w:type="pct"/>
            <w:shd w:val="clear" w:color="auto" w:fill="D7DDE9" w:themeFill="accent3"/>
            <w:vAlign w:val="center"/>
          </w:tcPr>
          <w:p w:rsidR="0029039F" w:rsidRPr="008D77AF" w:rsidRDefault="0029039F" w:rsidP="00BB4D3D">
            <w:pPr>
              <w:pStyle w:val="TableText"/>
              <w:keepNext/>
              <w:keepLines/>
            </w:pPr>
            <w:r w:rsidRPr="008D77AF">
              <w:t>Total</w:t>
            </w:r>
          </w:p>
        </w:tc>
        <w:tc>
          <w:tcPr>
            <w:tcW w:w="871" w:type="pct"/>
            <w:shd w:val="clear" w:color="auto" w:fill="D7DDE9" w:themeFill="accent3"/>
          </w:tcPr>
          <w:p w:rsidR="0029039F" w:rsidRPr="00E844F8" w:rsidRDefault="0029039F" w:rsidP="00BB4D3D">
            <w:pPr>
              <w:pStyle w:val="TableTextRightBold"/>
              <w:cnfStyle w:val="000000000000" w:firstRow="0" w:lastRow="0" w:firstColumn="0" w:lastColumn="0" w:oddVBand="0" w:evenVBand="0" w:oddHBand="0" w:evenHBand="0" w:firstRowFirstColumn="0" w:firstRowLastColumn="0" w:lastRowFirstColumn="0" w:lastRowLastColumn="0"/>
            </w:pPr>
            <w:r>
              <w:t>-5</w:t>
            </w:r>
            <w:r w:rsidRPr="00DC6C3E">
              <w:t>.0</w:t>
            </w:r>
          </w:p>
        </w:tc>
        <w:tc>
          <w:tcPr>
            <w:tcW w:w="748" w:type="pct"/>
            <w:shd w:val="clear" w:color="auto" w:fill="D7DDE9" w:themeFill="accent3"/>
          </w:tcPr>
          <w:p w:rsidR="0029039F" w:rsidRPr="00E844F8" w:rsidRDefault="0029039F" w:rsidP="00BB4D3D">
            <w:pPr>
              <w:pStyle w:val="TableTextRightBold"/>
              <w:cnfStyle w:val="000000000000" w:firstRow="0" w:lastRow="0" w:firstColumn="0" w:lastColumn="0" w:oddVBand="0" w:evenVBand="0" w:oddHBand="0" w:evenHBand="0" w:firstRowFirstColumn="0" w:firstRowLastColumn="0" w:lastRowFirstColumn="0" w:lastRowLastColumn="0"/>
            </w:pPr>
            <w:r w:rsidRPr="00DC6C3E">
              <w:t>-</w:t>
            </w:r>
          </w:p>
        </w:tc>
        <w:tc>
          <w:tcPr>
            <w:tcW w:w="665" w:type="pct"/>
            <w:shd w:val="clear" w:color="auto" w:fill="D7DDE9" w:themeFill="accent3"/>
          </w:tcPr>
          <w:p w:rsidR="0029039F" w:rsidRPr="00E844F8" w:rsidRDefault="0029039F" w:rsidP="00BB4D3D">
            <w:pPr>
              <w:pStyle w:val="TableTextRightBold"/>
              <w:cnfStyle w:val="000000000000" w:firstRow="0" w:lastRow="0" w:firstColumn="0" w:lastColumn="0" w:oddVBand="0" w:evenVBand="0" w:oddHBand="0" w:evenHBand="0" w:firstRowFirstColumn="0" w:firstRowLastColumn="0" w:lastRowFirstColumn="0" w:lastRowLastColumn="0"/>
            </w:pPr>
            <w:r w:rsidRPr="00DC6C3E">
              <w:t>-</w:t>
            </w:r>
          </w:p>
        </w:tc>
        <w:tc>
          <w:tcPr>
            <w:tcW w:w="748" w:type="pct"/>
            <w:shd w:val="clear" w:color="auto" w:fill="D7DDE9" w:themeFill="accent3"/>
          </w:tcPr>
          <w:p w:rsidR="0029039F" w:rsidRPr="00E844F8" w:rsidRDefault="0029039F" w:rsidP="00BB4D3D">
            <w:pPr>
              <w:pStyle w:val="TableTextRightBold"/>
              <w:cnfStyle w:val="000000000000" w:firstRow="0" w:lastRow="0" w:firstColumn="0" w:lastColumn="0" w:oddVBand="0" w:evenVBand="0" w:oddHBand="0" w:evenHBand="0" w:firstRowFirstColumn="0" w:firstRowLastColumn="0" w:lastRowFirstColumn="0" w:lastRowLastColumn="0"/>
            </w:pPr>
            <w:r w:rsidRPr="00DC6C3E">
              <w:t>-</w:t>
            </w:r>
          </w:p>
        </w:tc>
        <w:tc>
          <w:tcPr>
            <w:tcW w:w="697" w:type="pct"/>
            <w:shd w:val="clear" w:color="auto" w:fill="D7DDE9" w:themeFill="accent3"/>
          </w:tcPr>
          <w:p w:rsidR="0029039F" w:rsidRPr="00E844F8" w:rsidRDefault="0029039F" w:rsidP="00BB4D3D">
            <w:pPr>
              <w:pStyle w:val="TableTextRightBold"/>
              <w:cnfStyle w:val="000000000000" w:firstRow="0" w:lastRow="0" w:firstColumn="0" w:lastColumn="0" w:oddVBand="0" w:evenVBand="0" w:oddHBand="0" w:evenHBand="0" w:firstRowFirstColumn="0" w:firstRowLastColumn="0" w:lastRowFirstColumn="0" w:lastRowLastColumn="0"/>
            </w:pPr>
            <w:r>
              <w:t>-5</w:t>
            </w:r>
            <w:r w:rsidRPr="00DC6C3E">
              <w:t>.0</w:t>
            </w:r>
          </w:p>
        </w:tc>
      </w:tr>
    </w:tbl>
    <w:p w:rsidR="00EB7899" w:rsidRDefault="00EB7899" w:rsidP="00EB7899">
      <w:pPr>
        <w:pStyle w:val="TableFootnotes"/>
        <w:keepNext/>
        <w:numPr>
          <w:ilvl w:val="0"/>
          <w:numId w:val="12"/>
        </w:numPr>
        <w:ind w:left="284" w:hanging="284"/>
      </w:pPr>
      <w: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EB7899" w:rsidRPr="002D239A" w:rsidRDefault="00EB7899" w:rsidP="00EB7899">
      <w:pPr>
        <w:pStyle w:val="TableFootnotes"/>
        <w:keepNext/>
      </w:pPr>
      <w:r>
        <w:t>Figures may not sum to totals due to rounding.</w:t>
      </w:r>
    </w:p>
    <w:p w:rsidR="00EB7899" w:rsidRDefault="00EB7899" w:rsidP="00EB7899">
      <w:pPr>
        <w:pStyle w:val="TableFootnotes"/>
        <w:keepLines w:val="0"/>
        <w:numPr>
          <w:ilvl w:val="0"/>
          <w:numId w:val="11"/>
        </w:numPr>
        <w:ind w:left="284" w:hanging="284"/>
      </w:pPr>
      <w:r>
        <w:t>Indicates nil.</w:t>
      </w:r>
    </w:p>
    <w:p w:rsidR="00EB7899" w:rsidRDefault="00EB7899" w:rsidP="00EB7899">
      <w:pPr>
        <w:rPr>
          <w:b/>
          <w:bCs/>
          <w:color w:val="2B3B5F" w:themeColor="text2"/>
          <w:spacing w:val="-4"/>
        </w:rPr>
      </w:pPr>
    </w:p>
    <w:p w:rsidR="00EB7899" w:rsidRDefault="00EB7899" w:rsidP="00EB7899">
      <w:pPr>
        <w:pStyle w:val="Caption"/>
      </w:pPr>
      <w:r w:rsidRPr="002D239A">
        <w:t xml:space="preserve">Table </w:t>
      </w:r>
      <w:fldSimple w:instr=" STYLEREF 8 \s ">
        <w:r w:rsidR="00215B3F">
          <w:rPr>
            <w:noProof/>
          </w:rPr>
          <w:t>A</w:t>
        </w:r>
      </w:fldSimple>
      <w:fldSimple w:instr=" SEQ AppendixTable\s 8 ">
        <w:r w:rsidR="00215B3F">
          <w:rPr>
            <w:noProof/>
          </w:rPr>
          <w:t>2</w:t>
        </w:r>
      </w:fldSimple>
      <w:r w:rsidRPr="002D239A">
        <w:t xml:space="preserve">: </w:t>
      </w:r>
      <w:r w:rsidR="00384DD1">
        <w:t>Option 1</w:t>
      </w:r>
      <w:r>
        <w:t xml:space="preserve"> – </w:t>
      </w:r>
      <w:r w:rsidRPr="00AF21EE">
        <w:t xml:space="preserve">Remove </w:t>
      </w:r>
      <w:r>
        <w:t>compulsory GST registration for r</w:t>
      </w:r>
      <w:r w:rsidRPr="006539DB">
        <w:t>ide</w:t>
      </w:r>
      <w:r>
        <w:noBreakHyphen/>
        <w:t>sourcing services only</w:t>
      </w:r>
      <w:r w:rsidRPr="00B1365C">
        <w:t xml:space="preserve"> </w:t>
      </w:r>
      <w:r>
        <w:t xml:space="preserve">—Underlying cash </w:t>
      </w:r>
      <w:proofErr w:type="gramStart"/>
      <w:r>
        <w:t>balance</w:t>
      </w:r>
      <w:r w:rsidRPr="002D239A">
        <w:rPr>
          <w:vertAlign w:val="superscript"/>
        </w:rPr>
        <w:t>(</w:t>
      </w:r>
      <w:proofErr w:type="gramEnd"/>
      <w:r w:rsidRPr="002D239A">
        <w:rPr>
          <w:vertAlign w:val="superscript"/>
        </w:rPr>
        <w:t>a)(b)</w:t>
      </w:r>
    </w:p>
    <w:tbl>
      <w:tblPr>
        <w:tblStyle w:val="LightGrid-Accent6"/>
        <w:tblW w:w="4999" w:type="pct"/>
        <w:tblLayout w:type="fixed"/>
        <w:tblLook w:val="0680" w:firstRow="0" w:lastRow="0" w:firstColumn="1" w:lastColumn="0" w:noHBand="1" w:noVBand="1"/>
      </w:tblPr>
      <w:tblGrid>
        <w:gridCol w:w="2167"/>
        <w:gridCol w:w="1485"/>
        <w:gridCol w:w="1276"/>
        <w:gridCol w:w="1134"/>
        <w:gridCol w:w="1276"/>
        <w:gridCol w:w="1189"/>
      </w:tblGrid>
      <w:tr w:rsidR="00EB7899" w:rsidTr="00D06A17">
        <w:tc>
          <w:tcPr>
            <w:cnfStyle w:val="001000000000" w:firstRow="0" w:lastRow="0" w:firstColumn="1" w:lastColumn="0" w:oddVBand="0" w:evenVBand="0" w:oddHBand="0" w:evenHBand="0" w:firstRowFirstColumn="0" w:firstRowLastColumn="0" w:lastRowFirstColumn="0" w:lastRowLastColumn="0"/>
            <w:tcW w:w="1271" w:type="pct"/>
            <w:shd w:val="clear" w:color="auto" w:fill="D7DDE9" w:themeFill="accent3"/>
            <w:vAlign w:val="center"/>
          </w:tcPr>
          <w:p w:rsidR="00EB7899" w:rsidRPr="002D239A" w:rsidRDefault="00EB7899" w:rsidP="00BB4D3D">
            <w:pPr>
              <w:pStyle w:val="TableHeading"/>
            </w:pPr>
            <w:r>
              <w:t>($m)</w:t>
            </w:r>
          </w:p>
        </w:tc>
        <w:tc>
          <w:tcPr>
            <w:tcW w:w="871" w:type="pct"/>
            <w:shd w:val="clear" w:color="auto" w:fill="D7DDE9" w:themeFill="accent3"/>
            <w:vAlign w:val="center"/>
          </w:tcPr>
          <w:p w:rsidR="00EB7899" w:rsidRPr="002D239A" w:rsidRDefault="00EB7899" w:rsidP="00BB4D3D">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748" w:type="pct"/>
            <w:shd w:val="clear" w:color="auto" w:fill="D7DDE9" w:themeFill="accent3"/>
            <w:vAlign w:val="center"/>
          </w:tcPr>
          <w:p w:rsidR="00EB7899" w:rsidRPr="002D239A" w:rsidRDefault="00EB7899" w:rsidP="00BB4D3D">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665" w:type="pct"/>
            <w:shd w:val="clear" w:color="auto" w:fill="D7DDE9" w:themeFill="accent3"/>
            <w:vAlign w:val="center"/>
          </w:tcPr>
          <w:p w:rsidR="00EB7899" w:rsidRPr="002D239A" w:rsidRDefault="00EB7899" w:rsidP="00BB4D3D">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748" w:type="pct"/>
            <w:shd w:val="clear" w:color="auto" w:fill="D7DDE9" w:themeFill="accent3"/>
            <w:vAlign w:val="center"/>
          </w:tcPr>
          <w:p w:rsidR="00EB7899" w:rsidRPr="002D239A" w:rsidRDefault="00EB7899" w:rsidP="00BB4D3D">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697" w:type="pct"/>
            <w:shd w:val="clear" w:color="auto" w:fill="D7DDE9" w:themeFill="accent3"/>
            <w:vAlign w:val="center"/>
          </w:tcPr>
          <w:p w:rsidR="00EB7899" w:rsidRPr="002D239A" w:rsidRDefault="00EB7899" w:rsidP="00BB4D3D">
            <w:pPr>
              <w:pStyle w:val="TableHeadingRight"/>
              <w:cnfStyle w:val="000000000000" w:firstRow="0" w:lastRow="0" w:firstColumn="0" w:lastColumn="0" w:oddVBand="0" w:evenVBand="0" w:oddHBand="0" w:evenHBand="0" w:firstRowFirstColumn="0" w:firstRowLastColumn="0" w:lastRowFirstColumn="0" w:lastRowLastColumn="0"/>
            </w:pPr>
            <w:r>
              <w:t>Total to 2019–20</w:t>
            </w:r>
          </w:p>
        </w:tc>
      </w:tr>
      <w:tr w:rsidR="0029039F" w:rsidTr="0029039F">
        <w:tc>
          <w:tcPr>
            <w:cnfStyle w:val="001000000000" w:firstRow="0" w:lastRow="0" w:firstColumn="1" w:lastColumn="0" w:oddVBand="0" w:evenVBand="0" w:oddHBand="0" w:evenHBand="0" w:firstRowFirstColumn="0" w:firstRowLastColumn="0" w:lastRowFirstColumn="0" w:lastRowLastColumn="0"/>
            <w:tcW w:w="1271" w:type="pct"/>
            <w:vAlign w:val="center"/>
          </w:tcPr>
          <w:p w:rsidR="0029039F" w:rsidRPr="003C54BF" w:rsidRDefault="0029039F" w:rsidP="00BB4D3D">
            <w:pPr>
              <w:pStyle w:val="TableText"/>
              <w:rPr>
                <w:b w:val="0"/>
              </w:rPr>
            </w:pPr>
            <w:r w:rsidRPr="003C54BF">
              <w:rPr>
                <w:b w:val="0"/>
              </w:rPr>
              <w:t>GST re</w:t>
            </w:r>
            <w:r>
              <w:rPr>
                <w:b w:val="0"/>
              </w:rPr>
              <w:t>ceipts</w:t>
            </w:r>
          </w:p>
        </w:tc>
        <w:tc>
          <w:tcPr>
            <w:tcW w:w="871"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-25.0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-40.0</w:t>
            </w:r>
          </w:p>
        </w:tc>
        <w:tc>
          <w:tcPr>
            <w:tcW w:w="665"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-45.0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-45.0</w:t>
            </w:r>
          </w:p>
        </w:tc>
        <w:tc>
          <w:tcPr>
            <w:tcW w:w="697"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-155.0</w:t>
            </w:r>
          </w:p>
        </w:tc>
      </w:tr>
      <w:tr w:rsidR="0029039F" w:rsidTr="0029039F">
        <w:tc>
          <w:tcPr>
            <w:cnfStyle w:val="001000000000" w:firstRow="0" w:lastRow="0" w:firstColumn="1" w:lastColumn="0" w:oddVBand="0" w:evenVBand="0" w:oddHBand="0" w:evenHBand="0" w:firstRowFirstColumn="0" w:firstRowLastColumn="0" w:lastRowFirstColumn="0" w:lastRowLastColumn="0"/>
            <w:tcW w:w="1271" w:type="pct"/>
            <w:vAlign w:val="center"/>
          </w:tcPr>
          <w:p w:rsidR="0029039F" w:rsidRPr="003C54BF" w:rsidRDefault="0029039F" w:rsidP="00BB4D3D">
            <w:pPr>
              <w:pStyle w:val="TableText"/>
              <w:rPr>
                <w:b w:val="0"/>
              </w:rPr>
            </w:pPr>
            <w:r w:rsidRPr="003C54BF">
              <w:rPr>
                <w:b w:val="0"/>
              </w:rPr>
              <w:t xml:space="preserve">GST </w:t>
            </w:r>
            <w:r>
              <w:rPr>
                <w:b w:val="0"/>
              </w:rPr>
              <w:t>outlays</w:t>
            </w:r>
          </w:p>
        </w:tc>
        <w:tc>
          <w:tcPr>
            <w:tcW w:w="871"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25.0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40.0</w:t>
            </w:r>
          </w:p>
        </w:tc>
        <w:tc>
          <w:tcPr>
            <w:tcW w:w="665"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45.0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45.0</w:t>
            </w:r>
          </w:p>
        </w:tc>
        <w:tc>
          <w:tcPr>
            <w:tcW w:w="697"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155.0</w:t>
            </w:r>
          </w:p>
        </w:tc>
      </w:tr>
      <w:tr w:rsidR="0029039F" w:rsidTr="00D06A17">
        <w:tc>
          <w:tcPr>
            <w:cnfStyle w:val="001000000000" w:firstRow="0" w:lastRow="0" w:firstColumn="1" w:lastColumn="0" w:oddVBand="0" w:evenVBand="0" w:oddHBand="0" w:evenHBand="0" w:firstRowFirstColumn="0" w:firstRowLastColumn="0" w:lastRowFirstColumn="0" w:lastRowLastColumn="0"/>
            <w:tcW w:w="1271" w:type="pct"/>
            <w:shd w:val="clear" w:color="auto" w:fill="D7DDE9" w:themeFill="accent3"/>
            <w:vAlign w:val="center"/>
          </w:tcPr>
          <w:p w:rsidR="0029039F" w:rsidRPr="002D239A" w:rsidRDefault="0029039F" w:rsidP="00BB4D3D">
            <w:pPr>
              <w:pStyle w:val="TableText"/>
              <w:keepNext/>
              <w:keepLines/>
            </w:pPr>
            <w:r>
              <w:t>Total</w:t>
            </w:r>
          </w:p>
        </w:tc>
        <w:tc>
          <w:tcPr>
            <w:tcW w:w="871" w:type="pct"/>
            <w:shd w:val="clear" w:color="auto" w:fill="D7DDE9" w:themeFill="accent3"/>
            <w:vAlign w:val="center"/>
          </w:tcPr>
          <w:p w:rsidR="0029039F" w:rsidRPr="00E844F8" w:rsidRDefault="0029039F" w:rsidP="00BB4D3D">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c>
          <w:tcPr>
            <w:tcW w:w="748" w:type="pct"/>
            <w:shd w:val="clear" w:color="auto" w:fill="D7DDE9" w:themeFill="accent3"/>
            <w:vAlign w:val="center"/>
          </w:tcPr>
          <w:p w:rsidR="0029039F" w:rsidRPr="00E844F8" w:rsidRDefault="0029039F" w:rsidP="00BB4D3D">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c>
          <w:tcPr>
            <w:tcW w:w="665" w:type="pct"/>
            <w:shd w:val="clear" w:color="auto" w:fill="D7DDE9" w:themeFill="accent3"/>
            <w:vAlign w:val="center"/>
          </w:tcPr>
          <w:p w:rsidR="0029039F" w:rsidRPr="00E844F8" w:rsidRDefault="0029039F" w:rsidP="00BB4D3D">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c>
          <w:tcPr>
            <w:tcW w:w="748" w:type="pct"/>
            <w:shd w:val="clear" w:color="auto" w:fill="D7DDE9" w:themeFill="accent3"/>
            <w:vAlign w:val="center"/>
          </w:tcPr>
          <w:p w:rsidR="0029039F" w:rsidRPr="00E844F8" w:rsidRDefault="0029039F" w:rsidP="00BB4D3D">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c>
          <w:tcPr>
            <w:tcW w:w="697" w:type="pct"/>
            <w:shd w:val="clear" w:color="auto" w:fill="D7DDE9" w:themeFill="accent3"/>
            <w:vAlign w:val="center"/>
          </w:tcPr>
          <w:p w:rsidR="0029039F" w:rsidRPr="00E844F8" w:rsidRDefault="0029039F" w:rsidP="00BB4D3D">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r>
    </w:tbl>
    <w:p w:rsidR="00EB7899" w:rsidRDefault="00EB7899" w:rsidP="00EB7899">
      <w:pPr>
        <w:pStyle w:val="TableFootnotes"/>
        <w:keepNext/>
        <w:numPr>
          <w:ilvl w:val="0"/>
          <w:numId w:val="13"/>
        </w:numPr>
        <w:ind w:left="284" w:hanging="284"/>
      </w:pPr>
      <w:r>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EB7899" w:rsidRPr="002D239A" w:rsidRDefault="00EB7899" w:rsidP="00EB7899">
      <w:pPr>
        <w:pStyle w:val="TableFootnotes"/>
        <w:keepNext/>
      </w:pPr>
      <w:r>
        <w:t>Figures may not sum to totals due to rounding.</w:t>
      </w:r>
    </w:p>
    <w:p w:rsidR="00EB7899" w:rsidRDefault="00EB7899" w:rsidP="00EB7899">
      <w:pPr>
        <w:pStyle w:val="TableFootnotes"/>
        <w:keepLines w:val="0"/>
        <w:numPr>
          <w:ilvl w:val="0"/>
          <w:numId w:val="11"/>
        </w:numPr>
        <w:ind w:left="284" w:hanging="284"/>
      </w:pPr>
      <w:r>
        <w:t>Indicates nil.</w:t>
      </w:r>
    </w:p>
    <w:p w:rsidR="00EB7899" w:rsidRDefault="00EB7899" w:rsidP="00AF568A">
      <w:pPr>
        <w:pStyle w:val="Caption"/>
        <w:keepLines/>
      </w:pPr>
    </w:p>
    <w:p w:rsidR="00EB7899" w:rsidRDefault="00EB7899" w:rsidP="00AF568A">
      <w:pPr>
        <w:pStyle w:val="Caption"/>
        <w:keepLines/>
      </w:pPr>
    </w:p>
    <w:p w:rsidR="00110F6D" w:rsidRDefault="00110F6D">
      <w:pPr>
        <w:rPr>
          <w:b/>
          <w:bCs/>
          <w:color w:val="2B3B5F" w:themeColor="text2"/>
          <w:spacing w:val="-4"/>
        </w:rPr>
      </w:pPr>
      <w:r>
        <w:br w:type="page"/>
      </w:r>
    </w:p>
    <w:p w:rsidR="00016D53" w:rsidRDefault="002D239A" w:rsidP="00AF568A">
      <w:pPr>
        <w:pStyle w:val="Caption"/>
        <w:keepLines/>
      </w:pPr>
      <w:r w:rsidRPr="002D239A">
        <w:lastRenderedPageBreak/>
        <w:t xml:space="preserve">Table </w:t>
      </w:r>
      <w:fldSimple w:instr=" STYLEREF 8 \s ">
        <w:r w:rsidR="00215B3F">
          <w:rPr>
            <w:noProof/>
          </w:rPr>
          <w:t>A</w:t>
        </w:r>
      </w:fldSimple>
      <w:r w:rsidR="00384DD1">
        <w:t>3</w:t>
      </w:r>
      <w:r w:rsidRPr="002D239A">
        <w:t>:</w:t>
      </w:r>
      <w:r w:rsidR="00A35FA1">
        <w:t xml:space="preserve"> Option </w:t>
      </w:r>
      <w:r w:rsidR="003C54BF">
        <w:t xml:space="preserve">2 – </w:t>
      </w:r>
      <w:r w:rsidR="00375EB1" w:rsidRPr="006539DB">
        <w:t xml:space="preserve">Remove compulsory GST registration for </w:t>
      </w:r>
      <w:r w:rsidR="00375EB1">
        <w:t>all taxi travel services</w:t>
      </w:r>
      <w:r w:rsidR="00375EB1" w:rsidRPr="00B1365C">
        <w:t xml:space="preserve"> </w:t>
      </w:r>
      <w:r>
        <w:t>—</w:t>
      </w:r>
      <w:r w:rsidR="0056001A">
        <w:t>Fiscal</w:t>
      </w:r>
      <w:r>
        <w:t xml:space="preserve"> </w:t>
      </w:r>
      <w:proofErr w:type="gramStart"/>
      <w:r>
        <w:t>balance</w:t>
      </w:r>
      <w:r w:rsidRPr="002D239A">
        <w:rPr>
          <w:vertAlign w:val="superscript"/>
        </w:rPr>
        <w:t>(</w:t>
      </w:r>
      <w:proofErr w:type="gramEnd"/>
      <w:r w:rsidRPr="002D239A">
        <w:rPr>
          <w:vertAlign w:val="superscript"/>
        </w:rPr>
        <w:t>a)(b)</w:t>
      </w:r>
    </w:p>
    <w:tbl>
      <w:tblPr>
        <w:tblStyle w:val="LightGrid-Accent6"/>
        <w:tblW w:w="4999" w:type="pct"/>
        <w:tblLayout w:type="fixed"/>
        <w:tblLook w:val="0680" w:firstRow="0" w:lastRow="0" w:firstColumn="1" w:lastColumn="0" w:noHBand="1" w:noVBand="1"/>
      </w:tblPr>
      <w:tblGrid>
        <w:gridCol w:w="2167"/>
        <w:gridCol w:w="1485"/>
        <w:gridCol w:w="1276"/>
        <w:gridCol w:w="1134"/>
        <w:gridCol w:w="1276"/>
        <w:gridCol w:w="1189"/>
      </w:tblGrid>
      <w:tr w:rsidR="00280536" w:rsidTr="0029039F">
        <w:tc>
          <w:tcPr>
            <w:cnfStyle w:val="001000000000" w:firstRow="0" w:lastRow="0" w:firstColumn="1" w:lastColumn="0" w:oddVBand="0" w:evenVBand="0" w:oddHBand="0" w:evenHBand="0" w:firstRowFirstColumn="0" w:firstRowLastColumn="0" w:lastRowFirstColumn="0" w:lastRowLastColumn="0"/>
            <w:tcW w:w="1271" w:type="pct"/>
            <w:shd w:val="clear" w:color="auto" w:fill="D7DDE9" w:themeFill="accent3"/>
            <w:vAlign w:val="center"/>
          </w:tcPr>
          <w:p w:rsidR="002D239A" w:rsidRPr="002D239A" w:rsidRDefault="00AF568A" w:rsidP="00AF568A">
            <w:pPr>
              <w:pStyle w:val="TableHeading"/>
            </w:pPr>
            <w:r>
              <w:t>($</w:t>
            </w:r>
            <w:r w:rsidR="00A838D2">
              <w:t>m</w:t>
            </w:r>
            <w:r>
              <w:t>)</w:t>
            </w:r>
          </w:p>
        </w:tc>
        <w:tc>
          <w:tcPr>
            <w:tcW w:w="871" w:type="pct"/>
            <w:shd w:val="clear" w:color="auto" w:fill="D7DDE9" w:themeFill="accent3"/>
            <w:vAlign w:val="center"/>
          </w:tcPr>
          <w:p w:rsidR="002D239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748" w:type="pct"/>
            <w:shd w:val="clear" w:color="auto" w:fill="D7DDE9" w:themeFill="accent3"/>
            <w:vAlign w:val="center"/>
          </w:tcPr>
          <w:p w:rsidR="002D239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665" w:type="pct"/>
            <w:shd w:val="clear" w:color="auto" w:fill="D7DDE9" w:themeFill="accent3"/>
            <w:vAlign w:val="center"/>
          </w:tcPr>
          <w:p w:rsidR="002D239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748" w:type="pct"/>
            <w:shd w:val="clear" w:color="auto" w:fill="D7DDE9" w:themeFill="accent3"/>
            <w:vAlign w:val="center"/>
          </w:tcPr>
          <w:p w:rsidR="002D239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697" w:type="pct"/>
            <w:shd w:val="clear" w:color="auto" w:fill="D7DDE9" w:themeFill="accent3"/>
            <w:vAlign w:val="center"/>
          </w:tcPr>
          <w:p w:rsidR="002D239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pPr>
            <w:r>
              <w:t>Total to 2019–20</w:t>
            </w:r>
          </w:p>
        </w:tc>
      </w:tr>
      <w:tr w:rsidR="0029039F" w:rsidRPr="008D77AF" w:rsidTr="0029039F">
        <w:tc>
          <w:tcPr>
            <w:cnfStyle w:val="001000000000" w:firstRow="0" w:lastRow="0" w:firstColumn="1" w:lastColumn="0" w:oddVBand="0" w:evenVBand="0" w:oddHBand="0" w:evenHBand="0" w:firstRowFirstColumn="0" w:firstRowLastColumn="0" w:lastRowFirstColumn="0" w:lastRowLastColumn="0"/>
            <w:tcW w:w="1271" w:type="pct"/>
            <w:vAlign w:val="center"/>
          </w:tcPr>
          <w:p w:rsidR="0029039F" w:rsidRPr="003C54BF" w:rsidRDefault="0029039F" w:rsidP="00754C8E">
            <w:pPr>
              <w:pStyle w:val="TableText"/>
              <w:rPr>
                <w:b w:val="0"/>
              </w:rPr>
            </w:pPr>
            <w:r w:rsidRPr="003C54BF">
              <w:rPr>
                <w:b w:val="0"/>
              </w:rPr>
              <w:t>GST revenue</w:t>
            </w:r>
          </w:p>
        </w:tc>
        <w:tc>
          <w:tcPr>
            <w:tcW w:w="871"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-135.0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-145.0</w:t>
            </w:r>
          </w:p>
        </w:tc>
        <w:tc>
          <w:tcPr>
            <w:tcW w:w="665"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-150.0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-155.0</w:t>
            </w:r>
          </w:p>
        </w:tc>
        <w:tc>
          <w:tcPr>
            <w:tcW w:w="697"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-585.0</w:t>
            </w:r>
          </w:p>
        </w:tc>
      </w:tr>
      <w:tr w:rsidR="0029039F" w:rsidRPr="008D77AF" w:rsidTr="0029039F">
        <w:tc>
          <w:tcPr>
            <w:cnfStyle w:val="001000000000" w:firstRow="0" w:lastRow="0" w:firstColumn="1" w:lastColumn="0" w:oddVBand="0" w:evenVBand="0" w:oddHBand="0" w:evenHBand="0" w:firstRowFirstColumn="0" w:firstRowLastColumn="0" w:lastRowFirstColumn="0" w:lastRowLastColumn="0"/>
            <w:tcW w:w="1271" w:type="pct"/>
            <w:vAlign w:val="center"/>
          </w:tcPr>
          <w:p w:rsidR="0029039F" w:rsidRPr="003C54BF" w:rsidRDefault="0029039F" w:rsidP="00754C8E">
            <w:pPr>
              <w:pStyle w:val="TableText"/>
              <w:rPr>
                <w:b w:val="0"/>
              </w:rPr>
            </w:pPr>
            <w:r w:rsidRPr="003C54BF">
              <w:rPr>
                <w:b w:val="0"/>
              </w:rPr>
              <w:t>GST expenses</w:t>
            </w:r>
          </w:p>
        </w:tc>
        <w:tc>
          <w:tcPr>
            <w:tcW w:w="871"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120.0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140.0</w:t>
            </w:r>
          </w:p>
        </w:tc>
        <w:tc>
          <w:tcPr>
            <w:tcW w:w="665"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150.0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155.0</w:t>
            </w:r>
          </w:p>
        </w:tc>
        <w:tc>
          <w:tcPr>
            <w:tcW w:w="697"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565.0</w:t>
            </w:r>
          </w:p>
        </w:tc>
      </w:tr>
      <w:tr w:rsidR="0029039F" w:rsidTr="0029039F">
        <w:tc>
          <w:tcPr>
            <w:cnfStyle w:val="001000000000" w:firstRow="0" w:lastRow="0" w:firstColumn="1" w:lastColumn="0" w:oddVBand="0" w:evenVBand="0" w:oddHBand="0" w:evenHBand="0" w:firstRowFirstColumn="0" w:firstRowLastColumn="0" w:lastRowFirstColumn="0" w:lastRowLastColumn="0"/>
            <w:tcW w:w="1271" w:type="pct"/>
            <w:shd w:val="clear" w:color="auto" w:fill="D7DDE9" w:themeFill="accent3"/>
            <w:vAlign w:val="center"/>
          </w:tcPr>
          <w:p w:rsidR="0029039F" w:rsidRPr="008D77AF" w:rsidRDefault="0029039F" w:rsidP="0056001A">
            <w:pPr>
              <w:pStyle w:val="TableText"/>
              <w:keepNext/>
              <w:keepLines/>
            </w:pPr>
            <w:r w:rsidRPr="008D77AF">
              <w:t>Total</w:t>
            </w:r>
          </w:p>
        </w:tc>
        <w:tc>
          <w:tcPr>
            <w:tcW w:w="871" w:type="pct"/>
            <w:shd w:val="clear" w:color="auto" w:fill="D7DDE9" w:themeFill="accent3"/>
            <w:vAlign w:val="center"/>
          </w:tcPr>
          <w:p w:rsidR="0029039F" w:rsidRPr="00E844F8" w:rsidRDefault="0029039F" w:rsidP="00313564">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-15.0</w:t>
            </w:r>
          </w:p>
        </w:tc>
        <w:tc>
          <w:tcPr>
            <w:tcW w:w="748" w:type="pct"/>
            <w:shd w:val="clear" w:color="auto" w:fill="D7DDE9" w:themeFill="accent3"/>
            <w:vAlign w:val="center"/>
          </w:tcPr>
          <w:p w:rsidR="0029039F" w:rsidRPr="00E844F8" w:rsidRDefault="0029039F" w:rsidP="00313564">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-5.0</w:t>
            </w:r>
          </w:p>
        </w:tc>
        <w:tc>
          <w:tcPr>
            <w:tcW w:w="665" w:type="pct"/>
            <w:shd w:val="clear" w:color="auto" w:fill="D7DDE9" w:themeFill="accent3"/>
            <w:vAlign w:val="center"/>
          </w:tcPr>
          <w:p w:rsidR="0029039F" w:rsidRPr="00E844F8" w:rsidRDefault="0029039F" w:rsidP="00313564">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c>
          <w:tcPr>
            <w:tcW w:w="748" w:type="pct"/>
            <w:shd w:val="clear" w:color="auto" w:fill="D7DDE9" w:themeFill="accent3"/>
            <w:vAlign w:val="center"/>
          </w:tcPr>
          <w:p w:rsidR="0029039F" w:rsidRPr="00E844F8" w:rsidRDefault="0029039F" w:rsidP="00313564">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c>
          <w:tcPr>
            <w:tcW w:w="697" w:type="pct"/>
            <w:shd w:val="clear" w:color="auto" w:fill="D7DDE9" w:themeFill="accent3"/>
            <w:vAlign w:val="center"/>
          </w:tcPr>
          <w:p w:rsidR="0029039F" w:rsidRPr="00E844F8" w:rsidRDefault="0029039F" w:rsidP="00313564">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-20.0</w:t>
            </w:r>
          </w:p>
        </w:tc>
      </w:tr>
    </w:tbl>
    <w:p w:rsidR="002D239A" w:rsidRDefault="0056001A" w:rsidP="0087429B">
      <w:pPr>
        <w:pStyle w:val="TableFootnotes"/>
        <w:keepNext/>
        <w:numPr>
          <w:ilvl w:val="0"/>
          <w:numId w:val="16"/>
        </w:numPr>
      </w:pPr>
      <w: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2D239A" w:rsidRPr="002D239A" w:rsidRDefault="002D239A" w:rsidP="00AF568A">
      <w:pPr>
        <w:pStyle w:val="TableFootnotes"/>
        <w:keepNext/>
      </w:pPr>
      <w:r>
        <w:t>Figures may not sum to totals due to rounding.</w:t>
      </w:r>
    </w:p>
    <w:p w:rsidR="002D239A" w:rsidRDefault="002D239A" w:rsidP="006623E7">
      <w:pPr>
        <w:pStyle w:val="TableFootnotes"/>
        <w:keepLines w:val="0"/>
        <w:numPr>
          <w:ilvl w:val="0"/>
          <w:numId w:val="11"/>
        </w:numPr>
        <w:ind w:left="284" w:hanging="284"/>
      </w:pPr>
      <w:r>
        <w:t>Indicates nil.</w:t>
      </w:r>
    </w:p>
    <w:p w:rsidR="00280536" w:rsidRDefault="00280536">
      <w:pPr>
        <w:rPr>
          <w:b/>
          <w:bCs/>
          <w:color w:val="2B3B5F" w:themeColor="text2"/>
          <w:spacing w:val="-4"/>
        </w:rPr>
      </w:pPr>
    </w:p>
    <w:p w:rsidR="00AF568A" w:rsidRDefault="00AF568A" w:rsidP="00313564">
      <w:pPr>
        <w:pStyle w:val="Caption"/>
      </w:pPr>
      <w:r w:rsidRPr="002D239A">
        <w:t xml:space="preserve">Table </w:t>
      </w:r>
      <w:fldSimple w:instr=" STYLEREF 8 \s ">
        <w:r w:rsidR="00215B3F">
          <w:rPr>
            <w:noProof/>
          </w:rPr>
          <w:t>A</w:t>
        </w:r>
      </w:fldSimple>
      <w:r w:rsidR="00384DD1">
        <w:t>4</w:t>
      </w:r>
      <w:r w:rsidRPr="002D239A">
        <w:t xml:space="preserve">: </w:t>
      </w:r>
      <w:r w:rsidR="003C54BF">
        <w:t xml:space="preserve">Option 2 – </w:t>
      </w:r>
      <w:r w:rsidR="00EB7899">
        <w:t>R</w:t>
      </w:r>
      <w:r w:rsidR="00EB7899" w:rsidRPr="006539DB">
        <w:t xml:space="preserve">emove compulsory GST registration for </w:t>
      </w:r>
      <w:r w:rsidR="00EB7899">
        <w:t>all taxi travel services</w:t>
      </w:r>
      <w:r w:rsidR="00EB7899" w:rsidRPr="00B1365C">
        <w:t xml:space="preserve"> </w:t>
      </w:r>
      <w:r>
        <w:t>—</w:t>
      </w:r>
      <w:r w:rsidR="0056001A">
        <w:t>Underlying cash</w:t>
      </w:r>
      <w:r>
        <w:t xml:space="preserve"> </w:t>
      </w:r>
      <w:proofErr w:type="gramStart"/>
      <w:r>
        <w:t>balance</w:t>
      </w:r>
      <w:r w:rsidRPr="002D239A">
        <w:rPr>
          <w:vertAlign w:val="superscript"/>
        </w:rPr>
        <w:t>(</w:t>
      </w:r>
      <w:proofErr w:type="gramEnd"/>
      <w:r w:rsidRPr="002D239A">
        <w:rPr>
          <w:vertAlign w:val="superscript"/>
        </w:rPr>
        <w:t>a)(b)</w:t>
      </w:r>
    </w:p>
    <w:tbl>
      <w:tblPr>
        <w:tblStyle w:val="LightGrid-Accent6"/>
        <w:tblW w:w="4999" w:type="pct"/>
        <w:tblLayout w:type="fixed"/>
        <w:tblLook w:val="0680" w:firstRow="0" w:lastRow="0" w:firstColumn="1" w:lastColumn="0" w:noHBand="1" w:noVBand="1"/>
      </w:tblPr>
      <w:tblGrid>
        <w:gridCol w:w="2167"/>
        <w:gridCol w:w="1485"/>
        <w:gridCol w:w="1276"/>
        <w:gridCol w:w="1134"/>
        <w:gridCol w:w="1276"/>
        <w:gridCol w:w="1189"/>
      </w:tblGrid>
      <w:tr w:rsidR="00280536" w:rsidTr="0029039F">
        <w:tc>
          <w:tcPr>
            <w:cnfStyle w:val="001000000000" w:firstRow="0" w:lastRow="0" w:firstColumn="1" w:lastColumn="0" w:oddVBand="0" w:evenVBand="0" w:oddHBand="0" w:evenHBand="0" w:firstRowFirstColumn="0" w:firstRowLastColumn="0" w:lastRowFirstColumn="0" w:lastRowLastColumn="0"/>
            <w:tcW w:w="1271" w:type="pct"/>
            <w:shd w:val="clear" w:color="auto" w:fill="D7DDE9" w:themeFill="accent3"/>
            <w:vAlign w:val="center"/>
          </w:tcPr>
          <w:p w:rsidR="00AF568A" w:rsidRPr="002D239A" w:rsidRDefault="00AF568A" w:rsidP="00AF568A">
            <w:pPr>
              <w:pStyle w:val="TableHeading"/>
            </w:pPr>
            <w:r>
              <w:t>($</w:t>
            </w:r>
            <w:r w:rsidR="00A838D2">
              <w:t>m</w:t>
            </w:r>
            <w:r>
              <w:t>)</w:t>
            </w:r>
          </w:p>
        </w:tc>
        <w:tc>
          <w:tcPr>
            <w:tcW w:w="871" w:type="pct"/>
            <w:shd w:val="clear" w:color="auto" w:fill="D7DDE9" w:themeFill="accent3"/>
            <w:vAlign w:val="center"/>
          </w:tcPr>
          <w:p w:rsidR="00AF568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748" w:type="pct"/>
            <w:shd w:val="clear" w:color="auto" w:fill="D7DDE9" w:themeFill="accent3"/>
            <w:vAlign w:val="center"/>
          </w:tcPr>
          <w:p w:rsidR="00AF568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665" w:type="pct"/>
            <w:shd w:val="clear" w:color="auto" w:fill="D7DDE9" w:themeFill="accent3"/>
            <w:vAlign w:val="center"/>
          </w:tcPr>
          <w:p w:rsidR="00AF568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748" w:type="pct"/>
            <w:shd w:val="clear" w:color="auto" w:fill="D7DDE9" w:themeFill="accent3"/>
            <w:vAlign w:val="center"/>
          </w:tcPr>
          <w:p w:rsidR="00AF568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697" w:type="pct"/>
            <w:shd w:val="clear" w:color="auto" w:fill="D7DDE9" w:themeFill="accent3"/>
            <w:vAlign w:val="center"/>
          </w:tcPr>
          <w:p w:rsidR="00AF568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pPr>
            <w:r>
              <w:t>Total to 2019–20</w:t>
            </w:r>
          </w:p>
        </w:tc>
      </w:tr>
      <w:tr w:rsidR="0029039F" w:rsidTr="0029039F">
        <w:tc>
          <w:tcPr>
            <w:cnfStyle w:val="001000000000" w:firstRow="0" w:lastRow="0" w:firstColumn="1" w:lastColumn="0" w:oddVBand="0" w:evenVBand="0" w:oddHBand="0" w:evenHBand="0" w:firstRowFirstColumn="0" w:firstRowLastColumn="0" w:lastRowFirstColumn="0" w:lastRowLastColumn="0"/>
            <w:tcW w:w="1271" w:type="pct"/>
            <w:vAlign w:val="center"/>
          </w:tcPr>
          <w:p w:rsidR="0029039F" w:rsidRPr="003C54BF" w:rsidRDefault="0029039F" w:rsidP="00C12A55">
            <w:pPr>
              <w:pStyle w:val="TableText"/>
              <w:rPr>
                <w:b w:val="0"/>
              </w:rPr>
            </w:pPr>
            <w:r w:rsidRPr="003C54BF">
              <w:rPr>
                <w:b w:val="0"/>
              </w:rPr>
              <w:t>GST re</w:t>
            </w:r>
            <w:r>
              <w:rPr>
                <w:b w:val="0"/>
              </w:rPr>
              <w:t>ceipts</w:t>
            </w:r>
          </w:p>
        </w:tc>
        <w:tc>
          <w:tcPr>
            <w:tcW w:w="871"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-120.0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-140.0</w:t>
            </w:r>
          </w:p>
        </w:tc>
        <w:tc>
          <w:tcPr>
            <w:tcW w:w="665"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-150.0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-155.0</w:t>
            </w:r>
          </w:p>
        </w:tc>
        <w:tc>
          <w:tcPr>
            <w:tcW w:w="697"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-565.0</w:t>
            </w:r>
          </w:p>
        </w:tc>
      </w:tr>
      <w:tr w:rsidR="0029039F" w:rsidTr="0029039F">
        <w:tc>
          <w:tcPr>
            <w:cnfStyle w:val="001000000000" w:firstRow="0" w:lastRow="0" w:firstColumn="1" w:lastColumn="0" w:oddVBand="0" w:evenVBand="0" w:oddHBand="0" w:evenHBand="0" w:firstRowFirstColumn="0" w:firstRowLastColumn="0" w:lastRowFirstColumn="0" w:lastRowLastColumn="0"/>
            <w:tcW w:w="1271" w:type="pct"/>
            <w:vAlign w:val="center"/>
          </w:tcPr>
          <w:p w:rsidR="0029039F" w:rsidRPr="003C54BF" w:rsidRDefault="0029039F" w:rsidP="00C12A55">
            <w:pPr>
              <w:pStyle w:val="TableText"/>
              <w:rPr>
                <w:b w:val="0"/>
              </w:rPr>
            </w:pPr>
            <w:r w:rsidRPr="003C54BF">
              <w:rPr>
                <w:b w:val="0"/>
              </w:rPr>
              <w:t xml:space="preserve">GST </w:t>
            </w:r>
            <w:r>
              <w:rPr>
                <w:b w:val="0"/>
              </w:rPr>
              <w:t>outlays</w:t>
            </w:r>
          </w:p>
        </w:tc>
        <w:tc>
          <w:tcPr>
            <w:tcW w:w="871"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120.0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140.0</w:t>
            </w:r>
          </w:p>
        </w:tc>
        <w:tc>
          <w:tcPr>
            <w:tcW w:w="665"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150.0</w:t>
            </w:r>
          </w:p>
        </w:tc>
        <w:tc>
          <w:tcPr>
            <w:tcW w:w="748"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155.0</w:t>
            </w:r>
          </w:p>
        </w:tc>
        <w:tc>
          <w:tcPr>
            <w:tcW w:w="697" w:type="pct"/>
          </w:tcPr>
          <w:p w:rsidR="0029039F" w:rsidRDefault="0029039F" w:rsidP="0029039F">
            <w:pPr>
              <w:pStyle w:val="TableTextRightItalic"/>
              <w:cnfStyle w:val="000000000000" w:firstRow="0" w:lastRow="0" w:firstColumn="0" w:lastColumn="0" w:oddVBand="0" w:evenVBand="0" w:oddHBand="0" w:evenHBand="0" w:firstRowFirstColumn="0" w:firstRowLastColumn="0" w:lastRowFirstColumn="0" w:lastRowLastColumn="0"/>
            </w:pPr>
            <w:r>
              <w:t>565.0</w:t>
            </w:r>
          </w:p>
        </w:tc>
      </w:tr>
      <w:tr w:rsidR="0029039F" w:rsidTr="0029039F">
        <w:tc>
          <w:tcPr>
            <w:cnfStyle w:val="001000000000" w:firstRow="0" w:lastRow="0" w:firstColumn="1" w:lastColumn="0" w:oddVBand="0" w:evenVBand="0" w:oddHBand="0" w:evenHBand="0" w:firstRowFirstColumn="0" w:firstRowLastColumn="0" w:lastRowFirstColumn="0" w:lastRowLastColumn="0"/>
            <w:tcW w:w="1271" w:type="pct"/>
            <w:shd w:val="clear" w:color="auto" w:fill="D7DDE9" w:themeFill="accent3"/>
            <w:vAlign w:val="center"/>
          </w:tcPr>
          <w:p w:rsidR="0029039F" w:rsidRPr="002D239A" w:rsidRDefault="0029039F" w:rsidP="00AF568A">
            <w:pPr>
              <w:pStyle w:val="TableText"/>
              <w:keepNext/>
              <w:keepLines/>
            </w:pPr>
            <w:r>
              <w:t>Total</w:t>
            </w:r>
          </w:p>
        </w:tc>
        <w:tc>
          <w:tcPr>
            <w:tcW w:w="871" w:type="pct"/>
            <w:shd w:val="clear" w:color="auto" w:fill="D7DDE9" w:themeFill="accent3"/>
            <w:vAlign w:val="center"/>
          </w:tcPr>
          <w:p w:rsidR="0029039F" w:rsidRPr="00E844F8" w:rsidRDefault="0029039F" w:rsidP="00313564">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c>
          <w:tcPr>
            <w:tcW w:w="748" w:type="pct"/>
            <w:shd w:val="clear" w:color="auto" w:fill="D7DDE9" w:themeFill="accent3"/>
            <w:vAlign w:val="center"/>
          </w:tcPr>
          <w:p w:rsidR="0029039F" w:rsidRPr="00E844F8" w:rsidRDefault="0029039F" w:rsidP="00313564">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c>
          <w:tcPr>
            <w:tcW w:w="665" w:type="pct"/>
            <w:shd w:val="clear" w:color="auto" w:fill="D7DDE9" w:themeFill="accent3"/>
            <w:vAlign w:val="center"/>
          </w:tcPr>
          <w:p w:rsidR="0029039F" w:rsidRPr="00E844F8" w:rsidRDefault="0029039F" w:rsidP="00313564">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c>
          <w:tcPr>
            <w:tcW w:w="748" w:type="pct"/>
            <w:shd w:val="clear" w:color="auto" w:fill="D7DDE9" w:themeFill="accent3"/>
            <w:vAlign w:val="center"/>
          </w:tcPr>
          <w:p w:rsidR="0029039F" w:rsidRPr="00E844F8" w:rsidRDefault="0029039F" w:rsidP="00313564">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c>
          <w:tcPr>
            <w:tcW w:w="697" w:type="pct"/>
            <w:shd w:val="clear" w:color="auto" w:fill="D7DDE9" w:themeFill="accent3"/>
            <w:vAlign w:val="center"/>
          </w:tcPr>
          <w:p w:rsidR="0029039F" w:rsidRPr="00E844F8" w:rsidRDefault="0029039F" w:rsidP="00313564">
            <w:pPr>
              <w:pStyle w:val="TableTextRightBold"/>
              <w:cnfStyle w:val="000000000000" w:firstRow="0" w:lastRow="0" w:firstColumn="0" w:lastColumn="0" w:oddVBand="0" w:evenVBand="0" w:oddHBand="0" w:evenHBand="0" w:firstRowFirstColumn="0" w:firstRowLastColumn="0" w:lastRowFirstColumn="0" w:lastRowLastColumn="0"/>
            </w:pPr>
            <w:r>
              <w:rPr>
                <w:bCs/>
                <w:color w:val="000000"/>
                <w:szCs w:val="20"/>
              </w:rPr>
              <w:t>-</w:t>
            </w:r>
          </w:p>
        </w:tc>
      </w:tr>
    </w:tbl>
    <w:p w:rsidR="00AF568A" w:rsidRDefault="0056001A" w:rsidP="0087429B">
      <w:pPr>
        <w:pStyle w:val="TableFootnotes"/>
        <w:keepNext/>
        <w:numPr>
          <w:ilvl w:val="0"/>
          <w:numId w:val="17"/>
        </w:numPr>
      </w:pPr>
      <w:r>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AF568A" w:rsidRPr="002D239A" w:rsidRDefault="00AF568A" w:rsidP="00AF568A">
      <w:pPr>
        <w:pStyle w:val="TableFootnotes"/>
        <w:keepNext/>
      </w:pPr>
      <w:r>
        <w:t>Figures may not sum to totals due to rounding.</w:t>
      </w:r>
    </w:p>
    <w:p w:rsidR="002D239A" w:rsidRDefault="00AF568A" w:rsidP="006623E7">
      <w:pPr>
        <w:pStyle w:val="TableFootnotes"/>
        <w:keepLines w:val="0"/>
        <w:numPr>
          <w:ilvl w:val="0"/>
          <w:numId w:val="11"/>
        </w:numPr>
        <w:ind w:left="284" w:hanging="284"/>
      </w:pPr>
      <w:r>
        <w:t>Indicates nil.</w:t>
      </w:r>
      <w:bookmarkStart w:id="1" w:name="ReturnHere"/>
      <w:bookmarkEnd w:id="1"/>
    </w:p>
    <w:sectPr w:rsidR="002D239A" w:rsidSect="003C54BF">
      <w:headerReference w:type="even" r:id="rId13"/>
      <w:footerReference w:type="even" r:id="rId14"/>
      <w:headerReference w:type="first" r:id="rId15"/>
      <w:footerReference w:type="first" r:id="rId16"/>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81" w:rsidRDefault="00347181" w:rsidP="00A20802">
      <w:pPr>
        <w:spacing w:line="240" w:lineRule="auto"/>
      </w:pPr>
      <w:r>
        <w:separator/>
      </w:r>
    </w:p>
    <w:p w:rsidR="00347181" w:rsidRDefault="00347181"/>
  </w:endnote>
  <w:endnote w:type="continuationSeparator" w:id="0">
    <w:p w:rsidR="00347181" w:rsidRDefault="00347181" w:rsidP="00A20802">
      <w:pPr>
        <w:spacing w:line="240" w:lineRule="auto"/>
      </w:pPr>
      <w:r>
        <w:continuationSeparator/>
      </w:r>
    </w:p>
    <w:p w:rsidR="00347181" w:rsidRDefault="00347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B8" w:rsidRDefault="004968B8" w:rsidP="002C4DA6">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426AAA">
      <w:rPr>
        <w:rStyle w:val="FooterChar"/>
        <w:b/>
        <w:noProof/>
      </w:rPr>
      <w:t>2</w:t>
    </w:r>
    <w:r w:rsidRPr="002C4DA6">
      <w:rPr>
        <w:rStyle w:val="FooterChar"/>
        <w:b/>
      </w:rPr>
      <w:fldChar w:fldCharType="end"/>
    </w:r>
    <w:r w:rsidRPr="002C4DA6">
      <w:rPr>
        <w:rStyle w:val="FooterChar"/>
        <w:b/>
      </w:rPr>
      <w:t xml:space="preserve"> of </w:t>
    </w:r>
    <w:r>
      <w:rPr>
        <w:rStyle w:val="FooterChar"/>
        <w:b/>
      </w:rPr>
      <w:t>7</w:t>
    </w:r>
  </w:p>
  <w:p w:rsidR="004968B8" w:rsidRPr="00426AAA" w:rsidRDefault="004968B8" w:rsidP="0000071C">
    <w:pPr>
      <w:pStyle w:val="Footer"/>
      <w:ind w:left="3714" w:hanging="3714"/>
      <w:jc w:val="center"/>
      <w:rPr>
        <w:rFonts w:ascii="Arial" w:hAnsi="Arial" w:cs="Arial"/>
        <w:strike/>
        <w:color w:val="FF0000"/>
        <w:sz w:val="24"/>
        <w:szCs w:val="24"/>
      </w:rPr>
    </w:pPr>
    <w:r w:rsidRPr="00426AAA">
      <w:rPr>
        <w:rStyle w:val="FooterChar"/>
        <w:rFonts w:ascii="Arial" w:hAnsi="Arial" w:cs="Arial"/>
        <w:b/>
        <w:strike/>
        <w:color w:val="FF0000"/>
        <w:sz w:val="24"/>
        <w:szCs w:val="24"/>
      </w:rPr>
      <w:t>Sensitive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81" w:rsidRDefault="00347181" w:rsidP="00476133">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426AAA">
      <w:rPr>
        <w:rStyle w:val="FooterChar"/>
        <w:b/>
        <w:noProof/>
      </w:rPr>
      <w:t>1</w:t>
    </w:r>
    <w:r w:rsidRPr="002C4DA6">
      <w:rPr>
        <w:rStyle w:val="FooterChar"/>
        <w:b/>
      </w:rPr>
      <w:fldChar w:fldCharType="end"/>
    </w:r>
    <w:r w:rsidRPr="002C4DA6">
      <w:rPr>
        <w:rStyle w:val="FooterChar"/>
        <w:b/>
      </w:rPr>
      <w:t xml:space="preserve"> of </w:t>
    </w:r>
    <w:r w:rsidR="00F32008">
      <w:rPr>
        <w:rStyle w:val="FooterChar"/>
        <w:b/>
      </w:rPr>
      <w:t>7</w:t>
    </w:r>
  </w:p>
  <w:p w:rsidR="00347181" w:rsidRPr="00426AAA" w:rsidRDefault="00347181" w:rsidP="00EF0A00">
    <w:pPr>
      <w:pStyle w:val="Footer"/>
      <w:ind w:left="3714" w:hanging="3714"/>
      <w:jc w:val="center"/>
      <w:rPr>
        <w:rFonts w:ascii="Arial" w:hAnsi="Arial" w:cs="Arial"/>
        <w:strike/>
        <w:color w:val="FF0000"/>
        <w:sz w:val="24"/>
        <w:szCs w:val="24"/>
      </w:rPr>
    </w:pPr>
    <w:r w:rsidRPr="00426AAA">
      <w:rPr>
        <w:rStyle w:val="FooterChar"/>
        <w:rFonts w:ascii="Arial" w:hAnsi="Arial" w:cs="Arial"/>
        <w:b/>
        <w:strike/>
        <w:color w:val="FF0000"/>
        <w:sz w:val="24"/>
        <w:szCs w:val="24"/>
      </w:rPr>
      <w:t>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47181" w:rsidRPr="00EB388E" w:rsidTr="002D239A">
      <w:trPr>
        <w:trHeight w:val="340"/>
      </w:trPr>
      <w:tc>
        <w:tcPr>
          <w:tcW w:w="567" w:type="dxa"/>
          <w:tcBorders>
            <w:right w:val="single" w:sz="4" w:space="0" w:color="788184" w:themeColor="background2"/>
          </w:tcBorders>
          <w:vAlign w:val="center"/>
        </w:tcPr>
        <w:p w:rsidR="00347181" w:rsidRPr="00CB70DF" w:rsidRDefault="00347181" w:rsidP="002D239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215B3F">
            <w:rPr>
              <w:noProof/>
            </w:rPr>
            <w:t>8</w:t>
          </w:r>
          <w:r w:rsidRPr="00EB388E">
            <w:fldChar w:fldCharType="end"/>
          </w:r>
        </w:p>
      </w:tc>
      <w:tc>
        <w:tcPr>
          <w:tcW w:w="8164" w:type="dxa"/>
          <w:tcBorders>
            <w:left w:val="single" w:sz="4" w:space="0" w:color="788184" w:themeColor="background2"/>
          </w:tcBorders>
          <w:vAlign w:val="center"/>
        </w:tcPr>
        <w:p w:rsidR="00347181" w:rsidRPr="00CB70DF" w:rsidRDefault="004968B8" w:rsidP="002D239A">
          <w:pPr>
            <w:pStyle w:val="FooterLeft"/>
            <w:framePr w:wrap="auto" w:vAnchor="margin" w:hAnchor="text" w:yAlign="inline"/>
          </w:pPr>
          <w:fldSimple w:instr=" STYLEREF  Title  \* MERGEFORMAT ">
            <w:r w:rsidR="00215B3F">
              <w:rPr>
                <w:noProof/>
              </w:rPr>
              <w:t>Policy costing—outside the caretaker period</w:t>
            </w:r>
          </w:fldSimple>
        </w:p>
      </w:tc>
    </w:tr>
    <w:tr w:rsidR="00347181" w:rsidRPr="00EB388E" w:rsidTr="002D239A">
      <w:trPr>
        <w:trHeight w:hRule="exact" w:val="403"/>
      </w:trPr>
      <w:tc>
        <w:tcPr>
          <w:tcW w:w="567" w:type="dxa"/>
          <w:tcMar>
            <w:bottom w:w="284" w:type="dxa"/>
          </w:tcMar>
        </w:tcPr>
        <w:p w:rsidR="00347181" w:rsidRPr="00EB388E" w:rsidRDefault="00347181" w:rsidP="002D239A">
          <w:pPr>
            <w:pStyle w:val="FooterRightPageNumber"/>
          </w:pPr>
        </w:p>
      </w:tc>
      <w:tc>
        <w:tcPr>
          <w:tcW w:w="8164" w:type="dxa"/>
          <w:tcMar>
            <w:bottom w:w="284" w:type="dxa"/>
          </w:tcMar>
        </w:tcPr>
        <w:p w:rsidR="00347181" w:rsidRPr="00090E70" w:rsidRDefault="00347181" w:rsidP="002D239A"/>
      </w:tc>
    </w:tr>
  </w:tbl>
  <w:p w:rsidR="00347181" w:rsidRDefault="00347181">
    <w:pPr>
      <w:pStyle w:val="Footer"/>
    </w:pPr>
  </w:p>
  <w:p w:rsidR="00347181" w:rsidRPr="004816D7" w:rsidRDefault="00347181" w:rsidP="005600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81" w:rsidRPr="0046444F" w:rsidRDefault="00347181" w:rsidP="0046444F">
    <w:pPr>
      <w:pStyle w:val="Header"/>
      <w:spacing w:after="240"/>
      <w:ind w:left="7309" w:hanging="7309"/>
    </w:pPr>
    <w:r w:rsidRPr="0092572B">
      <w:rPr>
        <w:b/>
        <w:color w:val="FF0000"/>
        <w:sz w:val="28"/>
        <w:szCs w:val="28"/>
      </w:rPr>
      <w:t>Sensitive</w:t>
    </w:r>
    <w:r>
      <w:rPr>
        <w:b/>
        <w:color w:val="FF0000"/>
        <w:sz w:val="28"/>
        <w:szCs w:val="28"/>
      </w:rPr>
      <w:tab/>
    </w:r>
    <w:r w:rsidRPr="00D67648">
      <w:rPr>
        <w:rStyle w:val="FooterChar"/>
      </w:rPr>
      <w:t xml:space="preserve">Page </w:t>
    </w:r>
    <w:r w:rsidRPr="00D67648">
      <w:rPr>
        <w:rStyle w:val="FooterChar"/>
      </w:rPr>
      <w:fldChar w:fldCharType="begin"/>
    </w:r>
    <w:r w:rsidRPr="00D67648">
      <w:rPr>
        <w:rStyle w:val="FooterChar"/>
      </w:rPr>
      <w:instrText xml:space="preserve"> PAGE  \* Arabic  \* MERGEFORMAT </w:instrText>
    </w:r>
    <w:r w:rsidRPr="00D67648">
      <w:rPr>
        <w:rStyle w:val="FooterChar"/>
      </w:rPr>
      <w:fldChar w:fldCharType="separate"/>
    </w:r>
    <w:r w:rsidR="00215B3F">
      <w:rPr>
        <w:rStyle w:val="FooterChar"/>
        <w:noProof/>
      </w:rPr>
      <w:t>8</w:t>
    </w:r>
    <w:r w:rsidRPr="00D67648">
      <w:rPr>
        <w:rStyle w:val="FooterChar"/>
      </w:rPr>
      <w:fldChar w:fldCharType="end"/>
    </w:r>
    <w:r w:rsidRPr="00D67648">
      <w:rPr>
        <w:rStyle w:val="FooterChar"/>
      </w:rPr>
      <w:t xml:space="preserve"> of </w:t>
    </w:r>
    <w:r w:rsidRPr="00D67648">
      <w:rPr>
        <w:rStyle w:val="FooterChar"/>
      </w:rPr>
      <w:fldChar w:fldCharType="begin"/>
    </w:r>
    <w:r w:rsidRPr="00D67648">
      <w:rPr>
        <w:rStyle w:val="FooterChar"/>
      </w:rPr>
      <w:instrText xml:space="preserve"> NUMPAGES  \* Arabic  \* MERGEFORMAT </w:instrText>
    </w:r>
    <w:r w:rsidRPr="00D67648">
      <w:rPr>
        <w:rStyle w:val="FooterChar"/>
      </w:rPr>
      <w:fldChar w:fldCharType="separate"/>
    </w:r>
    <w:r w:rsidR="00215B3F">
      <w:rPr>
        <w:rStyle w:val="FooterChar"/>
        <w:noProof/>
      </w:rPr>
      <w:t>8</w:t>
    </w:r>
    <w:r w:rsidRPr="00D67648">
      <w:rPr>
        <w:rStyle w:val="FooterCh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81" w:rsidRPr="000557A7" w:rsidRDefault="00347181" w:rsidP="008D5A11">
      <w:pPr>
        <w:pBdr>
          <w:top w:val="single" w:sz="4" w:space="1" w:color="auto"/>
        </w:pBdr>
        <w:spacing w:before="240" w:line="60" w:lineRule="exact"/>
        <w:rPr>
          <w:sz w:val="16"/>
          <w:szCs w:val="16"/>
        </w:rPr>
      </w:pPr>
    </w:p>
  </w:footnote>
  <w:footnote w:type="continuationSeparator" w:id="0">
    <w:p w:rsidR="00347181" w:rsidRDefault="00347181" w:rsidP="00A20802">
      <w:pPr>
        <w:spacing w:line="240" w:lineRule="auto"/>
      </w:pPr>
      <w:r>
        <w:continuationSeparator/>
      </w:r>
    </w:p>
    <w:p w:rsidR="00347181" w:rsidRDefault="003471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B8" w:rsidRPr="00426AAA" w:rsidRDefault="004968B8" w:rsidP="002C4DA6">
    <w:pPr>
      <w:pStyle w:val="Header"/>
      <w:jc w:val="center"/>
      <w:rPr>
        <w:b/>
        <w:strike/>
        <w:color w:val="FF0000"/>
        <w:sz w:val="28"/>
        <w:szCs w:val="28"/>
      </w:rPr>
    </w:pPr>
    <w:r w:rsidRPr="00426AAA">
      <w:rPr>
        <w:b/>
        <w:strike/>
        <w:color w:val="FF0000"/>
        <w:sz w:val="28"/>
        <w:szCs w:val="28"/>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81" w:rsidRPr="00426AAA" w:rsidRDefault="00347181" w:rsidP="009D0657">
    <w:pPr>
      <w:pStyle w:val="Header"/>
      <w:jc w:val="center"/>
      <w:rPr>
        <w:b/>
        <w:strike/>
        <w:color w:val="FF0000"/>
        <w:sz w:val="28"/>
        <w:szCs w:val="28"/>
      </w:rPr>
    </w:pPr>
    <w:r w:rsidRPr="00426AAA">
      <w:rPr>
        <w:b/>
        <w:strike/>
        <w:color w:val="FF0000"/>
        <w:sz w:val="28"/>
        <w:szCs w:val="28"/>
      </w:rPr>
      <w:t>Sensitive</w:t>
    </w:r>
  </w:p>
  <w:p w:rsidR="00B81018" w:rsidRPr="009D0657" w:rsidRDefault="00B81018" w:rsidP="00B81018">
    <w:pPr>
      <w:pStyle w:val="Header"/>
      <w:rPr>
        <w:b/>
        <w:color w:val="FF0000"/>
        <w:sz w:val="28"/>
        <w:szCs w:val="28"/>
      </w:rPr>
    </w:pPr>
    <w:r>
      <w:rPr>
        <w:noProof/>
        <w:lang w:eastAsia="en-AU"/>
      </w:rPr>
      <w:drawing>
        <wp:inline distT="0" distB="0" distL="0" distR="0" wp14:anchorId="1A6410DD" wp14:editId="0BE7A091">
          <wp:extent cx="2696845" cy="572135"/>
          <wp:effectExtent l="0" t="0" r="8255" b="0"/>
          <wp:docPr id="21" name="Picture 21"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81" w:rsidRDefault="00347181">
    <w:pPr>
      <w:pStyle w:val="Header"/>
    </w:pPr>
    <w:r>
      <w:rPr>
        <w:noProof/>
        <w:lang w:eastAsia="en-AU"/>
      </w:rPr>
      <mc:AlternateContent>
        <mc:Choice Requires="wps">
          <w:drawing>
            <wp:anchor distT="0" distB="0" distL="114300" distR="114300" simplePos="0" relativeHeight="251693056" behindDoc="1" locked="1" layoutInCell="1" allowOverlap="1" wp14:anchorId="392E4025" wp14:editId="3E5F9A7E">
              <wp:simplePos x="0" y="0"/>
              <wp:positionH relativeFrom="page">
                <wp:align>center</wp:align>
              </wp:positionH>
              <wp:positionV relativeFrom="page">
                <wp:align>center</wp:align>
              </wp:positionV>
              <wp:extent cx="7560000" cy="1796400"/>
              <wp:effectExtent l="0" t="0" r="0" b="0"/>
              <wp:wrapNone/>
              <wp:docPr id="2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181" w:rsidRPr="0001226A" w:rsidRDefault="00347181"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595.3pt;height:141.45pt;z-index:-2516234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CjugIAAMQ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E9cIKO6AgAA&#10;xAUAAA4AAAAAAAAAAAAAAAAALgIAAGRycy9lMm9Eb2MueG1sUEsBAi0AFAAGAAgAAAAhADTFRM7b&#10;AAAABgEAAA8AAAAAAAAAAAAAAAAAFAUAAGRycy9kb3ducmV2LnhtbFBLBQYAAAAABAAEAPMAAAAc&#10;BgAAAAA=&#10;" filled="f" stroked="f">
              <v:textbox>
                <w:txbxContent>
                  <w:p w:rsidR="00347181" w:rsidRPr="0001226A" w:rsidRDefault="00347181"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81" w:rsidRDefault="00347181" w:rsidP="0046444F">
    <w:pPr>
      <w:pStyle w:val="Header"/>
      <w:jc w:val="right"/>
      <w:rPr>
        <w:b/>
        <w:color w:val="FF0000"/>
        <w:sz w:val="28"/>
        <w:szCs w:val="28"/>
      </w:rPr>
    </w:pPr>
    <w:r w:rsidRPr="0092572B">
      <w:rPr>
        <w:b/>
        <w:color w:val="FF0000"/>
        <w:sz w:val="28"/>
        <w:szCs w:val="28"/>
      </w:rPr>
      <w:t>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CE3A3256"/>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4DFE6FB6"/>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D975442"/>
    <w:multiLevelType w:val="hybridMultilevel"/>
    <w:tmpl w:val="3F8C35CE"/>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0">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7"/>
  </w:num>
  <w:num w:numId="2">
    <w:abstractNumId w:val="0"/>
  </w:num>
  <w:num w:numId="3">
    <w:abstractNumId w:val="10"/>
  </w:num>
  <w:num w:numId="4">
    <w:abstractNumId w:val="6"/>
  </w:num>
  <w:num w:numId="5">
    <w:abstractNumId w:val="5"/>
  </w:num>
  <w:num w:numId="6">
    <w:abstractNumId w:val="9"/>
  </w:num>
  <w:num w:numId="7">
    <w:abstractNumId w:val="2"/>
  </w:num>
  <w:num w:numId="8">
    <w:abstractNumId w:val="3"/>
  </w:num>
  <w:num w:numId="9">
    <w:abstractNumId w:val="8"/>
  </w:num>
  <w:num w:numId="10">
    <w:abstractNumId w:val="1"/>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3F2B02"/>
    <w:rsid w:val="0000071C"/>
    <w:rsid w:val="00001603"/>
    <w:rsid w:val="0000322C"/>
    <w:rsid w:val="00003CDD"/>
    <w:rsid w:val="0001406F"/>
    <w:rsid w:val="000168A7"/>
    <w:rsid w:val="00016D53"/>
    <w:rsid w:val="00017119"/>
    <w:rsid w:val="000278D0"/>
    <w:rsid w:val="00027E62"/>
    <w:rsid w:val="000307C8"/>
    <w:rsid w:val="00030F73"/>
    <w:rsid w:val="00031AC1"/>
    <w:rsid w:val="00035ADE"/>
    <w:rsid w:val="0004224B"/>
    <w:rsid w:val="00046226"/>
    <w:rsid w:val="00051CA1"/>
    <w:rsid w:val="0005330D"/>
    <w:rsid w:val="000557A7"/>
    <w:rsid w:val="00055805"/>
    <w:rsid w:val="00056CB3"/>
    <w:rsid w:val="00066D54"/>
    <w:rsid w:val="00067A28"/>
    <w:rsid w:val="0007260F"/>
    <w:rsid w:val="000805D5"/>
    <w:rsid w:val="0008103B"/>
    <w:rsid w:val="00085F97"/>
    <w:rsid w:val="00092A33"/>
    <w:rsid w:val="000973F9"/>
    <w:rsid w:val="000A2FEC"/>
    <w:rsid w:val="000A348F"/>
    <w:rsid w:val="000B6942"/>
    <w:rsid w:val="000C09FA"/>
    <w:rsid w:val="000C37A9"/>
    <w:rsid w:val="000C64D7"/>
    <w:rsid w:val="000C6728"/>
    <w:rsid w:val="000C702E"/>
    <w:rsid w:val="000D15E9"/>
    <w:rsid w:val="000D3182"/>
    <w:rsid w:val="000D45C4"/>
    <w:rsid w:val="000E18F3"/>
    <w:rsid w:val="000E266E"/>
    <w:rsid w:val="000F1515"/>
    <w:rsid w:val="000F16B5"/>
    <w:rsid w:val="000F616E"/>
    <w:rsid w:val="00110D43"/>
    <w:rsid w:val="00110F6D"/>
    <w:rsid w:val="001159EA"/>
    <w:rsid w:val="00120A75"/>
    <w:rsid w:val="00125410"/>
    <w:rsid w:val="0012793A"/>
    <w:rsid w:val="00130858"/>
    <w:rsid w:val="00136C26"/>
    <w:rsid w:val="0014059F"/>
    <w:rsid w:val="00141551"/>
    <w:rsid w:val="001417CE"/>
    <w:rsid w:val="001429D5"/>
    <w:rsid w:val="0014479F"/>
    <w:rsid w:val="00145306"/>
    <w:rsid w:val="00146EAD"/>
    <w:rsid w:val="00151A61"/>
    <w:rsid w:val="00154DC5"/>
    <w:rsid w:val="00160C8D"/>
    <w:rsid w:val="001629C0"/>
    <w:rsid w:val="00165122"/>
    <w:rsid w:val="00165854"/>
    <w:rsid w:val="001738DB"/>
    <w:rsid w:val="00173DFD"/>
    <w:rsid w:val="00180FF9"/>
    <w:rsid w:val="00195228"/>
    <w:rsid w:val="00195696"/>
    <w:rsid w:val="00196532"/>
    <w:rsid w:val="001A1EFC"/>
    <w:rsid w:val="001A48EF"/>
    <w:rsid w:val="001A49CC"/>
    <w:rsid w:val="001A5553"/>
    <w:rsid w:val="001A716E"/>
    <w:rsid w:val="001B2C65"/>
    <w:rsid w:val="001B4255"/>
    <w:rsid w:val="001B7058"/>
    <w:rsid w:val="001C3A4F"/>
    <w:rsid w:val="001C4121"/>
    <w:rsid w:val="001C48DE"/>
    <w:rsid w:val="001D30C1"/>
    <w:rsid w:val="001D52E3"/>
    <w:rsid w:val="001D576F"/>
    <w:rsid w:val="001D7C29"/>
    <w:rsid w:val="001E0475"/>
    <w:rsid w:val="001E1287"/>
    <w:rsid w:val="001E1580"/>
    <w:rsid w:val="001E33C2"/>
    <w:rsid w:val="001F5C90"/>
    <w:rsid w:val="001F767C"/>
    <w:rsid w:val="0020157C"/>
    <w:rsid w:val="00210FCF"/>
    <w:rsid w:val="00215B3F"/>
    <w:rsid w:val="00222EFF"/>
    <w:rsid w:val="002240D5"/>
    <w:rsid w:val="002261A7"/>
    <w:rsid w:val="00226AEC"/>
    <w:rsid w:val="00234AEC"/>
    <w:rsid w:val="002545F3"/>
    <w:rsid w:val="0026344F"/>
    <w:rsid w:val="00266A17"/>
    <w:rsid w:val="00270372"/>
    <w:rsid w:val="00275534"/>
    <w:rsid w:val="00277075"/>
    <w:rsid w:val="002775D2"/>
    <w:rsid w:val="00280536"/>
    <w:rsid w:val="00281ADD"/>
    <w:rsid w:val="0028563E"/>
    <w:rsid w:val="0029039F"/>
    <w:rsid w:val="00293E0D"/>
    <w:rsid w:val="00293E80"/>
    <w:rsid w:val="0029500F"/>
    <w:rsid w:val="002973B0"/>
    <w:rsid w:val="00297C14"/>
    <w:rsid w:val="002A220F"/>
    <w:rsid w:val="002A24F1"/>
    <w:rsid w:val="002A5778"/>
    <w:rsid w:val="002A6E3B"/>
    <w:rsid w:val="002B1E84"/>
    <w:rsid w:val="002B2085"/>
    <w:rsid w:val="002B3EC4"/>
    <w:rsid w:val="002C37D5"/>
    <w:rsid w:val="002C4DA6"/>
    <w:rsid w:val="002D239A"/>
    <w:rsid w:val="002D34DB"/>
    <w:rsid w:val="002D4B11"/>
    <w:rsid w:val="002E5633"/>
    <w:rsid w:val="002F1963"/>
    <w:rsid w:val="002F21C6"/>
    <w:rsid w:val="002F5B6E"/>
    <w:rsid w:val="002F61B5"/>
    <w:rsid w:val="00300066"/>
    <w:rsid w:val="00301ADA"/>
    <w:rsid w:val="0030209B"/>
    <w:rsid w:val="003127E4"/>
    <w:rsid w:val="00313215"/>
    <w:rsid w:val="00313564"/>
    <w:rsid w:val="003174C3"/>
    <w:rsid w:val="0032557A"/>
    <w:rsid w:val="00340778"/>
    <w:rsid w:val="00344D2C"/>
    <w:rsid w:val="00345256"/>
    <w:rsid w:val="003458CE"/>
    <w:rsid w:val="00345A57"/>
    <w:rsid w:val="00346D90"/>
    <w:rsid w:val="00347181"/>
    <w:rsid w:val="00351F62"/>
    <w:rsid w:val="003601F4"/>
    <w:rsid w:val="00364C15"/>
    <w:rsid w:val="003671E2"/>
    <w:rsid w:val="00372AE6"/>
    <w:rsid w:val="00375EB1"/>
    <w:rsid w:val="00376C3A"/>
    <w:rsid w:val="003837E1"/>
    <w:rsid w:val="00384DD1"/>
    <w:rsid w:val="0038584D"/>
    <w:rsid w:val="0039257F"/>
    <w:rsid w:val="003931DE"/>
    <w:rsid w:val="00393C38"/>
    <w:rsid w:val="00397D1A"/>
    <w:rsid w:val="003A163C"/>
    <w:rsid w:val="003A2B4E"/>
    <w:rsid w:val="003A2FBB"/>
    <w:rsid w:val="003A3799"/>
    <w:rsid w:val="003A4913"/>
    <w:rsid w:val="003A54A9"/>
    <w:rsid w:val="003A7083"/>
    <w:rsid w:val="003A742A"/>
    <w:rsid w:val="003B3103"/>
    <w:rsid w:val="003B38B3"/>
    <w:rsid w:val="003B3944"/>
    <w:rsid w:val="003B3A97"/>
    <w:rsid w:val="003B3D44"/>
    <w:rsid w:val="003B47BC"/>
    <w:rsid w:val="003C54BF"/>
    <w:rsid w:val="003C5901"/>
    <w:rsid w:val="003C6BB5"/>
    <w:rsid w:val="003C7CC2"/>
    <w:rsid w:val="003D50B6"/>
    <w:rsid w:val="003E0122"/>
    <w:rsid w:val="003E05DF"/>
    <w:rsid w:val="003E1562"/>
    <w:rsid w:val="003E6085"/>
    <w:rsid w:val="003E6CA3"/>
    <w:rsid w:val="003F2B02"/>
    <w:rsid w:val="003F4C96"/>
    <w:rsid w:val="00401C49"/>
    <w:rsid w:val="00402472"/>
    <w:rsid w:val="00405D41"/>
    <w:rsid w:val="00406002"/>
    <w:rsid w:val="00406AD3"/>
    <w:rsid w:val="00412E42"/>
    <w:rsid w:val="00425C05"/>
    <w:rsid w:val="00426356"/>
    <w:rsid w:val="00426929"/>
    <w:rsid w:val="00426AAA"/>
    <w:rsid w:val="00442C16"/>
    <w:rsid w:val="00445410"/>
    <w:rsid w:val="00446439"/>
    <w:rsid w:val="00450BDA"/>
    <w:rsid w:val="00453A3E"/>
    <w:rsid w:val="0045452F"/>
    <w:rsid w:val="0045766B"/>
    <w:rsid w:val="0046444F"/>
    <w:rsid w:val="004653DD"/>
    <w:rsid w:val="00474BB7"/>
    <w:rsid w:val="00476133"/>
    <w:rsid w:val="0048094C"/>
    <w:rsid w:val="004816D7"/>
    <w:rsid w:val="0048342E"/>
    <w:rsid w:val="00487478"/>
    <w:rsid w:val="0048782D"/>
    <w:rsid w:val="00494DC1"/>
    <w:rsid w:val="00495B0D"/>
    <w:rsid w:val="004968B8"/>
    <w:rsid w:val="004A3F56"/>
    <w:rsid w:val="004A5E21"/>
    <w:rsid w:val="004A666A"/>
    <w:rsid w:val="004A6FF8"/>
    <w:rsid w:val="004B143F"/>
    <w:rsid w:val="004B3022"/>
    <w:rsid w:val="004B49A0"/>
    <w:rsid w:val="004C6306"/>
    <w:rsid w:val="004C6F5E"/>
    <w:rsid w:val="004C7E94"/>
    <w:rsid w:val="004D34AF"/>
    <w:rsid w:val="004D7CF8"/>
    <w:rsid w:val="004D7EDA"/>
    <w:rsid w:val="004E0E49"/>
    <w:rsid w:val="004E197A"/>
    <w:rsid w:val="004E44DE"/>
    <w:rsid w:val="004E5D52"/>
    <w:rsid w:val="004F07D7"/>
    <w:rsid w:val="004F1297"/>
    <w:rsid w:val="004F16DB"/>
    <w:rsid w:val="004F4D7E"/>
    <w:rsid w:val="004F5B16"/>
    <w:rsid w:val="004F5D9D"/>
    <w:rsid w:val="004F68E5"/>
    <w:rsid w:val="004F7037"/>
    <w:rsid w:val="004F741B"/>
    <w:rsid w:val="00503253"/>
    <w:rsid w:val="00503BB0"/>
    <w:rsid w:val="00503E03"/>
    <w:rsid w:val="00512226"/>
    <w:rsid w:val="005147C6"/>
    <w:rsid w:val="005159B1"/>
    <w:rsid w:val="00522502"/>
    <w:rsid w:val="005255A1"/>
    <w:rsid w:val="00525825"/>
    <w:rsid w:val="0052641C"/>
    <w:rsid w:val="00527601"/>
    <w:rsid w:val="0053795D"/>
    <w:rsid w:val="00544522"/>
    <w:rsid w:val="005468AB"/>
    <w:rsid w:val="00547A56"/>
    <w:rsid w:val="005501A0"/>
    <w:rsid w:val="00550831"/>
    <w:rsid w:val="00554273"/>
    <w:rsid w:val="0056001A"/>
    <w:rsid w:val="005642B6"/>
    <w:rsid w:val="00571D5E"/>
    <w:rsid w:val="00575092"/>
    <w:rsid w:val="005823D0"/>
    <w:rsid w:val="005A2748"/>
    <w:rsid w:val="005A443F"/>
    <w:rsid w:val="005A7C26"/>
    <w:rsid w:val="005B0970"/>
    <w:rsid w:val="005B58D4"/>
    <w:rsid w:val="005C07B3"/>
    <w:rsid w:val="005C284E"/>
    <w:rsid w:val="005C47D4"/>
    <w:rsid w:val="005D51D0"/>
    <w:rsid w:val="005D6F83"/>
    <w:rsid w:val="005D7877"/>
    <w:rsid w:val="005D7CCF"/>
    <w:rsid w:val="005E04CF"/>
    <w:rsid w:val="005E58C4"/>
    <w:rsid w:val="005E5D8F"/>
    <w:rsid w:val="005F5A5C"/>
    <w:rsid w:val="005F5CD9"/>
    <w:rsid w:val="0061135C"/>
    <w:rsid w:val="006136DD"/>
    <w:rsid w:val="006149F0"/>
    <w:rsid w:val="006220A5"/>
    <w:rsid w:val="00622D86"/>
    <w:rsid w:val="00624AC8"/>
    <w:rsid w:val="00633812"/>
    <w:rsid w:val="00633C60"/>
    <w:rsid w:val="0064126D"/>
    <w:rsid w:val="006451B8"/>
    <w:rsid w:val="00645722"/>
    <w:rsid w:val="00652432"/>
    <w:rsid w:val="006539DB"/>
    <w:rsid w:val="00657840"/>
    <w:rsid w:val="0066003C"/>
    <w:rsid w:val="0066041E"/>
    <w:rsid w:val="006623E7"/>
    <w:rsid w:val="00673CCC"/>
    <w:rsid w:val="00674B7E"/>
    <w:rsid w:val="00675C98"/>
    <w:rsid w:val="00685D39"/>
    <w:rsid w:val="0069026B"/>
    <w:rsid w:val="006956EA"/>
    <w:rsid w:val="006A490C"/>
    <w:rsid w:val="006B4F7D"/>
    <w:rsid w:val="006C114C"/>
    <w:rsid w:val="006C3668"/>
    <w:rsid w:val="006C3864"/>
    <w:rsid w:val="006C5383"/>
    <w:rsid w:val="006C5E72"/>
    <w:rsid w:val="006C7346"/>
    <w:rsid w:val="006D0754"/>
    <w:rsid w:val="006D2AEC"/>
    <w:rsid w:val="006D4C8E"/>
    <w:rsid w:val="006E19D1"/>
    <w:rsid w:val="006E1CBB"/>
    <w:rsid w:val="006F100B"/>
    <w:rsid w:val="006F239A"/>
    <w:rsid w:val="006F2C9D"/>
    <w:rsid w:val="006F6B51"/>
    <w:rsid w:val="0070637D"/>
    <w:rsid w:val="007071DD"/>
    <w:rsid w:val="0070771F"/>
    <w:rsid w:val="00712A14"/>
    <w:rsid w:val="00716C04"/>
    <w:rsid w:val="00717180"/>
    <w:rsid w:val="007179D2"/>
    <w:rsid w:val="00720750"/>
    <w:rsid w:val="0072549C"/>
    <w:rsid w:val="00725A80"/>
    <w:rsid w:val="00733970"/>
    <w:rsid w:val="00737B64"/>
    <w:rsid w:val="00741D0B"/>
    <w:rsid w:val="007465A9"/>
    <w:rsid w:val="00754C58"/>
    <w:rsid w:val="00776E78"/>
    <w:rsid w:val="0078138A"/>
    <w:rsid w:val="00783014"/>
    <w:rsid w:val="007834DC"/>
    <w:rsid w:val="007911C1"/>
    <w:rsid w:val="007959D8"/>
    <w:rsid w:val="0079630F"/>
    <w:rsid w:val="007A04C2"/>
    <w:rsid w:val="007A7D3B"/>
    <w:rsid w:val="007B146A"/>
    <w:rsid w:val="007B432C"/>
    <w:rsid w:val="007B57C9"/>
    <w:rsid w:val="007C0E7C"/>
    <w:rsid w:val="007C0EAA"/>
    <w:rsid w:val="007C19C3"/>
    <w:rsid w:val="007C44B2"/>
    <w:rsid w:val="007C6496"/>
    <w:rsid w:val="007C745E"/>
    <w:rsid w:val="007D0ABE"/>
    <w:rsid w:val="007D4C0D"/>
    <w:rsid w:val="007E356F"/>
    <w:rsid w:val="007E3F8C"/>
    <w:rsid w:val="007F068E"/>
    <w:rsid w:val="007F2058"/>
    <w:rsid w:val="007F7685"/>
    <w:rsid w:val="0080011D"/>
    <w:rsid w:val="00800EA5"/>
    <w:rsid w:val="00801C01"/>
    <w:rsid w:val="008069F7"/>
    <w:rsid w:val="008112CC"/>
    <w:rsid w:val="008130BB"/>
    <w:rsid w:val="00817406"/>
    <w:rsid w:val="008237FA"/>
    <w:rsid w:val="00825D37"/>
    <w:rsid w:val="00833871"/>
    <w:rsid w:val="008369B0"/>
    <w:rsid w:val="008372D1"/>
    <w:rsid w:val="00845145"/>
    <w:rsid w:val="0085732C"/>
    <w:rsid w:val="00860B45"/>
    <w:rsid w:val="00863860"/>
    <w:rsid w:val="008638B5"/>
    <w:rsid w:val="008734DB"/>
    <w:rsid w:val="0087390B"/>
    <w:rsid w:val="0087429B"/>
    <w:rsid w:val="008745A1"/>
    <w:rsid w:val="008768E9"/>
    <w:rsid w:val="0087751B"/>
    <w:rsid w:val="00890995"/>
    <w:rsid w:val="008914FB"/>
    <w:rsid w:val="008927EB"/>
    <w:rsid w:val="0089737A"/>
    <w:rsid w:val="00897E99"/>
    <w:rsid w:val="008A4829"/>
    <w:rsid w:val="008B2327"/>
    <w:rsid w:val="008B2384"/>
    <w:rsid w:val="008B38D6"/>
    <w:rsid w:val="008B4802"/>
    <w:rsid w:val="008B69E3"/>
    <w:rsid w:val="008C1FD1"/>
    <w:rsid w:val="008C24A8"/>
    <w:rsid w:val="008C35EF"/>
    <w:rsid w:val="008C5996"/>
    <w:rsid w:val="008D3AB5"/>
    <w:rsid w:val="008D5A11"/>
    <w:rsid w:val="008D5E23"/>
    <w:rsid w:val="008D77AF"/>
    <w:rsid w:val="008E6D59"/>
    <w:rsid w:val="008F30C7"/>
    <w:rsid w:val="008F5D66"/>
    <w:rsid w:val="008F6BC3"/>
    <w:rsid w:val="009028AA"/>
    <w:rsid w:val="00903E3F"/>
    <w:rsid w:val="009049C3"/>
    <w:rsid w:val="009057D9"/>
    <w:rsid w:val="0090774A"/>
    <w:rsid w:val="00910D07"/>
    <w:rsid w:val="00914B2F"/>
    <w:rsid w:val="00914D1C"/>
    <w:rsid w:val="009150E6"/>
    <w:rsid w:val="00917F89"/>
    <w:rsid w:val="009255EE"/>
    <w:rsid w:val="00925603"/>
    <w:rsid w:val="00925F76"/>
    <w:rsid w:val="0093151B"/>
    <w:rsid w:val="00932E89"/>
    <w:rsid w:val="0093359D"/>
    <w:rsid w:val="00933F2B"/>
    <w:rsid w:val="00942EEB"/>
    <w:rsid w:val="0094468E"/>
    <w:rsid w:val="009446BC"/>
    <w:rsid w:val="00945261"/>
    <w:rsid w:val="009466AB"/>
    <w:rsid w:val="009506A5"/>
    <w:rsid w:val="009541CC"/>
    <w:rsid w:val="00956564"/>
    <w:rsid w:val="009567A6"/>
    <w:rsid w:val="00956D5A"/>
    <w:rsid w:val="00961B2C"/>
    <w:rsid w:val="00961DBB"/>
    <w:rsid w:val="0096618E"/>
    <w:rsid w:val="00981433"/>
    <w:rsid w:val="0098222F"/>
    <w:rsid w:val="00985C07"/>
    <w:rsid w:val="00995B4F"/>
    <w:rsid w:val="00997582"/>
    <w:rsid w:val="009A2C21"/>
    <w:rsid w:val="009A3E58"/>
    <w:rsid w:val="009A5F02"/>
    <w:rsid w:val="009A7AB1"/>
    <w:rsid w:val="009B4D74"/>
    <w:rsid w:val="009C6DAA"/>
    <w:rsid w:val="009D0657"/>
    <w:rsid w:val="009D0E74"/>
    <w:rsid w:val="009D1A96"/>
    <w:rsid w:val="009D370B"/>
    <w:rsid w:val="009E2087"/>
    <w:rsid w:val="009E252B"/>
    <w:rsid w:val="009E3265"/>
    <w:rsid w:val="009E3353"/>
    <w:rsid w:val="009E446D"/>
    <w:rsid w:val="009E7C09"/>
    <w:rsid w:val="009F146D"/>
    <w:rsid w:val="009F4F1E"/>
    <w:rsid w:val="00A003C5"/>
    <w:rsid w:val="00A015E4"/>
    <w:rsid w:val="00A03CE1"/>
    <w:rsid w:val="00A05CB3"/>
    <w:rsid w:val="00A075BC"/>
    <w:rsid w:val="00A11222"/>
    <w:rsid w:val="00A12C39"/>
    <w:rsid w:val="00A1338E"/>
    <w:rsid w:val="00A134FB"/>
    <w:rsid w:val="00A16265"/>
    <w:rsid w:val="00A20802"/>
    <w:rsid w:val="00A25B4F"/>
    <w:rsid w:val="00A27E8B"/>
    <w:rsid w:val="00A35FA1"/>
    <w:rsid w:val="00A407F9"/>
    <w:rsid w:val="00A442BF"/>
    <w:rsid w:val="00A47D46"/>
    <w:rsid w:val="00A517D0"/>
    <w:rsid w:val="00A53716"/>
    <w:rsid w:val="00A5629E"/>
    <w:rsid w:val="00A64832"/>
    <w:rsid w:val="00A732DB"/>
    <w:rsid w:val="00A73B8C"/>
    <w:rsid w:val="00A838D2"/>
    <w:rsid w:val="00A86F04"/>
    <w:rsid w:val="00A946C4"/>
    <w:rsid w:val="00AC01F8"/>
    <w:rsid w:val="00AC059A"/>
    <w:rsid w:val="00AC41CF"/>
    <w:rsid w:val="00AD0308"/>
    <w:rsid w:val="00AD377A"/>
    <w:rsid w:val="00AD67BB"/>
    <w:rsid w:val="00AE1CC1"/>
    <w:rsid w:val="00AE3EA4"/>
    <w:rsid w:val="00AF1B02"/>
    <w:rsid w:val="00AF21EE"/>
    <w:rsid w:val="00AF41E4"/>
    <w:rsid w:val="00AF568A"/>
    <w:rsid w:val="00B011EE"/>
    <w:rsid w:val="00B06A75"/>
    <w:rsid w:val="00B06BC3"/>
    <w:rsid w:val="00B1365C"/>
    <w:rsid w:val="00B15A0F"/>
    <w:rsid w:val="00B20236"/>
    <w:rsid w:val="00B20937"/>
    <w:rsid w:val="00B220A0"/>
    <w:rsid w:val="00B22B64"/>
    <w:rsid w:val="00B22FEA"/>
    <w:rsid w:val="00B24321"/>
    <w:rsid w:val="00B30FEB"/>
    <w:rsid w:val="00B311BA"/>
    <w:rsid w:val="00B35B47"/>
    <w:rsid w:val="00B40AA3"/>
    <w:rsid w:val="00B44478"/>
    <w:rsid w:val="00B4609C"/>
    <w:rsid w:val="00B6002C"/>
    <w:rsid w:val="00B620EE"/>
    <w:rsid w:val="00B62B98"/>
    <w:rsid w:val="00B81018"/>
    <w:rsid w:val="00B85366"/>
    <w:rsid w:val="00B87F60"/>
    <w:rsid w:val="00B93D3D"/>
    <w:rsid w:val="00B942C9"/>
    <w:rsid w:val="00B94D4E"/>
    <w:rsid w:val="00B97747"/>
    <w:rsid w:val="00BA471F"/>
    <w:rsid w:val="00BB0EDB"/>
    <w:rsid w:val="00BB5013"/>
    <w:rsid w:val="00BB528E"/>
    <w:rsid w:val="00BB615A"/>
    <w:rsid w:val="00BB68AF"/>
    <w:rsid w:val="00BC2600"/>
    <w:rsid w:val="00BC36F0"/>
    <w:rsid w:val="00BC3E99"/>
    <w:rsid w:val="00BC4FA7"/>
    <w:rsid w:val="00BC5E30"/>
    <w:rsid w:val="00BD02C5"/>
    <w:rsid w:val="00BD068D"/>
    <w:rsid w:val="00BD32FF"/>
    <w:rsid w:val="00BE0D9A"/>
    <w:rsid w:val="00BE1A50"/>
    <w:rsid w:val="00BE2CF5"/>
    <w:rsid w:val="00BE2F0D"/>
    <w:rsid w:val="00BF0BD5"/>
    <w:rsid w:val="00BF55F8"/>
    <w:rsid w:val="00C051FD"/>
    <w:rsid w:val="00C12A55"/>
    <w:rsid w:val="00C20C7D"/>
    <w:rsid w:val="00C20DEF"/>
    <w:rsid w:val="00C24B25"/>
    <w:rsid w:val="00C24E89"/>
    <w:rsid w:val="00C32C2F"/>
    <w:rsid w:val="00C33ED7"/>
    <w:rsid w:val="00C3738A"/>
    <w:rsid w:val="00C4315A"/>
    <w:rsid w:val="00C43F5E"/>
    <w:rsid w:val="00C44074"/>
    <w:rsid w:val="00C4651F"/>
    <w:rsid w:val="00C51D0B"/>
    <w:rsid w:val="00C52207"/>
    <w:rsid w:val="00C52A50"/>
    <w:rsid w:val="00C642D4"/>
    <w:rsid w:val="00C650AB"/>
    <w:rsid w:val="00C71355"/>
    <w:rsid w:val="00C730F4"/>
    <w:rsid w:val="00C73F72"/>
    <w:rsid w:val="00C80200"/>
    <w:rsid w:val="00C80E0A"/>
    <w:rsid w:val="00C8270B"/>
    <w:rsid w:val="00C841A9"/>
    <w:rsid w:val="00C8728F"/>
    <w:rsid w:val="00C97FBC"/>
    <w:rsid w:val="00CA06C8"/>
    <w:rsid w:val="00CA0B7E"/>
    <w:rsid w:val="00CA20D0"/>
    <w:rsid w:val="00CA4C28"/>
    <w:rsid w:val="00CA5598"/>
    <w:rsid w:val="00CA5EF8"/>
    <w:rsid w:val="00CA605C"/>
    <w:rsid w:val="00CB28A3"/>
    <w:rsid w:val="00CC00A0"/>
    <w:rsid w:val="00CC0FED"/>
    <w:rsid w:val="00CC3C34"/>
    <w:rsid w:val="00CC5455"/>
    <w:rsid w:val="00CC6C06"/>
    <w:rsid w:val="00CD1526"/>
    <w:rsid w:val="00CD5509"/>
    <w:rsid w:val="00CE1EB0"/>
    <w:rsid w:val="00CE3DF2"/>
    <w:rsid w:val="00CF0C0F"/>
    <w:rsid w:val="00CF1690"/>
    <w:rsid w:val="00CF1F2A"/>
    <w:rsid w:val="00CF4D84"/>
    <w:rsid w:val="00CF5CE3"/>
    <w:rsid w:val="00CF66F2"/>
    <w:rsid w:val="00CF7412"/>
    <w:rsid w:val="00D030F8"/>
    <w:rsid w:val="00D03146"/>
    <w:rsid w:val="00D06A17"/>
    <w:rsid w:val="00D077B7"/>
    <w:rsid w:val="00D14DE3"/>
    <w:rsid w:val="00D20297"/>
    <w:rsid w:val="00D21E6B"/>
    <w:rsid w:val="00D2336A"/>
    <w:rsid w:val="00D23634"/>
    <w:rsid w:val="00D34551"/>
    <w:rsid w:val="00D457D6"/>
    <w:rsid w:val="00D64CE2"/>
    <w:rsid w:val="00D7751B"/>
    <w:rsid w:val="00D815DC"/>
    <w:rsid w:val="00D822B5"/>
    <w:rsid w:val="00D83D3C"/>
    <w:rsid w:val="00D867AE"/>
    <w:rsid w:val="00D87BBB"/>
    <w:rsid w:val="00D87C87"/>
    <w:rsid w:val="00D921C4"/>
    <w:rsid w:val="00D9296A"/>
    <w:rsid w:val="00D93C23"/>
    <w:rsid w:val="00D95638"/>
    <w:rsid w:val="00D9584C"/>
    <w:rsid w:val="00DA14D9"/>
    <w:rsid w:val="00DB13AD"/>
    <w:rsid w:val="00DB23F9"/>
    <w:rsid w:val="00DB58BE"/>
    <w:rsid w:val="00DB6176"/>
    <w:rsid w:val="00DB6AA0"/>
    <w:rsid w:val="00DB7C3A"/>
    <w:rsid w:val="00DD21A3"/>
    <w:rsid w:val="00DD32AB"/>
    <w:rsid w:val="00DD5BF6"/>
    <w:rsid w:val="00DE1865"/>
    <w:rsid w:val="00DE6CEF"/>
    <w:rsid w:val="00DF11C2"/>
    <w:rsid w:val="00DF2134"/>
    <w:rsid w:val="00DF4593"/>
    <w:rsid w:val="00E10D05"/>
    <w:rsid w:val="00E2223E"/>
    <w:rsid w:val="00E22D98"/>
    <w:rsid w:val="00E24623"/>
    <w:rsid w:val="00E252E3"/>
    <w:rsid w:val="00E40505"/>
    <w:rsid w:val="00E42A41"/>
    <w:rsid w:val="00E45766"/>
    <w:rsid w:val="00E50B7A"/>
    <w:rsid w:val="00E52686"/>
    <w:rsid w:val="00E567E5"/>
    <w:rsid w:val="00E64480"/>
    <w:rsid w:val="00E6595E"/>
    <w:rsid w:val="00E6708B"/>
    <w:rsid w:val="00E73A8C"/>
    <w:rsid w:val="00E75050"/>
    <w:rsid w:val="00E76F42"/>
    <w:rsid w:val="00E77D6D"/>
    <w:rsid w:val="00E915E6"/>
    <w:rsid w:val="00EA3E11"/>
    <w:rsid w:val="00EA6EB3"/>
    <w:rsid w:val="00EB4A8E"/>
    <w:rsid w:val="00EB5EF3"/>
    <w:rsid w:val="00EB695D"/>
    <w:rsid w:val="00EB7899"/>
    <w:rsid w:val="00EC322D"/>
    <w:rsid w:val="00EC38F3"/>
    <w:rsid w:val="00ED39CE"/>
    <w:rsid w:val="00ED4134"/>
    <w:rsid w:val="00EE05F1"/>
    <w:rsid w:val="00EE471A"/>
    <w:rsid w:val="00EE5492"/>
    <w:rsid w:val="00EF0A00"/>
    <w:rsid w:val="00F009B6"/>
    <w:rsid w:val="00F07BD5"/>
    <w:rsid w:val="00F122D6"/>
    <w:rsid w:val="00F1539A"/>
    <w:rsid w:val="00F157CC"/>
    <w:rsid w:val="00F15BF4"/>
    <w:rsid w:val="00F17940"/>
    <w:rsid w:val="00F17DC0"/>
    <w:rsid w:val="00F2046C"/>
    <w:rsid w:val="00F20647"/>
    <w:rsid w:val="00F31392"/>
    <w:rsid w:val="00F32008"/>
    <w:rsid w:val="00F348B5"/>
    <w:rsid w:val="00F3652B"/>
    <w:rsid w:val="00F377B9"/>
    <w:rsid w:val="00F43312"/>
    <w:rsid w:val="00F45442"/>
    <w:rsid w:val="00F5145E"/>
    <w:rsid w:val="00F558EA"/>
    <w:rsid w:val="00F566E7"/>
    <w:rsid w:val="00F613CB"/>
    <w:rsid w:val="00F61F79"/>
    <w:rsid w:val="00F656A4"/>
    <w:rsid w:val="00F6665E"/>
    <w:rsid w:val="00F7075F"/>
    <w:rsid w:val="00F7115C"/>
    <w:rsid w:val="00F71D76"/>
    <w:rsid w:val="00F8349F"/>
    <w:rsid w:val="00F83FB7"/>
    <w:rsid w:val="00F85935"/>
    <w:rsid w:val="00F85D29"/>
    <w:rsid w:val="00F93A82"/>
    <w:rsid w:val="00F969D3"/>
    <w:rsid w:val="00FA190E"/>
    <w:rsid w:val="00FA54D8"/>
    <w:rsid w:val="00FB0C02"/>
    <w:rsid w:val="00FC4FB7"/>
    <w:rsid w:val="00FD1EE0"/>
    <w:rsid w:val="00FD357B"/>
    <w:rsid w:val="00FD38FC"/>
    <w:rsid w:val="00FD6119"/>
    <w:rsid w:val="00FD688E"/>
    <w:rsid w:val="00FD7C0C"/>
    <w:rsid w:val="00FE045C"/>
    <w:rsid w:val="00FE0C52"/>
    <w:rsid w:val="00FE1692"/>
    <w:rsid w:val="00FE1AAD"/>
    <w:rsid w:val="00FE3B13"/>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9"/>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9"/>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6444F"/>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character" w:styleId="CommentReference">
    <w:name w:val="annotation reference"/>
    <w:basedOn w:val="DefaultParagraphFont"/>
    <w:semiHidden/>
    <w:unhideWhenUsed/>
    <w:rsid w:val="00A73B8C"/>
    <w:rPr>
      <w:sz w:val="16"/>
      <w:szCs w:val="16"/>
    </w:rPr>
  </w:style>
  <w:style w:type="paragraph" w:styleId="CommentText">
    <w:name w:val="annotation text"/>
    <w:basedOn w:val="Normal"/>
    <w:link w:val="CommentTextChar"/>
    <w:semiHidden/>
    <w:unhideWhenUsed/>
    <w:rsid w:val="00A73B8C"/>
    <w:pPr>
      <w:spacing w:line="240" w:lineRule="auto"/>
    </w:pPr>
    <w:rPr>
      <w:sz w:val="20"/>
      <w:szCs w:val="20"/>
    </w:rPr>
  </w:style>
  <w:style w:type="character" w:customStyle="1" w:styleId="CommentTextChar">
    <w:name w:val="Comment Text Char"/>
    <w:basedOn w:val="DefaultParagraphFont"/>
    <w:link w:val="CommentText"/>
    <w:semiHidden/>
    <w:rsid w:val="00A73B8C"/>
    <w:rPr>
      <w:sz w:val="20"/>
      <w:szCs w:val="20"/>
    </w:rPr>
  </w:style>
  <w:style w:type="paragraph" w:styleId="CommentSubject">
    <w:name w:val="annotation subject"/>
    <w:basedOn w:val="CommentText"/>
    <w:next w:val="CommentText"/>
    <w:link w:val="CommentSubjectChar"/>
    <w:semiHidden/>
    <w:unhideWhenUsed/>
    <w:rsid w:val="00A73B8C"/>
    <w:rPr>
      <w:b/>
      <w:bCs/>
    </w:rPr>
  </w:style>
  <w:style w:type="character" w:customStyle="1" w:styleId="CommentSubjectChar">
    <w:name w:val="Comment Subject Char"/>
    <w:basedOn w:val="CommentTextChar"/>
    <w:link w:val="CommentSubject"/>
    <w:semiHidden/>
    <w:rsid w:val="00A73B8C"/>
    <w:rPr>
      <w:b/>
      <w:bCs/>
      <w:sz w:val="20"/>
      <w:szCs w:val="20"/>
    </w:rPr>
  </w:style>
  <w:style w:type="paragraph" w:styleId="ListParagraph">
    <w:name w:val="List Paragraph"/>
    <w:basedOn w:val="Normal"/>
    <w:uiPriority w:val="39"/>
    <w:rsid w:val="001E15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9"/>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9"/>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6444F"/>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character" w:styleId="CommentReference">
    <w:name w:val="annotation reference"/>
    <w:basedOn w:val="DefaultParagraphFont"/>
    <w:semiHidden/>
    <w:unhideWhenUsed/>
    <w:rsid w:val="00A73B8C"/>
    <w:rPr>
      <w:sz w:val="16"/>
      <w:szCs w:val="16"/>
    </w:rPr>
  </w:style>
  <w:style w:type="paragraph" w:styleId="CommentText">
    <w:name w:val="annotation text"/>
    <w:basedOn w:val="Normal"/>
    <w:link w:val="CommentTextChar"/>
    <w:semiHidden/>
    <w:unhideWhenUsed/>
    <w:rsid w:val="00A73B8C"/>
    <w:pPr>
      <w:spacing w:line="240" w:lineRule="auto"/>
    </w:pPr>
    <w:rPr>
      <w:sz w:val="20"/>
      <w:szCs w:val="20"/>
    </w:rPr>
  </w:style>
  <w:style w:type="character" w:customStyle="1" w:styleId="CommentTextChar">
    <w:name w:val="Comment Text Char"/>
    <w:basedOn w:val="DefaultParagraphFont"/>
    <w:link w:val="CommentText"/>
    <w:semiHidden/>
    <w:rsid w:val="00A73B8C"/>
    <w:rPr>
      <w:sz w:val="20"/>
      <w:szCs w:val="20"/>
    </w:rPr>
  </w:style>
  <w:style w:type="paragraph" w:styleId="CommentSubject">
    <w:name w:val="annotation subject"/>
    <w:basedOn w:val="CommentText"/>
    <w:next w:val="CommentText"/>
    <w:link w:val="CommentSubjectChar"/>
    <w:semiHidden/>
    <w:unhideWhenUsed/>
    <w:rsid w:val="00A73B8C"/>
    <w:rPr>
      <w:b/>
      <w:bCs/>
    </w:rPr>
  </w:style>
  <w:style w:type="character" w:customStyle="1" w:styleId="CommentSubjectChar">
    <w:name w:val="Comment Subject Char"/>
    <w:basedOn w:val="CommentTextChar"/>
    <w:link w:val="CommentSubject"/>
    <w:semiHidden/>
    <w:rsid w:val="00A73B8C"/>
    <w:rPr>
      <w:b/>
      <w:bCs/>
      <w:sz w:val="20"/>
      <w:szCs w:val="20"/>
    </w:rPr>
  </w:style>
  <w:style w:type="paragraph" w:styleId="ListParagraph">
    <w:name w:val="List Paragraph"/>
    <w:basedOn w:val="Normal"/>
    <w:uiPriority w:val="39"/>
    <w:rsid w:val="001E1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Com16</b:Tag>
    <b:SourceType>Report</b:SourceType>
    <b:Guid>{5B4EC681-07DE-47A5-8D75-A81C9B5C55A0}</b:Guid>
    <b:Author>
      <b:Author>
        <b:Corporate>Commonwealth of Australia</b:Corporate>
      </b:Author>
    </b:Author>
    <b:Title>2016-17 Budget</b:Title>
    <b:Year>2016</b:Year>
    <b:Publisher>Commonwealth of Australia</b:Publisher>
    <b:City>Canberra</b:City>
    <b:RefOrder>1</b:RefOrder>
  </b:Source>
  <b:Source>
    <b:Tag>The151</b:Tag>
    <b:SourceType>DocumentFromInternetSite</b:SourceType>
    <b:Guid>{02B22C1C-1CA7-4617-B866-D8029335A28F}</b:Guid>
    <b:Author>
      <b:Author>
        <b:Corporate>The Centre for International Economics</b:Corporate>
      </b:Author>
    </b:Author>
    <b:Title>ACT Government Chief Minister, Treasury and Economics Development Directorate</b:Title>
    <b:Year>2015</b:Year>
    <b:Month>August</b:Month>
    <b:YearAccessed>2016</b:YearAccessed>
    <b:MonthAccessed>September</b:MonthAccessed>
    <b:DayAccessed>6</b:DayAccessed>
    <b:URL>http://www.cmd.act.gov.au/__data/assets/pdf_file/0004/779179/CIE-Final-Report_ACT-Gov_ACT-Taxis-2015-04092015.pdf</b:URL>
    <b:RefOrder>2</b:RefOrder>
  </b:Source>
  <b:Source>
    <b:Tag>Aus15</b:Tag>
    <b:SourceType>DocumentFromInternetSite</b:SourceType>
    <b:Guid>{B7F1B190-DE0E-4E7A-ADA2-AC774E5E4442}</b:Guid>
    <b:Title>ATIA</b:Title>
    <b:Year>2015</b:Year>
    <b:Author>
      <b:Author>
        <b:Corporate>Australian Taxi Industry Association</b:Corporate>
      </b:Author>
    </b:Author>
    <b:YearAccessed>2016</b:YearAccessed>
    <b:MonthAccessed>September</b:MonthAccessed>
    <b:DayAccessed>6</b:DayAccessed>
    <b:URL>http://www.atia.com.au/taxi-statistics/</b:URL>
    <b:RefOrder>3</b:RefOrder>
  </b:Source>
  <b:Source>
    <b:Tag>The15</b:Tag>
    <b:SourceType>DocumentFromInternetSite</b:SourceType>
    <b:Guid>{923948AC-F134-4104-A011-8546C1A6FD8C}</b:Guid>
    <b:Title>Independent Pricing &amp; Regulatory Tribunal</b:Title>
    <b:Year>2015</b:Year>
    <b:YearAccessed>2016</b:YearAccessed>
    <b:MonthAccessed>September</b:MonthAccessed>
    <b:DayAccessed>7</b:DayAccessed>
    <b:URL>http://www.ipart.nsw.gov.au/files/sharedassets/website/trimholdingbay/draft_report_-_the_cie_-_2014_survey_of_taxi_drivers_and_operators_-_december_2014w142654_59f780bb-c657-41e1-a3a0-d49f29ad07a2.pdf</b:URL>
    <b:Author>
      <b:Author>
        <b:Corporate>The Centre for International Economics</b:Corporate>
      </b:Author>
    </b:Author>
    <b:Month>February</b:Month>
    <b:RefOrder>4</b:RefOrder>
  </b:Source>
  <b:Source>
    <b:Tag>Ind15</b:Tag>
    <b:SourceType>DocumentFromInternetSite</b:SourceType>
    <b:Guid>{EFAF12D7-08A0-4D63-96E1-64FDFEAD75CD}</b:Guid>
    <b:Author>
      <b:Author>
        <b:Corporate>Independent Pricing and Regulatory Tribunal of New South Wales</b:Corporate>
      </b:Author>
    </b:Author>
    <b:Title>Independent Pricing and Regulatory Tribunal of New South Wales</b:Title>
    <b:Year>2015</b:Year>
    <b:Month>January</b:Month>
    <b:Day>30</b:Day>
    <b:YearAccessed>2016</b:YearAccessed>
    <b:MonthAccessed>September</b:MonthAccessed>
    <b:DayAccessed>7</b:DayAccessed>
    <b:URL>http://www.ipart.nsw.gov.au/files/sharedassets/website/trimholdingbay/online_submission_-_uber_-_b_kitschke_-_30_jan_2015.pdf</b:URL>
    <b:RefOrder>5</b:RefOrder>
  </b:Source>
  <b:Source>
    <b:Tag>Emi15</b:Tag>
    <b:SourceType>InternetSite</b:SourceType>
    <b:Guid>{8B43A763-34EA-4E76-8723-0157A82E2AFF}</b:Guid>
    <b:Author>
      <b:Author>
        <b:NameList>
          <b:Person>
            <b:Last>Stewart</b:Last>
            <b:First>Emily</b:First>
          </b:Person>
        </b:NameList>
      </b:Author>
    </b:Author>
    <b:Title>ABC News</b:Title>
    <b:Year>2015</b:Year>
    <b:YearAccessed>2016</b:YearAccessed>
    <b:MonthAccessed>September</b:MonthAccessed>
    <b:DayAccessed>7</b:DayAccessed>
    <b:URL>http://www.abc.net.au/news/2015-07-27/uber-director-answers-common-questions-about-the-service/6650054</b:URL>
    <b:RefOrder>6</b:RefOrder>
  </b:Source>
  <b:Source>
    <b:Tag>Placeholder1</b:Tag>
    <b:SourceType>DocumentFromInternetSite</b:SourceType>
    <b:Guid>{8F943F0D-A499-47A3-BDF9-88431AB4166F}</b:Guid>
    <b:Title>ATIA</b:Title>
    <b:Year>2015</b:Year>
    <b:Author>
      <b:Author>
        <b:Corporate>Australian Taxi Industry Association</b:Corporate>
      </b:Author>
    </b:Author>
    <b:YearAccessed>2016</b:YearAccessed>
    <b:MonthAccessed>March</b:MonthAccessed>
    <b:DayAccessed>1</b:DayAccessed>
    <b:URL>http://www.atia.com.au/taxi-statistics/</b:URL>
    <b:RefOrder>7</b:RefOrder>
  </b:Source>
  <b:Source>
    <b:Tag>Placeholder2</b:Tag>
    <b:SourceType>DocumentFromInternetSite</b:SourceType>
    <b:Guid>{7172A5BF-A6A6-4234-9725-9F37BC492635}</b:Guid>
    <b:Author>
      <b:Author>
        <b:Corporate>Independent Pricing and Regulatory Tribunal of New South Wales</b:Corporate>
      </b:Author>
    </b:Author>
    <b:Title>Independent Pricing and Regulatory Tribunal of New South Wales</b:Title>
    <b:Year>2015</b:Year>
    <b:Month>January</b:Month>
    <b:Day>30</b:Day>
    <b:YearAccessed>2016</b:YearAccessed>
    <b:MonthAccessed>April</b:MonthAccessed>
    <b:DayAccessed>5</b:DayAccessed>
    <b:URL>http://www.ipart.nsw.gov.au/files/sharedassets/website/trimholdingbay/online_submission_-_uber_-_b_kitschke_-_30_jan_2015.pdf</b:URL>
    <b:RefOrder>8</b:RefOrder>
  </b:Source>
  <b:Source>
    <b:Tag>Placeholder3</b:Tag>
    <b:SourceType>InternetSite</b:SourceType>
    <b:Guid>{8AAABDB4-B82B-41AB-B073-BF7D56CCBD52}</b:Guid>
    <b:Author>
      <b:Author>
        <b:NameList>
          <b:Person>
            <b:Last>Stewart</b:Last>
            <b:First>Emily</b:First>
          </b:Person>
        </b:NameList>
      </b:Author>
    </b:Author>
    <b:Title>ABC News</b:Title>
    <b:Year>2015</b:Year>
    <b:YearAccessed>2016</b:YearAccessed>
    <b:MonthAccessed>March</b:MonthAccessed>
    <b:DayAccessed>3</b:DayAccessed>
    <b:URL>http://www.abc.net.au/news/2015-07-27/uber-director-answers-common-questions-about-the-service/6650054</b:URL>
    <b:RefOrder>9</b:RefOrder>
  </b:Source>
  <b:Source>
    <b:Tag>Placeholder4</b:Tag>
    <b:SourceType>DocumentFromInternetSite</b:SourceType>
    <b:Guid>{9E4C8BE3-F998-470D-82E1-1BCBACB8074D}</b:Guid>
    <b:Title>Independent Pricing &amp; Regulatory Tribunal</b:Title>
    <b:Year>2015</b:Year>
    <b:YearAccessed>2016</b:YearAccessed>
    <b:MonthAccessed>April</b:MonthAccessed>
    <b:DayAccessed>4</b:DayAccessed>
    <b:URL>http://www.ipart.nsw.gov.au/files/sharedassets/website/trimholdingbay/draft_report_-_the_cie_-_2014_survey_of_taxi_drivers_and_operators_-_december_2014w142654_59f780bb-c657-41e1-a3a0-d49f29ad07a2.pdf</b:URL>
    <b:Author>
      <b:Author>
        <b:Corporate>The Centre for International Economics</b:Corporate>
      </b:Author>
    </b:Author>
    <b:Month>February</b:Month>
    <b:RefOrder>10</b:RefOrder>
  </b:Source>
  <b:Source>
    <b:Tag>Placeholder5</b:Tag>
    <b:SourceType>DocumentFromInternetSite</b:SourceType>
    <b:Guid>{5F239E76-8790-4576-93D4-C24F9A9D340E}</b:Guid>
    <b:Author>
      <b:Author>
        <b:Corporate>The Centre for International Economics</b:Corporate>
      </b:Author>
    </b:Author>
    <b:Title>ACT Government Chief Minister, Treasury and Economics Development Directorate</b:Title>
    <b:Year>2015</b:Year>
    <b:Month>August</b:Month>
    <b:YearAccessed>2016</b:YearAccessed>
    <b:MonthAccessed>March</b:MonthAccessed>
    <b:DayAccessed>30</b:DayAccessed>
    <b:URL>http://www.cmd.act.gov.au/__data/assets/pdf_file/0004/779179/CIE-Final-Report_ACT-Gov_ACT-Taxis-2015-04092015.pdf</b:URL>
    <b:RefOrder>11</b:RefOrder>
  </b:Source>
</b:Sources>
</file>

<file path=customXml/itemProps1.xml><?xml version="1.0" encoding="utf-8"?>
<ds:datastoreItem xmlns:ds="http://schemas.openxmlformats.org/officeDocument/2006/customXml" ds:itemID="{3F713CEA-2605-43A7-8218-A3C35830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2059</Words>
  <Characters>11080</Characters>
  <Application>Microsoft Office Word</Application>
  <DocSecurity>0</DocSecurity>
  <Lines>615</Lines>
  <Paragraphs>571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of Uber and taxis</dc:title>
  <dc:creator>Parliamentary Budget Office</dc:creator>
  <cp:lastModifiedBy>Pratley, Lauren (PBO)</cp:lastModifiedBy>
  <cp:revision>4</cp:revision>
  <cp:lastPrinted>2016-09-12T01:36:00Z</cp:lastPrinted>
  <dcterms:created xsi:type="dcterms:W3CDTF">2017-08-25T01:24:00Z</dcterms:created>
  <dcterms:modified xsi:type="dcterms:W3CDTF">2017-09-01T05:54:00Z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