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8E" w:rsidRDefault="00AA478E" w:rsidP="00AA478E">
      <w:pPr>
        <w:pStyle w:val="Heading1spacebefore"/>
        <w:tabs>
          <w:tab w:val="left" w:pos="2694"/>
        </w:tabs>
        <w:spacing w:before="480" w:after="240"/>
        <w:rPr>
          <w:sz w:val="32"/>
        </w:rPr>
      </w:pPr>
      <w:r w:rsidRPr="008D4FA9">
        <w:rPr>
          <w:sz w:val="32"/>
        </w:rPr>
        <w:t xml:space="preserve">Policy costing </w:t>
      </w:r>
    </w:p>
    <w:tbl>
      <w:tblPr>
        <w:tblStyle w:val="LightGrid-Accent6"/>
        <w:tblW w:w="4992" w:type="pct"/>
        <w:tblLook w:val="0600" w:firstRow="0" w:lastRow="0" w:firstColumn="0" w:lastColumn="0" w:noHBand="1" w:noVBand="1"/>
      </w:tblPr>
      <w:tblGrid>
        <w:gridCol w:w="3629"/>
        <w:gridCol w:w="2835"/>
        <w:gridCol w:w="2808"/>
      </w:tblGrid>
      <w:tr w:rsidR="00AA478E" w:rsidRPr="008D77AF" w:rsidTr="00013620">
        <w:tc>
          <w:tcPr>
            <w:tcW w:w="5000" w:type="pct"/>
            <w:gridSpan w:val="3"/>
            <w:shd w:val="clear" w:color="auto" w:fill="D7DDE9" w:themeFill="accent3"/>
          </w:tcPr>
          <w:p w:rsidR="00AA478E" w:rsidRPr="008D77AF" w:rsidRDefault="00264434" w:rsidP="00AC4633">
            <w:pPr>
              <w:pStyle w:val="Nameofproposal"/>
            </w:pPr>
            <w:bookmarkStart w:id="0" w:name="_GoBack"/>
            <w:r>
              <w:t>Securing the Value of Our Resources</w:t>
            </w:r>
            <w:r w:rsidR="00AF7891">
              <w:t xml:space="preserve"> –</w:t>
            </w:r>
            <w:r w:rsidR="00AC4633">
              <w:t xml:space="preserve"> </w:t>
            </w:r>
            <w:r w:rsidR="00AF7891">
              <w:t>End Fossil Fuel Subsidies</w:t>
            </w:r>
            <w:bookmarkEnd w:id="0"/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Person/party requesting the costing:</w:t>
            </w:r>
          </w:p>
        </w:tc>
        <w:tc>
          <w:tcPr>
            <w:tcW w:w="3043" w:type="pct"/>
            <w:gridSpan w:val="2"/>
            <w:tcBorders>
              <w:bottom w:val="single" w:sz="8" w:space="0" w:color="788184" w:themeColor="accent6"/>
            </w:tcBorders>
          </w:tcPr>
          <w:p w:rsidR="00AA478E" w:rsidRPr="008D77AF" w:rsidRDefault="00327048" w:rsidP="00696DCC">
            <w:pPr>
              <w:pStyle w:val="BodyText"/>
            </w:pPr>
            <w:sdt>
              <w:sdtPr>
                <w:alias w:val="Requestor"/>
                <w:tag w:val="Requestor"/>
                <w:id w:val="39022088"/>
                <w:placeholder>
                  <w:docPart w:val="4CCF765A65D747B283A31BD7BEC1C966"/>
                </w:placeholder>
                <w:dropDownList>
                  <w:listItem w:value="Choose an item."/>
                  <w:listItem w:displayText="The Hon Chris Bowen MP, Australian Labor Party" w:value="The Hon Chris Bowen MP, Australian Labor Party"/>
                  <w:listItem w:displayText="Dr Jim Chalmers MP, Australian Labor Party" w:value="Dr Jim Chalmers MP, Australian Labor Party"/>
                  <w:listItem w:displayText="The Hon Dr Andrew Leigh MP, Australian Labor Party" w:value="The Hon Dr Andrew Leigh MP, Australian Labor Party"/>
                  <w:listItem w:displayText="Senator Richard Di Natale, Australian Greens" w:value="Senator Richard Di Natale, Australian Greens"/>
                  <w:listItem w:displayText="Senator David Leyonhjelm, Liberal Democratic Party" w:value="Senator David Leyonhjelm, Liberal Democratic Party"/>
                  <w:listItem w:displayText="Senator the Hon Kim Carr, Australian Labor Party" w:value="Senator the Hon Kim Carr, Australian Labor Party"/>
                  <w:listItem w:displayText="The Hon Tanya Plibersek MP, Australian Labor Party" w:value="The Hon Tanya Plibersek MP, Australian Labor Party"/>
                  <w:listItem w:displayText="The Hon Jenny Macklin MP, Australian Labor Party" w:value="The Hon Jenny Macklin MP, Australian Labor Party"/>
                </w:dropDownList>
              </w:sdtPr>
              <w:sdtEndPr/>
              <w:sdtContent>
                <w:r w:rsidR="00264434">
                  <w:t>Senator Richard Di Natale, Australian Greens</w:t>
                </w:r>
              </w:sdtContent>
            </w:sdt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Date costing completed:</w:t>
            </w:r>
          </w:p>
        </w:tc>
        <w:tc>
          <w:tcPr>
            <w:tcW w:w="3043" w:type="pct"/>
            <w:gridSpan w:val="2"/>
          </w:tcPr>
          <w:p w:rsidR="00AA478E" w:rsidRPr="008D77AF" w:rsidRDefault="00136806" w:rsidP="00826318">
            <w:pPr>
              <w:pStyle w:val="BodyText"/>
            </w:pPr>
            <w:r>
              <w:t>9</w:t>
            </w:r>
            <w:r w:rsidR="0072161A">
              <w:t xml:space="preserve"> </w:t>
            </w:r>
            <w:r w:rsidR="008359CF">
              <w:t>August</w:t>
            </w:r>
            <w:r w:rsidR="00CC5BD1">
              <w:t xml:space="preserve"> 2018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Expiry date of the costing:</w:t>
            </w:r>
          </w:p>
        </w:tc>
        <w:tc>
          <w:tcPr>
            <w:tcW w:w="3043" w:type="pct"/>
            <w:gridSpan w:val="2"/>
          </w:tcPr>
          <w:p w:rsidR="00AA478E" w:rsidRPr="008D77AF" w:rsidRDefault="00AA478E" w:rsidP="00696DCC">
            <w:pPr>
              <w:pStyle w:val="BodyText"/>
            </w:pPr>
            <w:r w:rsidRPr="008D77AF">
              <w:t>Release of the next economic and fiscal outlook report.</w:t>
            </w:r>
          </w:p>
        </w:tc>
      </w:tr>
      <w:tr w:rsidR="00AA478E" w:rsidTr="00013620">
        <w:tc>
          <w:tcPr>
            <w:tcW w:w="1957" w:type="pct"/>
            <w:vMerge w:val="restart"/>
          </w:tcPr>
          <w:p w:rsidR="00AA478E" w:rsidRDefault="00AA478E" w:rsidP="00696DCC">
            <w:pPr>
              <w:pStyle w:val="BodyText"/>
            </w:pPr>
            <w:r>
              <w:t>Status at time of request</w:t>
            </w:r>
            <w:r w:rsidRPr="008D77AF">
              <w:t>:</w:t>
            </w:r>
          </w:p>
        </w:tc>
        <w:tc>
          <w:tcPr>
            <w:tcW w:w="3043" w:type="pct"/>
            <w:gridSpan w:val="2"/>
            <w:tcBorders>
              <w:bottom w:val="nil"/>
              <w:right w:val="single" w:sz="8" w:space="0" w:color="788184" w:themeColor="accent6"/>
            </w:tcBorders>
          </w:tcPr>
          <w:p w:rsidR="00AA478E" w:rsidRDefault="00AA478E" w:rsidP="00696DCC">
            <w:pPr>
              <w:pStyle w:val="BodyText"/>
            </w:pPr>
            <w:r>
              <w:t>Submitted outside the caretaker period</w:t>
            </w:r>
          </w:p>
        </w:tc>
      </w:tr>
      <w:tr w:rsidR="00AA478E" w:rsidRPr="008D77AF" w:rsidTr="00013620">
        <w:tc>
          <w:tcPr>
            <w:tcW w:w="1957" w:type="pct"/>
            <w:vMerge/>
          </w:tcPr>
          <w:p w:rsidR="00AA478E" w:rsidRPr="008D77AF" w:rsidRDefault="00AA478E" w:rsidP="00013620">
            <w:pPr>
              <w:pStyle w:val="PullOutBoxBodyText"/>
              <w:ind w:left="0" w:right="0"/>
            </w:pPr>
          </w:p>
        </w:tc>
        <w:tc>
          <w:tcPr>
            <w:tcW w:w="1529" w:type="pct"/>
            <w:tcBorders>
              <w:top w:val="nil"/>
              <w:right w:val="nil"/>
            </w:tcBorders>
          </w:tcPr>
          <w:p w:rsidR="00AA478E" w:rsidRPr="008D77AF" w:rsidRDefault="00327048" w:rsidP="00696DCC">
            <w:pPr>
              <w:pStyle w:val="BodyText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4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478E" w:rsidRPr="008D77AF">
              <w:t xml:space="preserve"> </w:t>
            </w:r>
            <w:r w:rsidR="00AA478E">
              <w:t>Confidential</w:t>
            </w:r>
          </w:p>
        </w:tc>
        <w:tc>
          <w:tcPr>
            <w:tcW w:w="1514" w:type="pct"/>
            <w:tcBorders>
              <w:top w:val="nil"/>
              <w:left w:val="nil"/>
              <w:right w:val="single" w:sz="8" w:space="0" w:color="788184" w:themeColor="accent6"/>
            </w:tcBorders>
          </w:tcPr>
          <w:p w:rsidR="00AA478E" w:rsidRPr="008D77AF" w:rsidRDefault="00327048" w:rsidP="00696DCC">
            <w:pPr>
              <w:pStyle w:val="BodyText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8E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78E" w:rsidRPr="008D77AF">
              <w:t xml:space="preserve"> No</w:t>
            </w:r>
            <w:r w:rsidR="00AA478E">
              <w:t>t confidential</w:t>
            </w:r>
          </w:p>
        </w:tc>
      </w:tr>
      <w:tr w:rsidR="00AA478E" w:rsidRPr="008D77AF" w:rsidTr="00013620">
        <w:tc>
          <w:tcPr>
            <w:tcW w:w="5000" w:type="pct"/>
            <w:gridSpan w:val="3"/>
          </w:tcPr>
          <w:p w:rsidR="00AA478E" w:rsidRPr="00E75D5E" w:rsidRDefault="00AA478E" w:rsidP="00696DCC">
            <w:pPr>
              <w:pStyle w:val="BodyText"/>
            </w:pPr>
            <w:r w:rsidRPr="00E75D5E">
              <w:t>Summary of proposal:</w:t>
            </w:r>
          </w:p>
          <w:p w:rsidR="00264434" w:rsidRDefault="00B058D4" w:rsidP="00264434">
            <w:pPr>
              <w:pStyle w:val="BodyText"/>
            </w:pPr>
            <w:r>
              <w:t>The proposal has four</w:t>
            </w:r>
            <w:r w:rsidR="00E95364">
              <w:t xml:space="preserve"> </w:t>
            </w:r>
            <w:r w:rsidR="00AC4633">
              <w:t>component</w:t>
            </w:r>
            <w:r w:rsidR="00E95364">
              <w:t>s</w:t>
            </w:r>
            <w:r w:rsidR="00264434">
              <w:t xml:space="preserve">. </w:t>
            </w:r>
          </w:p>
          <w:p w:rsidR="00264434" w:rsidRDefault="00AC4633" w:rsidP="006D3087">
            <w:pPr>
              <w:pStyle w:val="ListNumber"/>
              <w:numPr>
                <w:ilvl w:val="0"/>
                <w:numId w:val="0"/>
              </w:numPr>
            </w:pPr>
            <w:r>
              <w:t>Component</w:t>
            </w:r>
            <w:r w:rsidR="006D3087">
              <w:t xml:space="preserve"> 1 – </w:t>
            </w:r>
            <w:r w:rsidR="004B27DE">
              <w:t xml:space="preserve">Abolish </w:t>
            </w:r>
            <w:r w:rsidR="00264434">
              <w:t xml:space="preserve">the </w:t>
            </w:r>
            <w:r w:rsidR="00684DFA">
              <w:t>f</w:t>
            </w:r>
            <w:r w:rsidR="00264434">
              <w:t xml:space="preserve">uel </w:t>
            </w:r>
            <w:r w:rsidR="00684DFA">
              <w:t>t</w:t>
            </w:r>
            <w:r w:rsidR="00264434">
              <w:t xml:space="preserve">ax </w:t>
            </w:r>
            <w:r w:rsidR="00684DFA">
              <w:t>c</w:t>
            </w:r>
            <w:r w:rsidR="00264434">
              <w:t>redit for all industries except agricultural businesses</w:t>
            </w:r>
            <w:r w:rsidR="009D1520">
              <w:t>.</w:t>
            </w:r>
          </w:p>
          <w:p w:rsidR="00264434" w:rsidRDefault="00AC4633" w:rsidP="006D3087">
            <w:pPr>
              <w:pStyle w:val="ListNumber"/>
              <w:numPr>
                <w:ilvl w:val="0"/>
                <w:numId w:val="0"/>
              </w:numPr>
            </w:pPr>
            <w:r>
              <w:t>Component</w:t>
            </w:r>
            <w:r w:rsidR="006D3087">
              <w:t xml:space="preserve"> 2 – </w:t>
            </w:r>
            <w:r w:rsidR="004B27DE">
              <w:t xml:space="preserve">Abolish </w:t>
            </w:r>
            <w:r w:rsidR="00264434">
              <w:t>accelerated asset depreciation for aircraft, the oil and gas industry</w:t>
            </w:r>
            <w:r w:rsidR="005E1F5B">
              <w:t>,</w:t>
            </w:r>
            <w:r w:rsidR="00264434">
              <w:t xml:space="preserve"> and motor vehicles (except for those used for agricultural purposes)</w:t>
            </w:r>
            <w:r w:rsidR="009D1520">
              <w:t>.</w:t>
            </w:r>
          </w:p>
          <w:p w:rsidR="00264434" w:rsidRDefault="00AC4633" w:rsidP="006D3087">
            <w:pPr>
              <w:pStyle w:val="ListNumber"/>
              <w:numPr>
                <w:ilvl w:val="0"/>
                <w:numId w:val="0"/>
              </w:numPr>
            </w:pPr>
            <w:r>
              <w:t>Component</w:t>
            </w:r>
            <w:r w:rsidR="006D3087">
              <w:t xml:space="preserve"> 3 – </w:t>
            </w:r>
            <w:r w:rsidR="004B27DE">
              <w:t xml:space="preserve">Abolish </w:t>
            </w:r>
            <w:r w:rsidR="00264434">
              <w:t>the immediate deduction for exploration and prospecting expenses for the mining industry, including the Mining Exploration Development Incentive</w:t>
            </w:r>
            <w:r w:rsidR="009D1520">
              <w:t>.</w:t>
            </w:r>
          </w:p>
          <w:p w:rsidR="00AA478E" w:rsidRDefault="00AC4633" w:rsidP="006D3087">
            <w:pPr>
              <w:pStyle w:val="ListNumber"/>
              <w:numPr>
                <w:ilvl w:val="0"/>
                <w:numId w:val="0"/>
              </w:numPr>
            </w:pPr>
            <w:r>
              <w:t>Component</w:t>
            </w:r>
            <w:r w:rsidR="006D3087">
              <w:t xml:space="preserve"> 4 – </w:t>
            </w:r>
            <w:r w:rsidR="004B27DE">
              <w:t xml:space="preserve">Abolish </w:t>
            </w:r>
            <w:r w:rsidR="00264434">
              <w:t>the Australia-China Science and Research Fund.</w:t>
            </w:r>
          </w:p>
          <w:p w:rsidR="00DB6BBE" w:rsidRPr="008D77AF" w:rsidRDefault="00DB6BBE" w:rsidP="00C4312E">
            <w:pPr>
              <w:pStyle w:val="BodyText"/>
            </w:pPr>
            <w:r w:rsidRPr="00DB6BBE">
              <w:t xml:space="preserve">The proposal would </w:t>
            </w:r>
            <w:r w:rsidR="00C4312E">
              <w:t>have effect</w:t>
            </w:r>
            <w:r w:rsidRPr="00DB6BBE">
              <w:t xml:space="preserve"> from 1 July 2019.</w:t>
            </w:r>
          </w:p>
        </w:tc>
      </w:tr>
    </w:tbl>
    <w:p w:rsidR="00AA478E" w:rsidRDefault="00AA478E" w:rsidP="00AA478E">
      <w:pPr>
        <w:pStyle w:val="Heading1"/>
      </w:pPr>
      <w:r w:rsidRPr="008D77AF">
        <w:t>Costing overview</w:t>
      </w:r>
    </w:p>
    <w:p w:rsidR="00E4079F" w:rsidRDefault="00E4079F" w:rsidP="00E4079F">
      <w:pPr>
        <w:pStyle w:val="BodyText"/>
      </w:pPr>
      <w:r>
        <w:t xml:space="preserve">This proposal would be expected to increase the fiscal balance by </w:t>
      </w:r>
      <w:r w:rsidRPr="00A377FF">
        <w:t>$</w:t>
      </w:r>
      <w:r w:rsidR="0002639D">
        <w:t>20,6</w:t>
      </w:r>
      <w:r w:rsidR="00594D81">
        <w:t>08</w:t>
      </w:r>
      <w:r w:rsidR="009D1520">
        <w:t xml:space="preserve"> million and </w:t>
      </w:r>
      <w:r w:rsidRPr="00A377FF">
        <w:t>the underlying cash balance by $</w:t>
      </w:r>
      <w:r w:rsidR="0002639D">
        <w:t>19,7</w:t>
      </w:r>
      <w:r w:rsidR="00594D81">
        <w:t>08</w:t>
      </w:r>
      <w:r w:rsidRPr="00A377FF">
        <w:t xml:space="preserve"> million </w:t>
      </w:r>
      <w:r>
        <w:t>over the 201</w:t>
      </w:r>
      <w:r w:rsidR="00A377FF">
        <w:t>8</w:t>
      </w:r>
      <w:r>
        <w:t>-1</w:t>
      </w:r>
      <w:r w:rsidR="00A377FF">
        <w:t>9</w:t>
      </w:r>
      <w:r>
        <w:t xml:space="preserve"> Budget forward estimates period. </w:t>
      </w:r>
      <w:r w:rsidR="00865E92">
        <w:t xml:space="preserve"> </w:t>
      </w:r>
      <w:r>
        <w:t>The fiscal balance impact reflects a</w:t>
      </w:r>
      <w:r w:rsidRPr="00A377FF">
        <w:t xml:space="preserve"> net increase in revenue of </w:t>
      </w:r>
      <w:r w:rsidR="0002639D">
        <w:t>$5</w:t>
      </w:r>
      <w:r w:rsidR="00594D81">
        <w:t>00</w:t>
      </w:r>
      <w:r w:rsidRPr="00A377FF">
        <w:t> million and a decrease in expenses of $2</w:t>
      </w:r>
      <w:r w:rsidR="00A377FF" w:rsidRPr="00A377FF">
        <w:t>0,</w:t>
      </w:r>
      <w:r w:rsidR="00AB6CB4">
        <w:t>108</w:t>
      </w:r>
      <w:r w:rsidR="00A377FF" w:rsidRPr="00A377FF">
        <w:t xml:space="preserve"> </w:t>
      </w:r>
      <w:r w:rsidRPr="00A377FF">
        <w:t>million over</w:t>
      </w:r>
      <w:r>
        <w:t xml:space="preserve"> this period. </w:t>
      </w:r>
    </w:p>
    <w:p w:rsidR="00E4079F" w:rsidRDefault="00E4079F" w:rsidP="00A377FF">
      <w:pPr>
        <w:pStyle w:val="BodyText"/>
      </w:pPr>
      <w:r>
        <w:t xml:space="preserve">The proposal would </w:t>
      </w:r>
      <w:r w:rsidR="00271A4D">
        <w:t xml:space="preserve">be expected to </w:t>
      </w:r>
      <w:r>
        <w:t>have an ongoing impact that extends beyond the 2018-19 Budget forward estimates period.</w:t>
      </w:r>
      <w:r w:rsidR="00A377FF">
        <w:t xml:space="preserve"> </w:t>
      </w:r>
      <w:r w:rsidR="00271A4D">
        <w:t xml:space="preserve"> </w:t>
      </w:r>
      <w:r w:rsidR="00E04A1C">
        <w:t xml:space="preserve">A breakdown of the financial implications of the proposal </w:t>
      </w:r>
      <w:r w:rsidR="009D1520">
        <w:t xml:space="preserve">over the period to 2028-29 </w:t>
      </w:r>
      <w:r w:rsidR="00E04A1C">
        <w:t xml:space="preserve">is included at </w:t>
      </w:r>
      <w:r w:rsidR="00E04A1C" w:rsidRPr="00E4079F">
        <w:rPr>
          <w:u w:val="single"/>
        </w:rPr>
        <w:t>Attachment A</w:t>
      </w:r>
      <w:r w:rsidR="00E04A1C">
        <w:t>.</w:t>
      </w:r>
    </w:p>
    <w:p w:rsidR="00E4079F" w:rsidRDefault="00E4079F" w:rsidP="00E4079F">
      <w:pPr>
        <w:pStyle w:val="BodyText"/>
      </w:pPr>
      <w:r w:rsidRPr="00A377FF">
        <w:t xml:space="preserve">Departmental expenses would be expected to decrease by </w:t>
      </w:r>
      <w:r w:rsidR="00A377FF" w:rsidRPr="00A377FF">
        <w:t>$1.2</w:t>
      </w:r>
      <w:r w:rsidRPr="00A377FF">
        <w:t> million</w:t>
      </w:r>
      <w:r>
        <w:t xml:space="preserve"> over the 201</w:t>
      </w:r>
      <w:r w:rsidR="00A377FF">
        <w:t>8</w:t>
      </w:r>
      <w:r>
        <w:t>-1</w:t>
      </w:r>
      <w:r w:rsidR="00A377FF">
        <w:t>9</w:t>
      </w:r>
      <w:r>
        <w:t xml:space="preserve"> Budget forward estimates period</w:t>
      </w:r>
      <w:r w:rsidR="00271A4D">
        <w:t xml:space="preserve"> </w:t>
      </w:r>
      <w:r w:rsidR="00271A4D" w:rsidRPr="00A377FF">
        <w:t xml:space="preserve">as a result of abolishing the </w:t>
      </w:r>
      <w:r w:rsidR="00826FD2">
        <w:t>Australia-China Science and Research Fund</w:t>
      </w:r>
      <w:r>
        <w:t xml:space="preserve">. </w:t>
      </w:r>
      <w:r w:rsidR="00A16217">
        <w:t xml:space="preserve"> </w:t>
      </w:r>
      <w:r>
        <w:t xml:space="preserve">Departmental expenses </w:t>
      </w:r>
      <w:r w:rsidR="00271A4D">
        <w:t>relating to</w:t>
      </w:r>
      <w:r>
        <w:t xml:space="preserve"> </w:t>
      </w:r>
      <w:r w:rsidR="00E1572B">
        <w:t xml:space="preserve">the </w:t>
      </w:r>
      <w:r>
        <w:t xml:space="preserve">other </w:t>
      </w:r>
      <w:r w:rsidR="00AC4633">
        <w:t>component</w:t>
      </w:r>
      <w:r w:rsidR="00E95364">
        <w:t xml:space="preserve">s </w:t>
      </w:r>
      <w:r>
        <w:t xml:space="preserve">of </w:t>
      </w:r>
      <w:r w:rsidR="00271A4D">
        <w:t>the proposal</w:t>
      </w:r>
      <w:r>
        <w:t xml:space="preserve"> </w:t>
      </w:r>
      <w:r w:rsidR="00271A4D">
        <w:t>would</w:t>
      </w:r>
      <w:r>
        <w:t xml:space="preserve"> not</w:t>
      </w:r>
      <w:r w:rsidR="00271A4D">
        <w:t xml:space="preserve"> be</w:t>
      </w:r>
      <w:r w:rsidR="00CA4DEC">
        <w:t xml:space="preserve"> expected to be significant.</w:t>
      </w:r>
    </w:p>
    <w:p w:rsidR="00253E45" w:rsidRDefault="00253E45" w:rsidP="00253E45">
      <w:pPr>
        <w:pStyle w:val="BodyText"/>
      </w:pPr>
      <w:r>
        <w:t>The difference between the fiscal and underlying cash balance impacts reflect</w:t>
      </w:r>
      <w:r w:rsidR="00FB6303">
        <w:t>s</w:t>
      </w:r>
      <w:r>
        <w:t xml:space="preserve"> timing difference</w:t>
      </w:r>
      <w:r w:rsidR="000D6F37">
        <w:t>s between when fuel tax credit liabilities</w:t>
      </w:r>
      <w:r w:rsidR="003919C5">
        <w:t xml:space="preserve"> </w:t>
      </w:r>
      <w:r>
        <w:t xml:space="preserve">are recognised and when the </w:t>
      </w:r>
      <w:r w:rsidR="00E1572B">
        <w:t xml:space="preserve">actual </w:t>
      </w:r>
      <w:r w:rsidR="00271A4D">
        <w:t>payments occur</w:t>
      </w:r>
      <w:r>
        <w:t>.</w:t>
      </w:r>
    </w:p>
    <w:p w:rsidR="00253E45" w:rsidRDefault="006B67D1" w:rsidP="00253E45">
      <w:pPr>
        <w:pStyle w:val="BodyText"/>
      </w:pPr>
      <w:r>
        <w:lastRenderedPageBreak/>
        <w:t xml:space="preserve">This costing is </w:t>
      </w:r>
      <w:r w:rsidR="00A16217">
        <w:t>subject to uncertainties around</w:t>
      </w:r>
      <w:r>
        <w:t xml:space="preserve"> a</w:t>
      </w:r>
      <w:r w:rsidR="00A7679F">
        <w:t xml:space="preserve"> range of assumptions and data</w:t>
      </w:r>
      <w:r w:rsidR="00A16217">
        <w:t xml:space="preserve"> </w:t>
      </w:r>
      <w:r w:rsidR="00E95364">
        <w:t xml:space="preserve">relating to different </w:t>
      </w:r>
      <w:r w:rsidR="00AC4633">
        <w:t>component</w:t>
      </w:r>
      <w:r w:rsidR="00E95364">
        <w:t>s</w:t>
      </w:r>
      <w:r w:rsidR="00A16217">
        <w:t xml:space="preserve"> of the proposal</w:t>
      </w:r>
      <w:r w:rsidR="002147B1">
        <w:t>.</w:t>
      </w:r>
    </w:p>
    <w:p w:rsidR="00253E45" w:rsidRDefault="006B67D1" w:rsidP="00A7679F">
      <w:pPr>
        <w:pStyle w:val="ListBullet"/>
      </w:pPr>
      <w:r>
        <w:t xml:space="preserve">The fuel tax credit and accelerated depreciation </w:t>
      </w:r>
      <w:r w:rsidR="00AC4633">
        <w:t>component</w:t>
      </w:r>
      <w:r w:rsidR="00E95364">
        <w:t>s</w:t>
      </w:r>
      <w:r w:rsidRPr="00253E45">
        <w:t xml:space="preserve">, which </w:t>
      </w:r>
      <w:r w:rsidR="00253E45" w:rsidRPr="00253E45">
        <w:t xml:space="preserve">together </w:t>
      </w:r>
      <w:r w:rsidRPr="00253E45">
        <w:t>make up the largest proportion of the financial implications of this proposal, are mo</w:t>
      </w:r>
      <w:r>
        <w:t xml:space="preserve">delled based on aggregate historical data which </w:t>
      </w:r>
      <w:r w:rsidR="003A28C5">
        <w:t xml:space="preserve">is subject to </w:t>
      </w:r>
      <w:r>
        <w:t xml:space="preserve">uncertainty in expected growth over the medium term. </w:t>
      </w:r>
    </w:p>
    <w:p w:rsidR="0024350C" w:rsidRDefault="0024350C" w:rsidP="0024350C">
      <w:pPr>
        <w:pStyle w:val="ListBullet"/>
      </w:pPr>
      <w:r>
        <w:t>The explo</w:t>
      </w:r>
      <w:r w:rsidR="00E95364">
        <w:t xml:space="preserve">ration and prospecting </w:t>
      </w:r>
      <w:r w:rsidR="00AC4633">
        <w:t>component</w:t>
      </w:r>
      <w:r>
        <w:t>, which makes up a small proportion of the proposal’s</w:t>
      </w:r>
      <w:r w:rsidR="00A16217">
        <w:t xml:space="preserve"> total</w:t>
      </w:r>
      <w:r>
        <w:t xml:space="preserve"> impact, involves a higher level of uncertainty as future growth is</w:t>
      </w:r>
      <w:r w:rsidR="000D6F37">
        <w:t xml:space="preserve"> expected to be</w:t>
      </w:r>
      <w:r>
        <w:t xml:space="preserve"> more volatile</w:t>
      </w:r>
      <w:r w:rsidR="00A16217">
        <w:t>,</w:t>
      </w:r>
      <w:r>
        <w:t xml:space="preserve"> reflecting the uncertain nature of activity in these industries.</w:t>
      </w:r>
    </w:p>
    <w:p w:rsidR="00C4535D" w:rsidRPr="005E1F5B" w:rsidRDefault="00C4535D" w:rsidP="005E1F5B">
      <w:pPr>
        <w:pStyle w:val="BodyText17ptAbove"/>
        <w:spacing w:before="120"/>
      </w:pPr>
      <w:r w:rsidRPr="005E1F5B">
        <w:t xml:space="preserve">Removing eligibility for claiming </w:t>
      </w:r>
      <w:r w:rsidR="003A28C5" w:rsidRPr="005E1F5B">
        <w:t xml:space="preserve">tax credits on </w:t>
      </w:r>
      <w:r w:rsidRPr="005E1F5B">
        <w:t>business fuel expenses has the potential to have a negative impact on the economy</w:t>
      </w:r>
      <w:r w:rsidR="00B81F70" w:rsidRPr="005E1F5B">
        <w:t xml:space="preserve">, particularly </w:t>
      </w:r>
      <w:r w:rsidR="003A28C5" w:rsidRPr="005E1F5B">
        <w:t xml:space="preserve">with regard to the </w:t>
      </w:r>
      <w:r w:rsidR="00E57D97" w:rsidRPr="005E1F5B">
        <w:t xml:space="preserve">mining and </w:t>
      </w:r>
      <w:r w:rsidR="00B81F70" w:rsidRPr="005E1F5B">
        <w:t xml:space="preserve">transport industries, </w:t>
      </w:r>
      <w:r w:rsidRPr="005E1F5B">
        <w:t>as it could increase costs across the production chain</w:t>
      </w:r>
      <w:r w:rsidR="00E57D97" w:rsidRPr="005E1F5B">
        <w:t xml:space="preserve"> and </w:t>
      </w:r>
      <w:r w:rsidR="003A28C5" w:rsidRPr="005E1F5B">
        <w:t xml:space="preserve">prices </w:t>
      </w:r>
      <w:r w:rsidR="00E57D97" w:rsidRPr="005E1F5B">
        <w:t>paid by consumers</w:t>
      </w:r>
      <w:r w:rsidR="005E1F5B">
        <w:t>.  T</w:t>
      </w:r>
      <w:r w:rsidR="00B81F70" w:rsidRPr="005E1F5B">
        <w:t>he Parliamentary Budget Office (PBO) has not assessed these potential impacts as their timing and magnitude are too uncertain.</w:t>
      </w:r>
    </w:p>
    <w:p w:rsidR="0050132A" w:rsidRPr="00F274DB" w:rsidRDefault="0050132A" w:rsidP="00916F37">
      <w:pPr>
        <w:pStyle w:val="Caption"/>
      </w:pPr>
      <w:r w:rsidRPr="00916F37">
        <w:t xml:space="preserve">Table </w:t>
      </w:r>
      <w:r w:rsidR="006B67D1">
        <w:t>1</w:t>
      </w:r>
      <w:r w:rsidRPr="00916F37">
        <w:t xml:space="preserve">: </w:t>
      </w:r>
      <w:r w:rsidR="00AF7891">
        <w:t xml:space="preserve">Securing the Value of Our Resources </w:t>
      </w:r>
      <w:r w:rsidR="00C871B0">
        <w:t>–</w:t>
      </w:r>
      <w:r w:rsidR="00AC4633">
        <w:t xml:space="preserve"> </w:t>
      </w:r>
      <w:r w:rsidR="00AF7891">
        <w:t>End Fossil Fuel Subsidies</w:t>
      </w:r>
      <w:r w:rsidR="00AF7891" w:rsidRPr="00916F37">
        <w:t xml:space="preserve"> </w:t>
      </w:r>
      <w:r w:rsidR="00C871B0">
        <w:t>–</w:t>
      </w:r>
      <w:r w:rsidR="00AF7891">
        <w:t xml:space="preserve"> </w:t>
      </w:r>
      <w:r w:rsidRPr="00916F37">
        <w:t>Financial implications</w:t>
      </w:r>
      <w:r w:rsidR="00212168">
        <w:t> </w:t>
      </w:r>
      <w:r w:rsidRPr="00916F37">
        <w:t>($m</w:t>
      </w:r>
      <w:r>
        <w:t>)</w:t>
      </w:r>
      <w:r w:rsidRPr="008112CC">
        <w:rPr>
          <w:vertAlign w:val="superscript"/>
        </w:rPr>
        <w:t>(a)(b)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743"/>
        <w:gridCol w:w="1309"/>
        <w:gridCol w:w="1309"/>
        <w:gridCol w:w="1309"/>
        <w:gridCol w:w="1309"/>
        <w:gridCol w:w="1308"/>
      </w:tblGrid>
      <w:tr w:rsidR="00FC65E5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FC65E5" w:rsidRPr="009B70E6" w:rsidRDefault="00FC65E5" w:rsidP="006262CF">
            <w:pPr>
              <w:pStyle w:val="TableHeading"/>
              <w:rPr>
                <w:b w:val="0"/>
                <w:sz w:val="22"/>
              </w:rPr>
            </w:pP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C65E5" w:rsidRPr="009B70E6" w:rsidRDefault="00FC65E5" w:rsidP="00FB6DAD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C65E5" w:rsidRPr="009B70E6" w:rsidRDefault="00FC65E5" w:rsidP="00FB6DAD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2019–20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C65E5" w:rsidRPr="009B70E6" w:rsidRDefault="00FC65E5" w:rsidP="00FB6DAD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2020–21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FC65E5" w:rsidRPr="009B70E6" w:rsidRDefault="00FC65E5" w:rsidP="006262CF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2021–22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FC65E5" w:rsidRPr="009B70E6" w:rsidRDefault="00FC65E5" w:rsidP="00FC65E5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B70E6">
              <w:rPr>
                <w:sz w:val="22"/>
              </w:rPr>
              <w:t>Total to 202</w:t>
            </w:r>
            <w:r>
              <w:rPr>
                <w:sz w:val="22"/>
              </w:rPr>
              <w:t>1</w:t>
            </w:r>
            <w:r w:rsidRPr="009B70E6">
              <w:rPr>
                <w:sz w:val="22"/>
              </w:rPr>
              <w:t>–2</w:t>
            </w:r>
            <w:r>
              <w:rPr>
                <w:sz w:val="22"/>
              </w:rPr>
              <w:t>2</w:t>
            </w:r>
          </w:p>
        </w:tc>
      </w:tr>
      <w:tr w:rsidR="00AB6CB4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AB6CB4" w:rsidRPr="009B70E6" w:rsidRDefault="00AB6CB4" w:rsidP="006262CF">
            <w:pPr>
              <w:pStyle w:val="TableHeading"/>
              <w:rPr>
                <w:rFonts w:asciiTheme="majorHAnsi" w:hAnsiTheme="majorHAnsi"/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AB6CB4" w:rsidRDefault="00AB6C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05" w:type="pct"/>
            <w:vAlign w:val="center"/>
          </w:tcPr>
          <w:p w:rsidR="00AB6CB4" w:rsidRDefault="00E752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</w:t>
            </w:r>
            <w:r w:rsidR="0002639D"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705" w:type="pct"/>
            <w:vAlign w:val="center"/>
          </w:tcPr>
          <w:p w:rsidR="00AB6CB4" w:rsidRDefault="00E752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</w:t>
            </w:r>
            <w:r w:rsidR="0002639D">
              <w:rPr>
                <w:rFonts w:ascii="Calibri" w:hAnsi="Calibri"/>
                <w:color w:val="000000"/>
              </w:rPr>
              <w:t>7</w:t>
            </w: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705" w:type="pct"/>
            <w:vAlign w:val="center"/>
          </w:tcPr>
          <w:p w:rsidR="00AB6CB4" w:rsidRDefault="000263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7,3</w:t>
            </w:r>
            <w:r w:rsidR="00E752BD"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704" w:type="pct"/>
            <w:vAlign w:val="center"/>
          </w:tcPr>
          <w:p w:rsidR="00AB6CB4" w:rsidRDefault="000263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20,6</w:t>
            </w:r>
            <w:r w:rsidR="00E752BD">
              <w:rPr>
                <w:rFonts w:ascii="Calibri" w:hAnsi="Calibri"/>
                <w:b/>
                <w:bCs/>
                <w:color w:val="000000"/>
              </w:rPr>
              <w:t>08</w:t>
            </w:r>
          </w:p>
        </w:tc>
      </w:tr>
      <w:tr w:rsidR="00AB6CB4" w:rsidRPr="009B70E6" w:rsidTr="00013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AB6CB4" w:rsidRPr="009B70E6" w:rsidRDefault="00AB6CB4" w:rsidP="006262CF">
            <w:pPr>
              <w:pStyle w:val="TableHeading"/>
              <w:rPr>
                <w:b w:val="0"/>
                <w:sz w:val="22"/>
              </w:rPr>
            </w:pPr>
            <w:r w:rsidRPr="009B70E6">
              <w:rPr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AB6CB4" w:rsidRDefault="00AB6C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05" w:type="pct"/>
            <w:vAlign w:val="center"/>
          </w:tcPr>
          <w:p w:rsidR="00AB6CB4" w:rsidRDefault="000263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5,8</w:t>
            </w:r>
            <w:r w:rsidR="00E752BD"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705" w:type="pct"/>
            <w:vAlign w:val="center"/>
          </w:tcPr>
          <w:p w:rsidR="00AB6CB4" w:rsidRDefault="000263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6,7</w:t>
            </w:r>
            <w:r w:rsidR="00E752BD"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705" w:type="pct"/>
            <w:vAlign w:val="center"/>
          </w:tcPr>
          <w:p w:rsidR="00AB6CB4" w:rsidRDefault="00E752BD" w:rsidP="000325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</w:t>
            </w:r>
            <w:r w:rsidR="0002639D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704" w:type="pct"/>
            <w:vAlign w:val="center"/>
          </w:tcPr>
          <w:p w:rsidR="00AB6CB4" w:rsidRDefault="000263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19,7</w:t>
            </w:r>
            <w:r w:rsidR="00E752BD">
              <w:rPr>
                <w:rFonts w:ascii="Calibri" w:hAnsi="Calibri"/>
                <w:b/>
                <w:bCs/>
                <w:color w:val="000000"/>
              </w:rPr>
              <w:t>08</w:t>
            </w:r>
          </w:p>
        </w:tc>
      </w:tr>
    </w:tbl>
    <w:p w:rsidR="0050132A" w:rsidRPr="00A162FE" w:rsidRDefault="0050132A" w:rsidP="006262CF">
      <w:pPr>
        <w:keepNext/>
        <w:keepLines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(a)</w:t>
      </w:r>
      <w:r w:rsidRPr="00A162FE">
        <w:rPr>
          <w:sz w:val="20"/>
          <w:szCs w:val="20"/>
        </w:rPr>
        <w:tab/>
        <w:t>A positive number represents an increase in the relevant budget balance; a negative number represents a decrease.</w:t>
      </w:r>
    </w:p>
    <w:p w:rsidR="0050132A" w:rsidRPr="00A162FE" w:rsidRDefault="0050132A" w:rsidP="006262CF">
      <w:pPr>
        <w:keepNext/>
        <w:keepLines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(b)</w:t>
      </w:r>
      <w:r w:rsidRPr="00A162FE">
        <w:rPr>
          <w:sz w:val="20"/>
          <w:szCs w:val="20"/>
        </w:rPr>
        <w:tab/>
        <w:t>Figures may not sum to totals due to rounding.</w:t>
      </w:r>
    </w:p>
    <w:p w:rsidR="0050132A" w:rsidRPr="006262CF" w:rsidRDefault="0050132A" w:rsidP="006262CF">
      <w:pPr>
        <w:pStyle w:val="ListParagraph"/>
        <w:keepLines/>
        <w:numPr>
          <w:ilvl w:val="0"/>
          <w:numId w:val="40"/>
        </w:numPr>
        <w:spacing w:line="260" w:lineRule="atLeast"/>
        <w:ind w:left="284" w:hanging="284"/>
        <w:contextualSpacing w:val="0"/>
        <w:rPr>
          <w:sz w:val="20"/>
          <w:szCs w:val="20"/>
        </w:rPr>
      </w:pPr>
      <w:r w:rsidRPr="006262CF">
        <w:rPr>
          <w:sz w:val="20"/>
          <w:szCs w:val="20"/>
        </w:rPr>
        <w:t>Indicates nil.</w:t>
      </w:r>
    </w:p>
    <w:p w:rsidR="00FE3B13" w:rsidRPr="00CA06C8" w:rsidRDefault="00FE3B13" w:rsidP="00CA06C8">
      <w:pPr>
        <w:pStyle w:val="Heading1"/>
      </w:pPr>
      <w:r w:rsidRPr="00CA06C8">
        <w:t>Key assumptions</w:t>
      </w:r>
    </w:p>
    <w:p w:rsidR="0090176D" w:rsidRDefault="0090176D" w:rsidP="00D25B89">
      <w:pPr>
        <w:pStyle w:val="BodyText"/>
      </w:pPr>
      <w:r>
        <w:t xml:space="preserve">The </w:t>
      </w:r>
      <w:r w:rsidR="00826FD2">
        <w:t>PBO</w:t>
      </w:r>
      <w:r>
        <w:t xml:space="preserve"> has made the following assumptions in costing this proposal.</w:t>
      </w:r>
    </w:p>
    <w:p w:rsidR="006C3668" w:rsidRDefault="00AC4633" w:rsidP="006B67D1">
      <w:pPr>
        <w:pStyle w:val="Heading2"/>
      </w:pPr>
      <w:r>
        <w:t>Component</w:t>
      </w:r>
      <w:r w:rsidR="00013632">
        <w:t xml:space="preserve"> 1 – Abolition</w:t>
      </w:r>
      <w:r w:rsidR="006B67D1">
        <w:t xml:space="preserve"> of </w:t>
      </w:r>
      <w:r w:rsidR="00684DFA">
        <w:t>fuel tax credits</w:t>
      </w:r>
    </w:p>
    <w:p w:rsidR="00857C91" w:rsidRDefault="005A2DA7" w:rsidP="006B67D1">
      <w:pPr>
        <w:pStyle w:val="ListBullet"/>
      </w:pPr>
      <w:r>
        <w:t>B</w:t>
      </w:r>
      <w:r w:rsidR="006B67D1" w:rsidRPr="006B67D1">
        <w:t>usiness</w:t>
      </w:r>
      <w:r>
        <w:t xml:space="preserve">es would not change </w:t>
      </w:r>
      <w:r w:rsidR="006B67D1" w:rsidRPr="006B67D1">
        <w:t>fuel usage as a result of th</w:t>
      </w:r>
      <w:r w:rsidR="002147B1">
        <w:t>is</w:t>
      </w:r>
      <w:r w:rsidR="006B67D1" w:rsidRPr="006B67D1">
        <w:t xml:space="preserve"> proposal.</w:t>
      </w:r>
    </w:p>
    <w:p w:rsidR="006B67D1" w:rsidRDefault="006B67D1" w:rsidP="006B67D1">
      <w:pPr>
        <w:pStyle w:val="ListBullet"/>
      </w:pPr>
      <w:r>
        <w:t xml:space="preserve">On an underlying cash balance basis, </w:t>
      </w:r>
      <w:r w:rsidR="0097580A">
        <w:t>fu</w:t>
      </w:r>
      <w:r w:rsidR="007F65B3">
        <w:t>e</w:t>
      </w:r>
      <w:r w:rsidR="0097580A">
        <w:t>l tax credits</w:t>
      </w:r>
      <w:r>
        <w:t xml:space="preserve"> are recognised when </w:t>
      </w:r>
      <w:r w:rsidR="0097580A">
        <w:t>businesses receive them from</w:t>
      </w:r>
      <w:r>
        <w:t xml:space="preserve"> the Australian Taxation Office (ATO). </w:t>
      </w:r>
      <w:r w:rsidR="0097580A">
        <w:t xml:space="preserve"> </w:t>
      </w:r>
      <w:r>
        <w:t xml:space="preserve">It is assumed that </w:t>
      </w:r>
      <w:r w:rsidR="0097580A">
        <w:t>the majority of</w:t>
      </w:r>
      <w:r>
        <w:t xml:space="preserve"> </w:t>
      </w:r>
      <w:r w:rsidR="0097580A">
        <w:t>fuel tax credits are</w:t>
      </w:r>
      <w:r>
        <w:t xml:space="preserve"> paid in the year </w:t>
      </w:r>
      <w:r w:rsidR="0097580A">
        <w:t>of fuel purchases</w:t>
      </w:r>
      <w:r w:rsidR="00C9107C">
        <w:t>,</w:t>
      </w:r>
      <w:r w:rsidR="0097580A">
        <w:t xml:space="preserve"> </w:t>
      </w:r>
      <w:r>
        <w:t xml:space="preserve">with the remainder paid in the following year. </w:t>
      </w:r>
      <w:r w:rsidR="0097580A">
        <w:t xml:space="preserve"> </w:t>
      </w:r>
      <w:r>
        <w:t xml:space="preserve">This reflects the fact that </w:t>
      </w:r>
      <w:r w:rsidR="0097580A">
        <w:t xml:space="preserve">fuel tax credit </w:t>
      </w:r>
      <w:r>
        <w:t xml:space="preserve">payments are made by the ATO in arrears, and accounts for the fact that businesses generally submit their </w:t>
      </w:r>
      <w:r w:rsidR="0097580A">
        <w:t>fuel tax credit</w:t>
      </w:r>
      <w:r>
        <w:t xml:space="preserve"> claim</w:t>
      </w:r>
      <w:r w:rsidR="0097580A">
        <w:t>s</w:t>
      </w:r>
      <w:r>
        <w:t xml:space="preserve"> along with their Goods and Services Tax (GST) return</w:t>
      </w:r>
      <w:r w:rsidR="0097580A">
        <w:t>s</w:t>
      </w:r>
      <w:r>
        <w:t>, either annually, quarterly, or monthly.</w:t>
      </w:r>
    </w:p>
    <w:p w:rsidR="006B67D1" w:rsidRPr="006B67D1" w:rsidRDefault="006B67D1" w:rsidP="006B67D1">
      <w:pPr>
        <w:pStyle w:val="ListBullet"/>
      </w:pPr>
      <w:r>
        <w:rPr>
          <w:rFonts w:ascii="Calibri" w:hAnsi="Calibri" w:cs="Calibri"/>
        </w:rPr>
        <w:t xml:space="preserve">Agriculture represents approximately 12 per cent of </w:t>
      </w:r>
      <w:r w:rsidR="0097580A">
        <w:rPr>
          <w:rFonts w:ascii="Calibri" w:hAnsi="Calibri" w:cs="Calibri"/>
        </w:rPr>
        <w:t>fuel tax credit</w:t>
      </w:r>
      <w:r>
        <w:rPr>
          <w:rFonts w:ascii="Calibri" w:hAnsi="Calibri" w:cs="Calibri"/>
        </w:rPr>
        <w:t xml:space="preserve"> claims</w:t>
      </w:r>
      <w:r w:rsidR="008359CF">
        <w:rPr>
          <w:rFonts w:ascii="Calibri" w:hAnsi="Calibri" w:cs="Calibri"/>
        </w:rPr>
        <w:t xml:space="preserve"> based on historical</w:t>
      </w:r>
      <w:r w:rsidR="0097580A">
        <w:rPr>
          <w:rFonts w:ascii="Calibri" w:hAnsi="Calibri" w:cs="Calibri"/>
        </w:rPr>
        <w:t xml:space="preserve"> data</w:t>
      </w:r>
      <w:r>
        <w:rPr>
          <w:rFonts w:ascii="Calibri" w:hAnsi="Calibri" w:cs="Calibri"/>
        </w:rPr>
        <w:t>.</w:t>
      </w:r>
    </w:p>
    <w:p w:rsidR="006B67D1" w:rsidRDefault="00AC4633" w:rsidP="006B67D1">
      <w:pPr>
        <w:pStyle w:val="Heading2"/>
      </w:pPr>
      <w:r>
        <w:t>Component</w:t>
      </w:r>
      <w:r w:rsidR="00013632">
        <w:t xml:space="preserve"> 2 – A</w:t>
      </w:r>
      <w:r w:rsidR="006B67D1" w:rsidRPr="006B67D1">
        <w:t>bolition of accelerated asset depreciation</w:t>
      </w:r>
    </w:p>
    <w:p w:rsidR="006B67D1" w:rsidRDefault="005A2DA7" w:rsidP="006B67D1">
      <w:pPr>
        <w:pStyle w:val="ListBullet"/>
      </w:pPr>
      <w:r>
        <w:t>T</w:t>
      </w:r>
      <w:r w:rsidR="006B67D1">
        <w:t xml:space="preserve">here </w:t>
      </w:r>
      <w:r w:rsidR="000D6F37">
        <w:t>would be</w:t>
      </w:r>
      <w:r w:rsidR="006B67D1">
        <w:t xml:space="preserve"> no change to the overall level or timing of investment in assets as a result of this proposal.</w:t>
      </w:r>
    </w:p>
    <w:p w:rsidR="006B67D1" w:rsidRDefault="006B67D1" w:rsidP="006B67D1">
      <w:pPr>
        <w:pStyle w:val="ListBullet"/>
      </w:pPr>
      <w:r>
        <w:t xml:space="preserve">Where there are varying </w:t>
      </w:r>
      <w:r w:rsidR="000D6F37">
        <w:t>statutory</w:t>
      </w:r>
      <w:r>
        <w:t xml:space="preserve"> effective li</w:t>
      </w:r>
      <w:r w:rsidR="000D6F37">
        <w:t>fe caps</w:t>
      </w:r>
      <w:r>
        <w:t xml:space="preserve"> for the same category of asset, an average </w:t>
      </w:r>
      <w:r w:rsidR="005A2DA7">
        <w:t>is</w:t>
      </w:r>
      <w:r>
        <w:t xml:space="preserve"> taken to arrive at the </w:t>
      </w:r>
      <w:r w:rsidR="000D6F37">
        <w:t>statutory effective life</w:t>
      </w:r>
      <w:r>
        <w:t>.</w:t>
      </w:r>
    </w:p>
    <w:p w:rsidR="006B67D1" w:rsidRDefault="006B67D1" w:rsidP="006B67D1">
      <w:pPr>
        <w:pStyle w:val="ListBullet"/>
      </w:pPr>
      <w:r w:rsidRPr="006B67D1">
        <w:lastRenderedPageBreak/>
        <w:t>Assets are assumed to be purchased evenly throughout the year.</w:t>
      </w:r>
    </w:p>
    <w:p w:rsidR="006B67D1" w:rsidRDefault="006B67D1" w:rsidP="006B67D1">
      <w:pPr>
        <w:pStyle w:val="ListBullet"/>
      </w:pPr>
      <w:r w:rsidRPr="006B67D1">
        <w:t>Taxpayers are assumed to utilise deductions according to the following profile:</w:t>
      </w:r>
    </w:p>
    <w:p w:rsidR="006B67D1" w:rsidRDefault="006B67D1" w:rsidP="006B67D1">
      <w:pPr>
        <w:pStyle w:val="ListBullet2"/>
      </w:pPr>
      <w:r w:rsidRPr="006B67D1">
        <w:t>75 per cent are taxable in the year they purchase the depreciable assets</w:t>
      </w:r>
    </w:p>
    <w:p w:rsidR="006B67D1" w:rsidRDefault="006B67D1" w:rsidP="006B67D1">
      <w:pPr>
        <w:pStyle w:val="ListBullet2"/>
      </w:pPr>
      <w:r w:rsidRPr="006B67D1">
        <w:t>15 per cent become taxable in the year after they purchased the asset</w:t>
      </w:r>
    </w:p>
    <w:p w:rsidR="006B67D1" w:rsidRDefault="006B67D1" w:rsidP="006B67D1">
      <w:pPr>
        <w:pStyle w:val="ListBullet2"/>
      </w:pPr>
      <w:r w:rsidRPr="006B67D1">
        <w:t>5 per cent become taxable two years after they purchased the asset.</w:t>
      </w:r>
    </w:p>
    <w:p w:rsidR="006B67D1" w:rsidRDefault="006B67D1" w:rsidP="006B67D1">
      <w:pPr>
        <w:pStyle w:val="ListBullet"/>
      </w:pPr>
      <w:r w:rsidRPr="006B67D1">
        <w:t>10 per cent of vehicles are assumed to be used for agricultural purposes.</w:t>
      </w:r>
    </w:p>
    <w:p w:rsidR="006B67D1" w:rsidRDefault="00AC4633" w:rsidP="006B67D1">
      <w:pPr>
        <w:pStyle w:val="Heading2"/>
      </w:pPr>
      <w:r>
        <w:t>Component</w:t>
      </w:r>
      <w:r w:rsidR="00013632">
        <w:t xml:space="preserve"> 3 – Abolition</w:t>
      </w:r>
      <w:r w:rsidR="006B67D1">
        <w:t xml:space="preserve"> of the immediate deduction for exploration and prospecting</w:t>
      </w:r>
    </w:p>
    <w:p w:rsidR="006B67D1" w:rsidRDefault="000D6F37" w:rsidP="006B67D1">
      <w:pPr>
        <w:pStyle w:val="ListBullet"/>
      </w:pPr>
      <w:r>
        <w:t xml:space="preserve">Only taxable entities </w:t>
      </w:r>
      <w:r w:rsidR="006B67D1">
        <w:t>are assumed to utilise deductions associated with exploration and prospecting.</w:t>
      </w:r>
    </w:p>
    <w:p w:rsidR="006B67D1" w:rsidRDefault="006B67D1" w:rsidP="006B67D1">
      <w:pPr>
        <w:pStyle w:val="ListBullet"/>
      </w:pPr>
      <w:r>
        <w:t>Exploration and prospecting assets are assumed to have a 15-year effective life under the proposal.</w:t>
      </w:r>
    </w:p>
    <w:p w:rsidR="006B67D1" w:rsidRDefault="00AC4633" w:rsidP="006B67D1">
      <w:pPr>
        <w:pStyle w:val="Heading2"/>
      </w:pPr>
      <w:r>
        <w:t>Component</w:t>
      </w:r>
      <w:r w:rsidR="00013632">
        <w:t xml:space="preserve"> 4 – Abolition</w:t>
      </w:r>
      <w:r w:rsidR="006B67D1" w:rsidRPr="006B67D1">
        <w:t xml:space="preserve"> of the </w:t>
      </w:r>
      <w:r w:rsidR="00D25B89">
        <w:t>Australia-China Science and Research Fund</w:t>
      </w:r>
    </w:p>
    <w:p w:rsidR="006B67D1" w:rsidRDefault="005A2DA7" w:rsidP="006B67D1">
      <w:pPr>
        <w:pStyle w:val="ListBullet"/>
      </w:pPr>
      <w:r>
        <w:t>C</w:t>
      </w:r>
      <w:r w:rsidR="006B67D1">
        <w:t>ontracts already signed by the Department of Industry, Innovation and Science (DIIS) would be honoured.</w:t>
      </w:r>
    </w:p>
    <w:p w:rsidR="006B67D1" w:rsidRDefault="006B67D1" w:rsidP="006B67D1">
      <w:pPr>
        <w:pStyle w:val="ListBullet"/>
      </w:pPr>
      <w:r w:rsidRPr="006B67D1">
        <w:t xml:space="preserve">The percentage of contracts that </w:t>
      </w:r>
      <w:r w:rsidR="00EE1550">
        <w:t>have been committed</w:t>
      </w:r>
      <w:r w:rsidR="000D6F37">
        <w:t xml:space="preserve"> as of the start date</w:t>
      </w:r>
      <w:r w:rsidR="00EE1550">
        <w:t xml:space="preserve"> </w:t>
      </w:r>
      <w:r w:rsidR="00665A3C">
        <w:t>would be the same as</w:t>
      </w:r>
      <w:r w:rsidRPr="006B67D1">
        <w:t xml:space="preserve"> </w:t>
      </w:r>
      <w:r w:rsidR="00826318">
        <w:t xml:space="preserve">the </w:t>
      </w:r>
      <w:r w:rsidRPr="006B67D1">
        <w:t>historical average.</w:t>
      </w:r>
    </w:p>
    <w:p w:rsidR="00FE3B13" w:rsidRDefault="00FE3B13" w:rsidP="0056001A">
      <w:pPr>
        <w:pStyle w:val="Heading1"/>
      </w:pPr>
      <w:r>
        <w:t>Methodology</w:t>
      </w:r>
    </w:p>
    <w:p w:rsidR="00B65F9A" w:rsidRPr="00B65F9A" w:rsidRDefault="00AC4633" w:rsidP="00B65F9A">
      <w:pPr>
        <w:pStyle w:val="Heading2"/>
      </w:pPr>
      <w:r>
        <w:t>Component</w:t>
      </w:r>
      <w:r w:rsidR="00013632">
        <w:t xml:space="preserve"> 1 – </w:t>
      </w:r>
      <w:r w:rsidR="000D6F37">
        <w:t>A</w:t>
      </w:r>
      <w:r w:rsidR="00CA2271">
        <w:t>bolition of fuel tax credit</w:t>
      </w:r>
      <w:r w:rsidR="00B65F9A" w:rsidRPr="00B65F9A">
        <w:t>s</w:t>
      </w:r>
    </w:p>
    <w:p w:rsidR="005467E2" w:rsidRDefault="00730D57" w:rsidP="00B65F9A">
      <w:pPr>
        <w:pStyle w:val="BodyText"/>
      </w:pPr>
      <w:r>
        <w:t>The 2018-19 Budget</w:t>
      </w:r>
      <w:r w:rsidR="00B65F9A">
        <w:t xml:space="preserve"> forward estimates for </w:t>
      </w:r>
      <w:r w:rsidR="005A2DA7">
        <w:t xml:space="preserve">fuel tax credit </w:t>
      </w:r>
      <w:r w:rsidR="00B65F9A">
        <w:t xml:space="preserve">expenses were </w:t>
      </w:r>
      <w:r>
        <w:t xml:space="preserve">projected over the period to 2028-29 with </w:t>
      </w:r>
      <w:r w:rsidR="00A513DE">
        <w:t xml:space="preserve">the </w:t>
      </w:r>
      <w:r>
        <w:t xml:space="preserve">PBO’s estimated growth rates for fuel tax credits.  The estimates were then </w:t>
      </w:r>
      <w:r w:rsidR="00B65F9A">
        <w:t>adjusted to</w:t>
      </w:r>
      <w:r w:rsidR="00A513DE">
        <w:t xml:space="preserve"> remove expected claims </w:t>
      </w:r>
      <w:r w:rsidR="00B65F9A">
        <w:t>from agricultural entities.</w:t>
      </w:r>
    </w:p>
    <w:p w:rsidR="00B65F9A" w:rsidRDefault="00AC4633" w:rsidP="00B65F9A">
      <w:pPr>
        <w:pStyle w:val="Heading2"/>
      </w:pPr>
      <w:r>
        <w:t>Component</w:t>
      </w:r>
      <w:r w:rsidR="00013632">
        <w:t xml:space="preserve">s 2 and 3 – </w:t>
      </w:r>
      <w:r w:rsidR="000D6F37">
        <w:t>A</w:t>
      </w:r>
      <w:r w:rsidR="00B65F9A">
        <w:t>bolition of accelerated asset depreciation and the immediate deduction for exploration and prospecting</w:t>
      </w:r>
    </w:p>
    <w:p w:rsidR="00B65F9A" w:rsidRDefault="00B65F9A" w:rsidP="00B65F9A">
      <w:pPr>
        <w:pStyle w:val="BodyText"/>
      </w:pPr>
      <w:r>
        <w:t xml:space="preserve">The impact of these </w:t>
      </w:r>
      <w:r w:rsidR="00AC4633">
        <w:t>component</w:t>
      </w:r>
      <w:r w:rsidR="005A2DA7">
        <w:t xml:space="preserve">s </w:t>
      </w:r>
      <w:r>
        <w:t>was estimated by calculating the impact of total deductions expected under the proposal less the impact of total deductions currently expected.</w:t>
      </w:r>
    </w:p>
    <w:p w:rsidR="00B65F9A" w:rsidRDefault="00AC4633" w:rsidP="00B65F9A">
      <w:pPr>
        <w:pStyle w:val="Heading2"/>
      </w:pPr>
      <w:r>
        <w:t>Component</w:t>
      </w:r>
      <w:r w:rsidR="00013632">
        <w:t xml:space="preserve"> 4 – </w:t>
      </w:r>
      <w:r w:rsidR="000D6F37">
        <w:t>A</w:t>
      </w:r>
      <w:r w:rsidR="00B65F9A" w:rsidRPr="00B65F9A">
        <w:t xml:space="preserve">bolition of the </w:t>
      </w:r>
      <w:r w:rsidR="00D25B89">
        <w:t>Australia-China Science and Research Fund</w:t>
      </w:r>
    </w:p>
    <w:p w:rsidR="00B65F9A" w:rsidRDefault="00B65F9A" w:rsidP="00B65F9A">
      <w:pPr>
        <w:pStyle w:val="BodyText"/>
      </w:pPr>
      <w:r>
        <w:t xml:space="preserve">The impact of this </w:t>
      </w:r>
      <w:r w:rsidR="00AC4633">
        <w:t>component</w:t>
      </w:r>
      <w:r>
        <w:t xml:space="preserve"> was estimated by reversing the </w:t>
      </w:r>
      <w:r w:rsidR="00826318">
        <w:t>2018</w:t>
      </w:r>
      <w:r w:rsidR="00826318">
        <w:noBreakHyphen/>
        <w:t xml:space="preserve">19 Budget </w:t>
      </w:r>
      <w:r>
        <w:t xml:space="preserve">forward estimates for the </w:t>
      </w:r>
      <w:r w:rsidR="00826FD2">
        <w:t>Australia</w:t>
      </w:r>
      <w:r w:rsidR="00826318">
        <w:noBreakHyphen/>
      </w:r>
      <w:r w:rsidR="00826FD2">
        <w:t>China Science and Research Fund</w:t>
      </w:r>
      <w:r>
        <w:t xml:space="preserve">, less the estimated amount of funds that have been contractually </w:t>
      </w:r>
      <w:r w:rsidR="00826318">
        <w:t>committed</w:t>
      </w:r>
      <w:r>
        <w:t xml:space="preserve">. </w:t>
      </w:r>
      <w:r w:rsidR="005A2DA7">
        <w:t xml:space="preserve"> </w:t>
      </w:r>
      <w:r>
        <w:t xml:space="preserve">The amount of committed funds was based on data provided by DIIS. </w:t>
      </w:r>
      <w:r w:rsidR="005A2DA7">
        <w:t xml:space="preserve"> </w:t>
      </w:r>
      <w:r>
        <w:t xml:space="preserve">Departmental savings for this </w:t>
      </w:r>
      <w:r w:rsidR="00AC4633">
        <w:t>component</w:t>
      </w:r>
      <w:r>
        <w:t xml:space="preserve"> of the </w:t>
      </w:r>
      <w:r w:rsidR="005A2DA7">
        <w:t>proposal</w:t>
      </w:r>
      <w:r>
        <w:t xml:space="preserve"> were based on data provided by DIIS.</w:t>
      </w:r>
    </w:p>
    <w:p w:rsidR="00B603DE" w:rsidRPr="00D07878" w:rsidRDefault="00B603DE" w:rsidP="00D078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estimates have been rounded to the nearest $100 million, except for </w:t>
      </w:r>
      <w:r w:rsidR="001265EC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impacts resulting from </w:t>
      </w:r>
      <w:r w:rsidR="00FB6303">
        <w:rPr>
          <w:rFonts w:ascii="Calibri" w:hAnsi="Calibri" w:cs="Calibri"/>
        </w:rPr>
        <w:t>abolishing</w:t>
      </w:r>
      <w:r>
        <w:rPr>
          <w:rFonts w:ascii="Calibri" w:hAnsi="Calibri" w:cs="Calibri"/>
        </w:rPr>
        <w:t xml:space="preserve"> the </w:t>
      </w:r>
      <w:r>
        <w:t>Australia-China Science and Research Fund</w:t>
      </w:r>
      <w:r w:rsidR="00C9107C">
        <w:t>,</w:t>
      </w:r>
      <w:r>
        <w:rPr>
          <w:rFonts w:ascii="Calibri" w:hAnsi="Calibri" w:cs="Calibri"/>
        </w:rPr>
        <w:t xml:space="preserve"> which have been rounded to the nearest $0.1 million.</w:t>
      </w:r>
    </w:p>
    <w:p w:rsidR="00FE3B13" w:rsidRDefault="00FE3B13" w:rsidP="00FE3B13">
      <w:pPr>
        <w:pStyle w:val="Heading1"/>
      </w:pPr>
      <w:r>
        <w:t>Data sources</w:t>
      </w:r>
    </w:p>
    <w:p w:rsidR="00B65F9A" w:rsidRDefault="00B65F9A" w:rsidP="00A7679F">
      <w:pPr>
        <w:pStyle w:val="BodyText"/>
      </w:pPr>
      <w:r>
        <w:t>The ATO p</w:t>
      </w:r>
      <w:r w:rsidR="00CA2271">
        <w:t>rovided fuel excise data and fuel tax credit</w:t>
      </w:r>
      <w:r>
        <w:t xml:space="preserve"> estimates </w:t>
      </w:r>
      <w:r w:rsidR="00CC7906">
        <w:t xml:space="preserve">as at </w:t>
      </w:r>
      <w:r>
        <w:t>the 2018-19 Budget.</w:t>
      </w:r>
    </w:p>
    <w:p w:rsidR="00CC7906" w:rsidRDefault="00CC7906" w:rsidP="00A7679F">
      <w:pPr>
        <w:pStyle w:val="BodyText"/>
      </w:pPr>
      <w:r>
        <w:t xml:space="preserve">The DIIS provided data relating to the </w:t>
      </w:r>
      <w:r w:rsidR="00D25B89">
        <w:t>Australia-China Science and Research Fund</w:t>
      </w:r>
      <w:r>
        <w:t>.</w:t>
      </w:r>
    </w:p>
    <w:p w:rsidR="00B65F9A" w:rsidRDefault="00CC7906" w:rsidP="00A7679F">
      <w:pPr>
        <w:pStyle w:val="BodyText"/>
      </w:pPr>
      <w:r>
        <w:lastRenderedPageBreak/>
        <w:t xml:space="preserve">The Treasury provided </w:t>
      </w:r>
      <w:r w:rsidR="003B44A7">
        <w:t xml:space="preserve">the </w:t>
      </w:r>
      <w:r w:rsidR="0030090B">
        <w:t>2</w:t>
      </w:r>
      <w:r w:rsidR="00FC1EC3">
        <w:t>017</w:t>
      </w:r>
      <w:r w:rsidR="0030090B">
        <w:t xml:space="preserve"> </w:t>
      </w:r>
      <w:r w:rsidR="003B44A7">
        <w:t xml:space="preserve">Tax Expenditures Statement </w:t>
      </w:r>
      <w:r>
        <w:t xml:space="preserve">models </w:t>
      </w:r>
      <w:r w:rsidR="00B65F9A">
        <w:t>on business</w:t>
      </w:r>
      <w:r>
        <w:t xml:space="preserve"> depreciating asset expenditure and </w:t>
      </w:r>
      <w:r w:rsidRPr="00CC7906">
        <w:t>exploration and prospecting</w:t>
      </w:r>
      <w:r>
        <w:t xml:space="preserve"> deductions.</w:t>
      </w:r>
    </w:p>
    <w:p w:rsidR="00CC7906" w:rsidRDefault="000E792A" w:rsidP="00A7679F">
      <w:pPr>
        <w:pStyle w:val="BodyText"/>
      </w:pPr>
      <w:proofErr w:type="gramStart"/>
      <w:r>
        <w:t>ATO</w:t>
      </w:r>
      <w:r w:rsidR="00CC7906">
        <w:t xml:space="preserve">, </w:t>
      </w:r>
      <w:r w:rsidR="00A57D6D">
        <w:t>2018.</w:t>
      </w:r>
      <w:proofErr w:type="gramEnd"/>
      <w:r w:rsidR="00A57D6D">
        <w:t xml:space="preserve"> </w:t>
      </w:r>
      <w:r w:rsidR="00A57D6D">
        <w:rPr>
          <w:i/>
        </w:rPr>
        <w:t xml:space="preserve">Taxation Statistics </w:t>
      </w:r>
      <w:r w:rsidR="00CC7906" w:rsidRPr="00BE2F25">
        <w:rPr>
          <w:i/>
        </w:rPr>
        <w:t>2015-16</w:t>
      </w:r>
      <w:r w:rsidR="00BE2F25">
        <w:t>, Canberra: Commonwealth of Australia.</w:t>
      </w:r>
    </w:p>
    <w:p w:rsidR="00A7679F" w:rsidRDefault="00A7679F" w:rsidP="00A7679F">
      <w:pPr>
        <w:pStyle w:val="BodyTex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Commonwealth of Australia, 2018.</w:t>
      </w:r>
      <w:proofErr w:type="gramEnd"/>
      <w:r>
        <w:rPr>
          <w:rFonts w:ascii="Calibri" w:hAnsi="Calibri" w:cs="Calibri"/>
        </w:rPr>
        <w:t xml:space="preserve"> </w:t>
      </w:r>
      <w:r w:rsidR="005A2DA7" w:rsidRPr="00D25B89">
        <w:rPr>
          <w:rFonts w:ascii="Calibri" w:hAnsi="Calibri" w:cs="Calibri"/>
          <w:i/>
        </w:rPr>
        <w:t xml:space="preserve">Budget </w:t>
      </w:r>
      <w:r w:rsidRPr="00D25B89">
        <w:rPr>
          <w:i/>
        </w:rPr>
        <w:t>2018-19</w:t>
      </w:r>
      <w:r>
        <w:rPr>
          <w:rFonts w:ascii="Calibri" w:hAnsi="Calibri" w:cs="Calibri"/>
        </w:rPr>
        <w:t>, Canberra: Commonwealth of Australia.</w:t>
      </w:r>
    </w:p>
    <w:p w:rsidR="00CC7906" w:rsidRPr="00A7679F" w:rsidRDefault="00CC7906" w:rsidP="00A7679F">
      <w:pPr>
        <w:pStyle w:val="BodyText"/>
        <w:rPr>
          <w:rFonts w:ascii="Calibri" w:hAnsi="Calibri" w:cs="Calibri"/>
        </w:rPr>
      </w:pPr>
      <w:proofErr w:type="gramStart"/>
      <w:r w:rsidRPr="00CC7906">
        <w:t>Commonwealth of Australia, 201</w:t>
      </w:r>
      <w:r>
        <w:t>8</w:t>
      </w:r>
      <w:r w:rsidRPr="00CC7906">
        <w:t>.</w:t>
      </w:r>
      <w:proofErr w:type="gramEnd"/>
      <w:r w:rsidRPr="00CC7906">
        <w:t xml:space="preserve"> </w:t>
      </w:r>
      <w:r w:rsidR="005A2DA7" w:rsidRPr="00D25B89">
        <w:rPr>
          <w:i/>
        </w:rPr>
        <w:t xml:space="preserve">Budget </w:t>
      </w:r>
      <w:r w:rsidRPr="00D25B89">
        <w:rPr>
          <w:i/>
        </w:rPr>
        <w:t>2018-19</w:t>
      </w:r>
      <w:r w:rsidR="005A2DA7">
        <w:rPr>
          <w:i/>
        </w:rPr>
        <w:t xml:space="preserve"> —</w:t>
      </w:r>
      <w:r w:rsidRPr="00D25B89">
        <w:rPr>
          <w:i/>
        </w:rPr>
        <w:t xml:space="preserve"> Portfolio Budget Statements 2018-19</w:t>
      </w:r>
      <w:r w:rsidR="005A2DA7">
        <w:rPr>
          <w:i/>
        </w:rPr>
        <w:t xml:space="preserve"> —</w:t>
      </w:r>
      <w:r w:rsidRPr="00D25B89">
        <w:rPr>
          <w:i/>
        </w:rPr>
        <w:t xml:space="preserve"> Budget Related Paper No. 1.13A: Jobs and Innovation Portfolio (Industry, Innovation and Science)</w:t>
      </w:r>
      <w:r w:rsidRPr="00CC7906">
        <w:t>, Canberra: Commonwealth of Australia.</w:t>
      </w:r>
    </w:p>
    <w:p w:rsidR="0046444F" w:rsidRDefault="000E792A" w:rsidP="00B311BA">
      <w:pPr>
        <w:pStyle w:val="BodyText"/>
      </w:pPr>
      <w:proofErr w:type="gramStart"/>
      <w:r>
        <w:t>DIIS</w:t>
      </w:r>
      <w:r w:rsidR="005A2DA7">
        <w:t>,</w:t>
      </w:r>
      <w:r w:rsidR="00A7679F" w:rsidRPr="00A7679F">
        <w:t xml:space="preserve"> 2018.</w:t>
      </w:r>
      <w:proofErr w:type="gramEnd"/>
      <w:r w:rsidR="00A7679F" w:rsidRPr="00A7679F">
        <w:t xml:space="preserve"> </w:t>
      </w:r>
      <w:r w:rsidR="00A7679F" w:rsidRPr="00D25B89">
        <w:rPr>
          <w:i/>
        </w:rPr>
        <w:t>Resources and Energy Quarterly</w:t>
      </w:r>
      <w:r w:rsidR="00A7679F" w:rsidRPr="00A7679F">
        <w:t xml:space="preserve">, March 2018. </w:t>
      </w:r>
    </w:p>
    <w:p w:rsidR="00EE031F" w:rsidRDefault="00A7679F" w:rsidP="00A7679F">
      <w:pPr>
        <w:pStyle w:val="BodyText"/>
        <w:sectPr w:rsidR="00EE031F" w:rsidSect="00EE031F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418" w:bottom="1134" w:left="1418" w:header="284" w:footer="454" w:gutter="0"/>
          <w:pgNumType w:start="1"/>
          <w:cols w:space="708"/>
          <w:formProt w:val="0"/>
          <w:titlePg/>
          <w:docGrid w:linePitch="360"/>
        </w:sectPr>
      </w:pPr>
      <w:proofErr w:type="gramStart"/>
      <w:r w:rsidRPr="00A7679F">
        <w:t>The Treasury, 2009.</w:t>
      </w:r>
      <w:proofErr w:type="gramEnd"/>
      <w:r w:rsidRPr="00A7679F">
        <w:t xml:space="preserve"> </w:t>
      </w:r>
      <w:r w:rsidRPr="00D25B89">
        <w:rPr>
          <w:i/>
        </w:rPr>
        <w:t xml:space="preserve">Australia’s Future Tax System – Part 2 </w:t>
      </w:r>
      <w:r w:rsidR="005A2DA7">
        <w:rPr>
          <w:i/>
        </w:rPr>
        <w:t xml:space="preserve">— </w:t>
      </w:r>
      <w:r w:rsidRPr="00D25B89">
        <w:rPr>
          <w:i/>
        </w:rPr>
        <w:t>Detailed Analysis</w:t>
      </w:r>
      <w:r w:rsidRPr="00A7679F">
        <w:t>, Canberra:</w:t>
      </w:r>
      <w:r>
        <w:t xml:space="preserve"> </w:t>
      </w:r>
      <w:r w:rsidRPr="00A7679F">
        <w:t>Commonwealth of Australia.</w:t>
      </w:r>
    </w:p>
    <w:p w:rsidR="009630F6" w:rsidRDefault="009630F6" w:rsidP="00CC7906">
      <w:pPr>
        <w:pStyle w:val="Heading8"/>
      </w:pPr>
      <w:r w:rsidRPr="002D239A">
        <w:lastRenderedPageBreak/>
        <w:t xml:space="preserve">– </w:t>
      </w:r>
      <w:r w:rsidR="00AF7891">
        <w:t>Securing the Value of Our Resources –</w:t>
      </w:r>
      <w:r w:rsidR="00AC4633">
        <w:t xml:space="preserve"> </w:t>
      </w:r>
      <w:r w:rsidR="00AF7891">
        <w:t xml:space="preserve">End Fossil Fuel Subsidies </w:t>
      </w:r>
      <w:r>
        <w:t xml:space="preserve">– </w:t>
      </w:r>
      <w:r w:rsidRPr="00482F63">
        <w:t>financial</w:t>
      </w:r>
      <w:r w:rsidRPr="002D239A">
        <w:t> implications</w:t>
      </w:r>
    </w:p>
    <w:p w:rsidR="008B5631" w:rsidRDefault="008B5631" w:rsidP="00FB6DAD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r w:rsidR="00327048">
        <w:fldChar w:fldCharType="begin"/>
      </w:r>
      <w:r w:rsidR="00327048">
        <w:instrText xml:space="preserve"> STYLEREF 8 \s </w:instrText>
      </w:r>
      <w:r w:rsidR="00327048">
        <w:fldChar w:fldCharType="separate"/>
      </w:r>
      <w:r w:rsidR="0088555B">
        <w:rPr>
          <w:noProof/>
        </w:rPr>
        <w:t>A</w:t>
      </w:r>
      <w:r w:rsidR="00327048">
        <w:rPr>
          <w:noProof/>
        </w:rPr>
        <w:fldChar w:fldCharType="end"/>
      </w:r>
      <w:r w:rsidR="00327048">
        <w:fldChar w:fldCharType="begin"/>
      </w:r>
      <w:r w:rsidR="00327048">
        <w:instrText xml:space="preserve"> SEQ AppendixTable\s 8 </w:instrText>
      </w:r>
      <w:r w:rsidR="00327048">
        <w:fldChar w:fldCharType="separate"/>
      </w:r>
      <w:r w:rsidR="0088555B">
        <w:rPr>
          <w:noProof/>
        </w:rPr>
        <w:t>1</w:t>
      </w:r>
      <w:r w:rsidR="00327048">
        <w:rPr>
          <w:noProof/>
        </w:rPr>
        <w:fldChar w:fldCharType="end"/>
      </w:r>
      <w:r w:rsidRPr="002D239A">
        <w:t xml:space="preserve">: </w:t>
      </w:r>
      <w:r w:rsidR="00AF7891">
        <w:t>Secur</w:t>
      </w:r>
      <w:r w:rsidR="00EF090D">
        <w:t xml:space="preserve">ing the Value of Our Resources </w:t>
      </w:r>
      <w:r w:rsidR="00363F29">
        <w:t>–</w:t>
      </w:r>
      <w:r w:rsidR="00AF7891">
        <w:t xml:space="preserve"> End Fossil Fuel Subsidies </w:t>
      </w:r>
      <w:r w:rsidR="00363F29">
        <w:t>–</w:t>
      </w:r>
      <w:r>
        <w:t xml:space="preserve"> Fiscal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0" w:type="pct"/>
        <w:tblLayout w:type="fixed"/>
        <w:tblLook w:val="0680" w:firstRow="0" w:lastRow="0" w:firstColumn="1" w:lastColumn="0" w:noHBand="1" w:noVBand="1"/>
      </w:tblPr>
      <w:tblGrid>
        <w:gridCol w:w="2325"/>
        <w:gridCol w:w="568"/>
        <w:gridCol w:w="568"/>
        <w:gridCol w:w="568"/>
        <w:gridCol w:w="568"/>
        <w:gridCol w:w="568"/>
        <w:gridCol w:w="568"/>
        <w:gridCol w:w="568"/>
        <w:gridCol w:w="566"/>
        <w:gridCol w:w="566"/>
        <w:gridCol w:w="566"/>
        <w:gridCol w:w="566"/>
        <w:gridCol w:w="787"/>
        <w:gridCol w:w="787"/>
      </w:tblGrid>
      <w:tr w:rsidR="00ED2A96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shd w:val="clear" w:color="auto" w:fill="D7DDE9" w:themeFill="accent3"/>
            <w:vAlign w:val="center"/>
          </w:tcPr>
          <w:p w:rsidR="008B5631" w:rsidRPr="009F2A5C" w:rsidRDefault="008B5631" w:rsidP="00FB6DAD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88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8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ED2A96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Revenue</w:t>
            </w: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730D57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730D57" w:rsidRPr="009F2A5C" w:rsidRDefault="00AC4633" w:rsidP="00304E16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1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t xml:space="preserve"> </w:t>
            </w:r>
            <w:r w:rsidR="00730D57">
              <w:rPr>
                <w:rFonts w:asciiTheme="minorHAnsi" w:hAnsiTheme="minorHAnsi"/>
                <w:i/>
                <w:noProof/>
                <w:sz w:val="16"/>
                <w:szCs w:val="16"/>
              </w:rPr>
              <w:t>Abolish fuel tax credit</w:t>
            </w:r>
            <w:r w:rsidR="00730D57" w:rsidRPr="00A10D9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s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730D57" w:rsidRPr="00A10D9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Company Tax</w:t>
            </w:r>
          </w:p>
        </w:tc>
        <w:tc>
          <w:tcPr>
            <w:tcW w:w="280" w:type="pct"/>
            <w:vAlign w:val="center"/>
          </w:tcPr>
          <w:p w:rsidR="00730D57" w:rsidRDefault="00730D5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-1,600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-1,900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-2,200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-2,200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-2,300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-2,300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-2,400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-2,500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-3,500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-19,500</w:t>
            </w:r>
          </w:p>
        </w:tc>
      </w:tr>
      <w:tr w:rsidR="00BB36E8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BB36E8" w:rsidRPr="009F2A5C" w:rsidRDefault="00AC4633" w:rsidP="00304E16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2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</w:t>
            </w:r>
            <w:r w:rsidR="00BB36E8" w:rsidRPr="00A10D9B">
              <w:rPr>
                <w:rFonts w:asciiTheme="minorHAnsi" w:hAnsiTheme="minorHAnsi"/>
                <w:i/>
                <w:noProof/>
                <w:sz w:val="16"/>
                <w:szCs w:val="16"/>
              </w:rPr>
              <w:t>Abolish accelerated depreciation</w:t>
            </w:r>
          </w:p>
        </w:tc>
        <w:tc>
          <w:tcPr>
            <w:tcW w:w="280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0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0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280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1,400</w:t>
            </w:r>
          </w:p>
        </w:tc>
        <w:tc>
          <w:tcPr>
            <w:tcW w:w="280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1,700</w:t>
            </w:r>
          </w:p>
        </w:tc>
        <w:tc>
          <w:tcPr>
            <w:tcW w:w="280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1,900</w:t>
            </w:r>
          </w:p>
        </w:tc>
        <w:tc>
          <w:tcPr>
            <w:tcW w:w="279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279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2,100</w:t>
            </w:r>
          </w:p>
        </w:tc>
        <w:tc>
          <w:tcPr>
            <w:tcW w:w="279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279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388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1,600</w:t>
            </w:r>
          </w:p>
        </w:tc>
        <w:tc>
          <w:tcPr>
            <w:tcW w:w="388" w:type="pct"/>
            <w:vAlign w:val="center"/>
          </w:tcPr>
          <w:p w:rsidR="00BB36E8" w:rsidRDefault="00BB36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15,100</w:t>
            </w:r>
          </w:p>
        </w:tc>
      </w:tr>
      <w:tr w:rsidR="0002639D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02639D" w:rsidRPr="009F2A5C" w:rsidRDefault="00AC4633" w:rsidP="00304E16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3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02639D" w:rsidRPr="00A10D9B">
              <w:rPr>
                <w:rFonts w:asciiTheme="minorHAnsi" w:hAnsiTheme="minorHAnsi"/>
                <w:i/>
                <w:sz w:val="16"/>
                <w:szCs w:val="16"/>
              </w:rPr>
              <w:t>Abolish immediate deduction for exploration and prospecting</w:t>
            </w:r>
          </w:p>
        </w:tc>
        <w:tc>
          <w:tcPr>
            <w:tcW w:w="280" w:type="pct"/>
            <w:vAlign w:val="center"/>
          </w:tcPr>
          <w:p w:rsidR="0002639D" w:rsidRDefault="0002639D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79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79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79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79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8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388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5,700</w:t>
            </w:r>
          </w:p>
        </w:tc>
      </w:tr>
      <w:tr w:rsidR="0002639D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02639D" w:rsidRPr="009F2A5C" w:rsidRDefault="0002639D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revenue</w:t>
            </w:r>
          </w:p>
        </w:tc>
        <w:tc>
          <w:tcPr>
            <w:tcW w:w="280" w:type="pct"/>
            <w:vAlign w:val="center"/>
          </w:tcPr>
          <w:p w:rsidR="0002639D" w:rsidRPr="00BB36E8" w:rsidRDefault="0002639D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</w:rPr>
            </w:pPr>
            <w:r w:rsidRPr="00BB36E8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0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9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9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9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79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88" w:type="pct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1,300</w:t>
            </w:r>
          </w:p>
        </w:tc>
      </w:tr>
      <w:tr w:rsidR="00ED2A96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Expenses</w:t>
            </w: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180FC7" w:rsidRPr="00AB6CB4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180FC7" w:rsidRPr="00AB6CB4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180FC7" w:rsidRPr="009F2A5C" w:rsidTr="00881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Administered</w:t>
            </w: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  <w:right w:val="nil"/>
            </w:tcBorders>
            <w:vAlign w:val="center"/>
          </w:tcPr>
          <w:p w:rsidR="00180FC7" w:rsidRPr="00AB6CB4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</w:tcBorders>
            <w:vAlign w:val="center"/>
          </w:tcPr>
          <w:p w:rsidR="00180FC7" w:rsidRPr="00AB6CB4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30D57" w:rsidRPr="009F2A5C" w:rsidTr="00881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730D57" w:rsidRPr="009F2A5C" w:rsidRDefault="00AC4633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1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730D57">
              <w:rPr>
                <w:rFonts w:asciiTheme="minorHAnsi" w:hAnsiTheme="minorHAnsi"/>
                <w:i/>
                <w:sz w:val="16"/>
                <w:szCs w:val="16"/>
              </w:rPr>
              <w:t>Abolish fuel tax credits</w:t>
            </w:r>
          </w:p>
        </w:tc>
        <w:tc>
          <w:tcPr>
            <w:tcW w:w="280" w:type="pct"/>
            <w:vAlign w:val="center"/>
          </w:tcPr>
          <w:p w:rsidR="00730D57" w:rsidRDefault="00730D5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6,700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7,100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8,500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9,100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9,600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10,200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10,800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20,100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84,000</w:t>
            </w:r>
          </w:p>
        </w:tc>
      </w:tr>
      <w:tr w:rsidR="00730D57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730D57" w:rsidRPr="00826FD2" w:rsidRDefault="00AC4633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4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730D57" w:rsidRPr="00826FD2">
              <w:rPr>
                <w:rFonts w:asciiTheme="minorHAnsi" w:hAnsiTheme="minorHAnsi"/>
                <w:i/>
                <w:sz w:val="16"/>
                <w:szCs w:val="16"/>
              </w:rPr>
              <w:t xml:space="preserve">Abolish the </w:t>
            </w:r>
            <w:r w:rsidR="00826FD2" w:rsidRPr="00826FD2">
              <w:rPr>
                <w:i/>
                <w:sz w:val="16"/>
                <w:szCs w:val="16"/>
              </w:rPr>
              <w:t>Australia-China Science and Research Fund</w:t>
            </w:r>
          </w:p>
        </w:tc>
        <w:tc>
          <w:tcPr>
            <w:tcW w:w="280" w:type="pct"/>
            <w:vAlign w:val="center"/>
          </w:tcPr>
          <w:p w:rsidR="00730D57" w:rsidRDefault="00730D5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6.5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21.9</w:t>
            </w:r>
          </w:p>
        </w:tc>
      </w:tr>
      <w:tr w:rsidR="00730D57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bottom w:val="single" w:sz="8" w:space="0" w:color="788184" w:themeColor="accent6"/>
            </w:tcBorders>
            <w:vAlign w:val="center"/>
          </w:tcPr>
          <w:p w:rsidR="00730D57" w:rsidRPr="009F2A5C" w:rsidRDefault="00730D57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Total – administered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6,302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6,702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7,102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7,502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8,002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8,502</w:t>
            </w:r>
          </w:p>
        </w:tc>
        <w:tc>
          <w:tcPr>
            <w:tcW w:w="279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9,102</w:t>
            </w:r>
          </w:p>
        </w:tc>
        <w:tc>
          <w:tcPr>
            <w:tcW w:w="279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9,602</w:t>
            </w:r>
          </w:p>
        </w:tc>
        <w:tc>
          <w:tcPr>
            <w:tcW w:w="279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10,202</w:t>
            </w:r>
          </w:p>
        </w:tc>
        <w:tc>
          <w:tcPr>
            <w:tcW w:w="279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10,802</w:t>
            </w:r>
          </w:p>
        </w:tc>
        <w:tc>
          <w:tcPr>
            <w:tcW w:w="388" w:type="pct"/>
            <w:tcBorders>
              <w:bottom w:val="single" w:sz="8" w:space="0" w:color="788184" w:themeColor="accent6"/>
            </w:tcBorders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20,107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84,022</w:t>
            </w:r>
          </w:p>
        </w:tc>
      </w:tr>
      <w:tr w:rsidR="00180FC7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Departmental</w:t>
            </w: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180FC7" w:rsidRPr="009F2A5C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  <w:right w:val="nil"/>
            </w:tcBorders>
            <w:vAlign w:val="center"/>
          </w:tcPr>
          <w:p w:rsidR="00180FC7" w:rsidRPr="00AB6CB4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</w:tcBorders>
            <w:vAlign w:val="center"/>
          </w:tcPr>
          <w:p w:rsidR="00180FC7" w:rsidRPr="00AB6CB4" w:rsidRDefault="00180FC7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FC7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180FC7" w:rsidRPr="009F2A5C" w:rsidRDefault="00AC4633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4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826FD2" w:rsidRPr="00826FD2">
              <w:rPr>
                <w:rFonts w:asciiTheme="minorHAnsi" w:hAnsiTheme="minorHAnsi"/>
                <w:i/>
                <w:sz w:val="16"/>
                <w:szCs w:val="16"/>
              </w:rPr>
              <w:t xml:space="preserve">Abolish the </w:t>
            </w:r>
            <w:r w:rsidR="00826FD2" w:rsidRPr="00826FD2">
              <w:rPr>
                <w:i/>
                <w:sz w:val="16"/>
                <w:szCs w:val="16"/>
              </w:rPr>
              <w:t>Australia-China Science and Research Fund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88" w:type="pct"/>
            <w:vAlign w:val="center"/>
          </w:tcPr>
          <w:p w:rsidR="00180FC7" w:rsidRPr="00AB6CB4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AB6CB4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8" w:type="pct"/>
            <w:vAlign w:val="center"/>
          </w:tcPr>
          <w:p w:rsidR="00180FC7" w:rsidRPr="00AB6CB4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AB6CB4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4.0</w:t>
            </w:r>
          </w:p>
        </w:tc>
      </w:tr>
      <w:tr w:rsidR="00180FC7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180FC7" w:rsidRPr="009F2A5C" w:rsidRDefault="00180FC7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Total – departmental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88" w:type="pct"/>
            <w:vAlign w:val="center"/>
          </w:tcPr>
          <w:p w:rsidR="00180FC7" w:rsidRPr="00AB6CB4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B6CB4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8" w:type="pct"/>
            <w:vAlign w:val="center"/>
          </w:tcPr>
          <w:p w:rsidR="00180FC7" w:rsidRPr="00AB6CB4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B6CB4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4.0</w:t>
            </w:r>
          </w:p>
        </w:tc>
      </w:tr>
      <w:tr w:rsidR="00730D57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730D57" w:rsidRPr="009F2A5C" w:rsidRDefault="00730D57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expenses</w:t>
            </w:r>
          </w:p>
        </w:tc>
        <w:tc>
          <w:tcPr>
            <w:tcW w:w="280" w:type="pct"/>
            <w:vAlign w:val="center"/>
          </w:tcPr>
          <w:p w:rsidR="00730D57" w:rsidRDefault="00730D5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6,303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6,703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7,103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7,503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8,003</w:t>
            </w:r>
          </w:p>
        </w:tc>
        <w:tc>
          <w:tcPr>
            <w:tcW w:w="280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8,503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9,103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9,603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10,203</w:t>
            </w:r>
          </w:p>
        </w:tc>
        <w:tc>
          <w:tcPr>
            <w:tcW w:w="279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10,803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20,108</w:t>
            </w:r>
          </w:p>
        </w:tc>
        <w:tc>
          <w:tcPr>
            <w:tcW w:w="388" w:type="pct"/>
            <w:vAlign w:val="center"/>
          </w:tcPr>
          <w:p w:rsidR="00730D57" w:rsidRDefault="00730D57" w:rsidP="00730D57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84,026</w:t>
            </w:r>
          </w:p>
        </w:tc>
      </w:tr>
      <w:tr w:rsidR="00ED2A96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shd w:val="clear" w:color="auto" w:fill="D7DDE9" w:themeFill="accent3"/>
            <w:vAlign w:val="center"/>
          </w:tcPr>
          <w:p w:rsidR="0002639D" w:rsidRPr="009F2A5C" w:rsidRDefault="0002639D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6,603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6,703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7,303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7,603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8,103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8,703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9,303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9,803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10,303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10,803</w:t>
            </w:r>
          </w:p>
        </w:tc>
        <w:tc>
          <w:tcPr>
            <w:tcW w:w="388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20,608</w:t>
            </w:r>
          </w:p>
        </w:tc>
        <w:tc>
          <w:tcPr>
            <w:tcW w:w="388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85,326</w:t>
            </w:r>
          </w:p>
        </w:tc>
      </w:tr>
    </w:tbl>
    <w:p w:rsidR="008B5631" w:rsidRPr="00D8306A" w:rsidRDefault="008B5631" w:rsidP="00FB6DAD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(a)</w:t>
      </w:r>
      <w:r w:rsidRPr="00D8306A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</w:t>
      </w:r>
    </w:p>
    <w:p w:rsidR="008B5631" w:rsidRPr="00D8306A" w:rsidRDefault="008B5631" w:rsidP="00FB6DAD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(b)</w:t>
      </w:r>
      <w:r w:rsidRPr="00D8306A">
        <w:rPr>
          <w:sz w:val="16"/>
          <w:szCs w:val="16"/>
        </w:rPr>
        <w:tab/>
        <w:t>Figures may not sum to totals due to rounding.</w:t>
      </w:r>
    </w:p>
    <w:p w:rsidR="008B5631" w:rsidRPr="00D8306A" w:rsidRDefault="008B5631" w:rsidP="008B5631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Indicates nil.</w:t>
      </w:r>
    </w:p>
    <w:p w:rsidR="008B5631" w:rsidRDefault="008B5631" w:rsidP="00FB6DAD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lastRenderedPageBreak/>
        <w:t xml:space="preserve">Table </w:t>
      </w:r>
      <w:r w:rsidR="00327048">
        <w:fldChar w:fldCharType="begin"/>
      </w:r>
      <w:r w:rsidR="00327048">
        <w:instrText xml:space="preserve"> STYLEREF 8 \s </w:instrText>
      </w:r>
      <w:r w:rsidR="00327048">
        <w:fldChar w:fldCharType="separate"/>
      </w:r>
      <w:r w:rsidR="0088555B">
        <w:rPr>
          <w:noProof/>
        </w:rPr>
        <w:t>A</w:t>
      </w:r>
      <w:r w:rsidR="00327048">
        <w:rPr>
          <w:noProof/>
        </w:rPr>
        <w:fldChar w:fldCharType="end"/>
      </w:r>
      <w:r w:rsidR="00327048">
        <w:fldChar w:fldCharType="begin"/>
      </w:r>
      <w:r w:rsidR="00327048">
        <w:instrText xml:space="preserve"> SEQ AppendixTable\s 8 </w:instrText>
      </w:r>
      <w:r w:rsidR="00327048">
        <w:fldChar w:fldCharType="separate"/>
      </w:r>
      <w:r w:rsidR="0088555B">
        <w:rPr>
          <w:noProof/>
        </w:rPr>
        <w:t>2</w:t>
      </w:r>
      <w:r w:rsidR="00327048">
        <w:rPr>
          <w:noProof/>
        </w:rPr>
        <w:fldChar w:fldCharType="end"/>
      </w:r>
      <w:r w:rsidRPr="002D239A">
        <w:t xml:space="preserve">: </w:t>
      </w:r>
      <w:r w:rsidR="00AF7891">
        <w:t>Secur</w:t>
      </w:r>
      <w:r w:rsidR="002B0B1E">
        <w:t xml:space="preserve">ing the Value of Our Resources </w:t>
      </w:r>
      <w:r w:rsidR="00C871B0">
        <w:t>–</w:t>
      </w:r>
      <w:r w:rsidR="00AC4633">
        <w:t xml:space="preserve"> </w:t>
      </w:r>
      <w:r w:rsidR="00AF7891">
        <w:t>End Fossil Fuel Subsidies</w:t>
      </w:r>
      <w:r w:rsidR="002B0B1E">
        <w:t xml:space="preserve"> </w:t>
      </w:r>
      <w:r w:rsidR="00C871B0">
        <w:t>–</w:t>
      </w:r>
      <w:r>
        <w:t xml:space="preserve"> Underlying cash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0" w:type="pct"/>
        <w:tblLayout w:type="fixed"/>
        <w:tblLook w:val="0680" w:firstRow="0" w:lastRow="0" w:firstColumn="1" w:lastColumn="0" w:noHBand="1" w:noVBand="1"/>
      </w:tblPr>
      <w:tblGrid>
        <w:gridCol w:w="2325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  <w:gridCol w:w="566"/>
        <w:gridCol w:w="566"/>
        <w:gridCol w:w="787"/>
        <w:gridCol w:w="785"/>
      </w:tblGrid>
      <w:tr w:rsidR="00ED2A96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shd w:val="clear" w:color="auto" w:fill="D7DDE9" w:themeFill="accent3"/>
            <w:vAlign w:val="center"/>
          </w:tcPr>
          <w:p w:rsidR="008B5631" w:rsidRPr="009F2A5C" w:rsidRDefault="008B5631" w:rsidP="00FB6DAD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88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7" w:type="pct"/>
            <w:shd w:val="clear" w:color="auto" w:fill="D7DDE9" w:themeFill="accent3"/>
            <w:vAlign w:val="center"/>
          </w:tcPr>
          <w:p w:rsidR="008B5631" w:rsidRPr="00ED0817" w:rsidRDefault="008B5631" w:rsidP="00FB6DAD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ED2A96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Receipts</w:t>
            </w: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  <w:righ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7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8B5631" w:rsidRPr="009F2A5C" w:rsidRDefault="008B5631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4C79AB" w:rsidRPr="009F2A5C" w:rsidRDefault="00AC4633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1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t xml:space="preserve"> </w:t>
            </w:r>
            <w:r w:rsidR="004C79AB">
              <w:rPr>
                <w:rFonts w:asciiTheme="minorHAnsi" w:hAnsiTheme="minorHAnsi"/>
                <w:i/>
                <w:noProof/>
                <w:sz w:val="16"/>
                <w:szCs w:val="16"/>
              </w:rPr>
              <w:t>Abolish fuel tax credit</w:t>
            </w:r>
            <w:r w:rsidR="004C79AB" w:rsidRPr="00A10D9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s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 w:rsidRPr="00A10D9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Company Tax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-1,600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-1,900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-2,000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-2,200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-2,200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-2,300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-2,300</w:t>
            </w:r>
          </w:p>
        </w:tc>
        <w:tc>
          <w:tcPr>
            <w:tcW w:w="279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-2,400</w:t>
            </w:r>
          </w:p>
        </w:tc>
        <w:tc>
          <w:tcPr>
            <w:tcW w:w="279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-2,500</w:t>
            </w:r>
          </w:p>
        </w:tc>
        <w:tc>
          <w:tcPr>
            <w:tcW w:w="388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-3,500</w:t>
            </w:r>
          </w:p>
        </w:tc>
        <w:tc>
          <w:tcPr>
            <w:tcW w:w="387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-19,500</w:t>
            </w: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4C79AB" w:rsidRPr="009F2A5C" w:rsidRDefault="00AC4633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2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</w:t>
            </w:r>
            <w:r w:rsidR="004C79AB" w:rsidRPr="00A10D9B">
              <w:rPr>
                <w:rFonts w:asciiTheme="minorHAnsi" w:hAnsiTheme="minorHAnsi"/>
                <w:i/>
                <w:noProof/>
                <w:sz w:val="16"/>
                <w:szCs w:val="16"/>
              </w:rPr>
              <w:t>Abolish accelerated depreciation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1,400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1,700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1,900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2,100</w:t>
            </w:r>
          </w:p>
        </w:tc>
        <w:tc>
          <w:tcPr>
            <w:tcW w:w="279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279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388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1,600</w:t>
            </w:r>
          </w:p>
        </w:tc>
        <w:tc>
          <w:tcPr>
            <w:tcW w:w="387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15,100</w:t>
            </w: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4C79AB" w:rsidRPr="009F2A5C" w:rsidRDefault="00AC4633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3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4C79AB" w:rsidRPr="00A10D9B">
              <w:rPr>
                <w:rFonts w:asciiTheme="minorHAnsi" w:hAnsiTheme="minorHAnsi"/>
                <w:i/>
                <w:sz w:val="16"/>
                <w:szCs w:val="16"/>
              </w:rPr>
              <w:t>Abolish immediate deduction for exploration and prospecting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79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79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8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387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5,700</w:t>
            </w: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4C79AB" w:rsidRPr="009F2A5C" w:rsidRDefault="004C79AB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revenue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0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9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79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8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87" w:type="pct"/>
            <w:vAlign w:val="center"/>
          </w:tcPr>
          <w:p w:rsidR="004C79AB" w:rsidRDefault="004C79AB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1,300</w:t>
            </w: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Expenses</w:t>
            </w: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  <w:bottom w:val="single" w:sz="8" w:space="0" w:color="788184" w:themeColor="accent6"/>
              <w:right w:val="nil"/>
            </w:tcBorders>
            <w:shd w:val="clear" w:color="auto" w:fill="E9ECF3" w:themeFill="accent2" w:themeFillTint="33"/>
            <w:vAlign w:val="center"/>
          </w:tcPr>
          <w:p w:rsidR="004C79AB" w:rsidRPr="00AB6CB4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  <w:tc>
          <w:tcPr>
            <w:tcW w:w="387" w:type="pct"/>
            <w:tcBorders>
              <w:left w:val="nil"/>
            </w:tcBorders>
            <w:shd w:val="clear" w:color="auto" w:fill="E9ECF3" w:themeFill="accent2" w:themeFillTint="33"/>
            <w:vAlign w:val="center"/>
          </w:tcPr>
          <w:p w:rsidR="004C79AB" w:rsidRPr="00AB6CB4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4C79AB" w:rsidRPr="009F2A5C" w:rsidTr="00881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right w:val="nil"/>
            </w:tcBorders>
            <w:vAlign w:val="center"/>
          </w:tcPr>
          <w:p w:rsidR="004C79AB" w:rsidRPr="009F2A5C" w:rsidRDefault="004C79AB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Administered</w:t>
            </w: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788184" w:themeColor="accent6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  <w:right w:val="nil"/>
            </w:tcBorders>
            <w:vAlign w:val="center"/>
          </w:tcPr>
          <w:p w:rsidR="004C79AB" w:rsidRPr="00AB6CB4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7" w:type="pct"/>
            <w:tcBorders>
              <w:left w:val="nil"/>
            </w:tcBorders>
            <w:vAlign w:val="center"/>
          </w:tcPr>
          <w:p w:rsidR="004C79AB" w:rsidRPr="00AB6CB4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4C79AB" w:rsidRPr="009F2A5C" w:rsidTr="00881C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4C79AB" w:rsidRPr="009F2A5C" w:rsidRDefault="00AC4633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1</w:t>
            </w:r>
            <w:r w:rsidR="00C9107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Abolish fuel tax credits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6,700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7,100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8,500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9,600</w:t>
            </w:r>
          </w:p>
        </w:tc>
        <w:tc>
          <w:tcPr>
            <w:tcW w:w="279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10,100</w:t>
            </w:r>
          </w:p>
        </w:tc>
        <w:tc>
          <w:tcPr>
            <w:tcW w:w="279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10,700</w:t>
            </w:r>
          </w:p>
        </w:tc>
        <w:tc>
          <w:tcPr>
            <w:tcW w:w="388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19,200</w:t>
            </w:r>
          </w:p>
        </w:tc>
        <w:tc>
          <w:tcPr>
            <w:tcW w:w="387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82,500</w:t>
            </w: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4C79AB" w:rsidRPr="00826FD2" w:rsidRDefault="00AC4633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4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4C79AB" w:rsidRPr="00826FD2">
              <w:rPr>
                <w:rFonts w:asciiTheme="minorHAnsi" w:hAnsiTheme="minorHAnsi"/>
                <w:i/>
                <w:sz w:val="16"/>
                <w:szCs w:val="16"/>
              </w:rPr>
              <w:t xml:space="preserve">Abolish the </w:t>
            </w:r>
            <w:r w:rsidR="004C79AB" w:rsidRPr="00826FD2">
              <w:rPr>
                <w:i/>
                <w:sz w:val="16"/>
                <w:szCs w:val="16"/>
              </w:rPr>
              <w:t>Australia-China Science and Research Fund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0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79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79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88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6.5</w:t>
            </w:r>
          </w:p>
        </w:tc>
        <w:tc>
          <w:tcPr>
            <w:tcW w:w="387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21.9</w:t>
            </w: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bottom w:val="single" w:sz="8" w:space="0" w:color="788184" w:themeColor="accent6"/>
            </w:tcBorders>
            <w:vAlign w:val="center"/>
          </w:tcPr>
          <w:p w:rsidR="004C79AB" w:rsidRPr="009F2A5C" w:rsidRDefault="004C79AB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Total – administered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5,502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6,702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7,102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7,502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8,002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8,502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9,002</w:t>
            </w:r>
          </w:p>
        </w:tc>
        <w:tc>
          <w:tcPr>
            <w:tcW w:w="280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9,602</w:t>
            </w:r>
          </w:p>
        </w:tc>
        <w:tc>
          <w:tcPr>
            <w:tcW w:w="279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10,102</w:t>
            </w:r>
          </w:p>
        </w:tc>
        <w:tc>
          <w:tcPr>
            <w:tcW w:w="279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10,702</w:t>
            </w:r>
          </w:p>
        </w:tc>
        <w:tc>
          <w:tcPr>
            <w:tcW w:w="388" w:type="pct"/>
            <w:tcBorders>
              <w:bottom w:val="single" w:sz="8" w:space="0" w:color="788184" w:themeColor="accent6"/>
            </w:tcBorders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19,207</w:t>
            </w:r>
          </w:p>
        </w:tc>
        <w:tc>
          <w:tcPr>
            <w:tcW w:w="387" w:type="pct"/>
            <w:vAlign w:val="center"/>
          </w:tcPr>
          <w:p w:rsidR="004C79AB" w:rsidRDefault="004C79AB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82,522</w:t>
            </w: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tcBorders>
              <w:right w:val="nil"/>
            </w:tcBorders>
            <w:vAlign w:val="center"/>
          </w:tcPr>
          <w:p w:rsidR="004C79AB" w:rsidRPr="009F2A5C" w:rsidRDefault="004C79AB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Departmental</w:t>
            </w: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vAlign w:val="center"/>
          </w:tcPr>
          <w:p w:rsidR="004C79AB" w:rsidRPr="009F2A5C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nil"/>
              <w:right w:val="nil"/>
            </w:tcBorders>
            <w:vAlign w:val="center"/>
          </w:tcPr>
          <w:p w:rsidR="004C79AB" w:rsidRPr="00AB6CB4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7" w:type="pct"/>
            <w:tcBorders>
              <w:left w:val="nil"/>
            </w:tcBorders>
            <w:vAlign w:val="center"/>
          </w:tcPr>
          <w:p w:rsidR="004C79AB" w:rsidRPr="00AB6CB4" w:rsidRDefault="004C79AB" w:rsidP="00FB6DAD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4C79AB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4C79AB" w:rsidRPr="009F2A5C" w:rsidRDefault="00AC4633" w:rsidP="00AC4633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Component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4 </w:t>
            </w:r>
            <w:r w:rsidR="00C9107C" w:rsidRPr="00C9107C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4C79AB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4C79AB" w:rsidRPr="00826FD2">
              <w:rPr>
                <w:rFonts w:asciiTheme="minorHAnsi" w:hAnsiTheme="minorHAnsi"/>
                <w:i/>
                <w:sz w:val="16"/>
                <w:szCs w:val="16"/>
              </w:rPr>
              <w:t xml:space="preserve">Abolish the </w:t>
            </w:r>
            <w:r w:rsidR="004C79AB" w:rsidRPr="00826FD2">
              <w:rPr>
                <w:i/>
                <w:sz w:val="16"/>
                <w:szCs w:val="16"/>
              </w:rPr>
              <w:t>Australia-China Science and Research Fund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4C79AB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88" w:type="pct"/>
            <w:vAlign w:val="center"/>
          </w:tcPr>
          <w:p w:rsidR="004C79AB" w:rsidRPr="00AB6CB4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AB6CB4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7" w:type="pct"/>
            <w:vAlign w:val="center"/>
          </w:tcPr>
          <w:p w:rsidR="004C79AB" w:rsidRPr="00AB6CB4" w:rsidRDefault="004C79AB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</w:pPr>
            <w:r w:rsidRPr="00AB6CB4">
              <w:rPr>
                <w:rFonts w:ascii="Calibri" w:hAnsi="Calibri"/>
                <w:b/>
                <w:i/>
                <w:iCs/>
                <w:color w:val="000000"/>
                <w:sz w:val="16"/>
                <w:szCs w:val="16"/>
              </w:rPr>
              <w:t>4.0</w:t>
            </w:r>
          </w:p>
        </w:tc>
      </w:tr>
      <w:tr w:rsidR="00180FC7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180FC7" w:rsidRPr="009F2A5C" w:rsidRDefault="00180FC7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i/>
                <w:sz w:val="16"/>
                <w:szCs w:val="16"/>
              </w:rPr>
              <w:t>Total – departmental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80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vAlign w:val="center"/>
          </w:tcPr>
          <w:p w:rsidR="00180FC7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0.4</w:t>
            </w:r>
          </w:p>
        </w:tc>
        <w:tc>
          <w:tcPr>
            <w:tcW w:w="388" w:type="pct"/>
            <w:vAlign w:val="center"/>
          </w:tcPr>
          <w:p w:rsidR="00180FC7" w:rsidRPr="00AB6CB4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B6CB4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7" w:type="pct"/>
            <w:vAlign w:val="center"/>
          </w:tcPr>
          <w:p w:rsidR="00180FC7" w:rsidRPr="00AB6CB4" w:rsidRDefault="00180FC7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B6CB4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4.0</w:t>
            </w:r>
          </w:p>
        </w:tc>
      </w:tr>
      <w:tr w:rsidR="00A321E8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vAlign w:val="center"/>
          </w:tcPr>
          <w:p w:rsidR="00A321E8" w:rsidRPr="009F2A5C" w:rsidRDefault="00A321E8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payments</w:t>
            </w:r>
          </w:p>
        </w:tc>
        <w:tc>
          <w:tcPr>
            <w:tcW w:w="280" w:type="pct"/>
            <w:vAlign w:val="center"/>
          </w:tcPr>
          <w:p w:rsidR="00A321E8" w:rsidRDefault="00A321E8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5,503</w:t>
            </w:r>
          </w:p>
        </w:tc>
        <w:tc>
          <w:tcPr>
            <w:tcW w:w="280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6,703</w:t>
            </w:r>
          </w:p>
        </w:tc>
        <w:tc>
          <w:tcPr>
            <w:tcW w:w="280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7,103</w:t>
            </w:r>
          </w:p>
        </w:tc>
        <w:tc>
          <w:tcPr>
            <w:tcW w:w="280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7,503</w:t>
            </w:r>
          </w:p>
        </w:tc>
        <w:tc>
          <w:tcPr>
            <w:tcW w:w="280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8,003</w:t>
            </w:r>
          </w:p>
        </w:tc>
        <w:tc>
          <w:tcPr>
            <w:tcW w:w="280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8,503</w:t>
            </w:r>
          </w:p>
        </w:tc>
        <w:tc>
          <w:tcPr>
            <w:tcW w:w="280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9,003</w:t>
            </w:r>
          </w:p>
        </w:tc>
        <w:tc>
          <w:tcPr>
            <w:tcW w:w="280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9,603</w:t>
            </w:r>
          </w:p>
        </w:tc>
        <w:tc>
          <w:tcPr>
            <w:tcW w:w="279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10,103</w:t>
            </w:r>
          </w:p>
        </w:tc>
        <w:tc>
          <w:tcPr>
            <w:tcW w:w="279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10,703</w:t>
            </w:r>
          </w:p>
        </w:tc>
        <w:tc>
          <w:tcPr>
            <w:tcW w:w="388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19,208</w:t>
            </w:r>
          </w:p>
        </w:tc>
        <w:tc>
          <w:tcPr>
            <w:tcW w:w="387" w:type="pct"/>
            <w:vAlign w:val="center"/>
          </w:tcPr>
          <w:p w:rsidR="00A321E8" w:rsidRDefault="00A321E8" w:rsidP="00A321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82,526</w:t>
            </w:r>
          </w:p>
        </w:tc>
      </w:tr>
      <w:tr w:rsidR="00ED2A96" w:rsidRPr="009F2A5C" w:rsidTr="00BB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shd w:val="clear" w:color="auto" w:fill="D7DDE9" w:themeFill="accent3"/>
            <w:vAlign w:val="center"/>
          </w:tcPr>
          <w:p w:rsidR="0002639D" w:rsidRPr="009F2A5C" w:rsidRDefault="0002639D" w:rsidP="00FB6DAD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BB36E8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5,803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6,703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7,303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7,603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8,103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8,703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9,203</w:t>
            </w:r>
          </w:p>
        </w:tc>
        <w:tc>
          <w:tcPr>
            <w:tcW w:w="280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9,803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10,203</w:t>
            </w:r>
          </w:p>
        </w:tc>
        <w:tc>
          <w:tcPr>
            <w:tcW w:w="279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10,703</w:t>
            </w:r>
          </w:p>
        </w:tc>
        <w:tc>
          <w:tcPr>
            <w:tcW w:w="388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19,708</w:t>
            </w:r>
          </w:p>
        </w:tc>
        <w:tc>
          <w:tcPr>
            <w:tcW w:w="387" w:type="pct"/>
            <w:shd w:val="clear" w:color="auto" w:fill="D7DDE9" w:themeFill="accent3"/>
            <w:vAlign w:val="center"/>
          </w:tcPr>
          <w:p w:rsidR="0002639D" w:rsidRDefault="0002639D" w:rsidP="0002639D">
            <w:pPr>
              <w:spacing w:before="70" w:after="70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83,826</w:t>
            </w:r>
          </w:p>
        </w:tc>
      </w:tr>
    </w:tbl>
    <w:p w:rsidR="008B5631" w:rsidRPr="009F2A5C" w:rsidRDefault="008B5631" w:rsidP="00FB6DAD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8B5631" w:rsidRPr="009F2A5C" w:rsidRDefault="008B5631" w:rsidP="00FB6DAD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8B5631" w:rsidRPr="009F2A5C" w:rsidRDefault="008B5631" w:rsidP="008B5631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BC0857" w:rsidRDefault="00BC0857">
      <w:pPr>
        <w:rPr>
          <w:rFonts w:cs="Times New Roman"/>
          <w:spacing w:val="-1"/>
        </w:rPr>
      </w:pPr>
    </w:p>
    <w:sectPr w:rsidR="00BC0857" w:rsidSect="00131861">
      <w:footerReference w:type="default" r:id="rId13"/>
      <w:pgSz w:w="11907" w:h="16839" w:code="9"/>
      <w:pgMar w:top="1134" w:right="992" w:bottom="1134" w:left="992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33" w:rsidRDefault="00AC4633" w:rsidP="00A20802">
      <w:pPr>
        <w:spacing w:line="240" w:lineRule="auto"/>
      </w:pPr>
      <w:r>
        <w:separator/>
      </w:r>
    </w:p>
    <w:p w:rsidR="00AC4633" w:rsidRDefault="00AC4633"/>
    <w:p w:rsidR="00AC4633" w:rsidRDefault="00AC4633"/>
  </w:endnote>
  <w:endnote w:type="continuationSeparator" w:id="0">
    <w:p w:rsidR="00AC4633" w:rsidRDefault="00AC4633" w:rsidP="00A20802">
      <w:pPr>
        <w:spacing w:line="240" w:lineRule="auto"/>
      </w:pPr>
      <w:r>
        <w:continuationSeparator/>
      </w:r>
    </w:p>
    <w:p w:rsidR="00AC4633" w:rsidRDefault="00AC4633"/>
    <w:p w:rsidR="00AC4633" w:rsidRDefault="00AC4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33" w:rsidRPr="00015E04" w:rsidRDefault="00AC4633" w:rsidP="00C23FDD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F14E6F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327048">
      <w:rPr>
        <w:rStyle w:val="FooterChar"/>
        <w:b/>
        <w:noProof/>
      </w:rPr>
      <w:t>4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</w:t>
    </w:r>
    <w:r w:rsidR="00F14E6F">
      <w:rPr>
        <w:rStyle w:val="FooterChar"/>
        <w:b/>
      </w:rPr>
      <w:t xml:space="preserve"> 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33" w:rsidRPr="007A47D0" w:rsidRDefault="00AC4633" w:rsidP="00EE031F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 w:rsidRPr="00DD281D">
      <w:rPr>
        <w:rStyle w:val="FooterChar"/>
        <w:rFonts w:ascii="Calibri" w:hAnsi="Calibri" w:cs="Arial"/>
        <w:b/>
      </w:rPr>
      <w:t>PBO</w:t>
    </w:r>
    <w:r>
      <w:rPr>
        <w:rStyle w:val="FooterChar"/>
        <w:rFonts w:ascii="Calibri" w:hAnsi="Calibri" w:cs="Arial"/>
        <w:b/>
      </w:rPr>
      <w:t xml:space="preserve"> reference </w:t>
    </w:r>
    <w:r w:rsidRPr="003E41B2">
      <w:rPr>
        <w:rStyle w:val="FooterChar"/>
        <w:rFonts w:ascii="Calibri" w:hAnsi="Calibri" w:cs="Arial"/>
        <w:b/>
      </w:rPr>
      <w:t>PR1</w:t>
    </w:r>
    <w:r>
      <w:rPr>
        <w:rStyle w:val="FooterChar"/>
        <w:rFonts w:ascii="Calibri" w:hAnsi="Calibri" w:cs="Arial"/>
        <w:b/>
      </w:rPr>
      <w:t>8</w:t>
    </w:r>
    <w:r w:rsidRPr="003E41B2">
      <w:rPr>
        <w:rStyle w:val="FooterChar"/>
        <w:rFonts w:ascii="Calibri" w:hAnsi="Calibri" w:cs="Arial"/>
        <w:b/>
      </w:rPr>
      <w:t>/00</w:t>
    </w:r>
    <w:r>
      <w:rPr>
        <w:rStyle w:val="FooterChar"/>
        <w:rFonts w:ascii="Calibri" w:hAnsi="Calibri" w:cs="Arial"/>
        <w:b/>
      </w:rPr>
      <w:t>261#01</w:t>
    </w:r>
    <w:r w:rsidRPr="009B70E6">
      <w:rPr>
        <w:rStyle w:val="FooterChar"/>
        <w:rFonts w:ascii="Calibri" w:hAnsi="Calibri" w:cs="Arial"/>
        <w:b/>
        <w:sz w:val="20"/>
        <w:szCs w:val="20"/>
      </w:rPr>
      <w:tab/>
    </w:r>
    <w:r w:rsidRPr="00F14E6F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327048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F14E6F">
      <w:rPr>
        <w:rStyle w:val="FooterChar"/>
        <w:b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33" w:rsidRPr="00015E04" w:rsidRDefault="00AC4633" w:rsidP="004C79AB">
    <w:pPr>
      <w:pStyle w:val="Footer"/>
      <w:tabs>
        <w:tab w:val="center" w:pos="4962"/>
        <w:tab w:val="right" w:pos="9923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F14E6F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327048">
      <w:rPr>
        <w:rStyle w:val="FooterChar"/>
        <w:b/>
        <w:noProof/>
      </w:rPr>
      <w:t>6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F14E6F">
      <w:rPr>
        <w:rStyle w:val="FooterChar"/>
        <w:b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33" w:rsidRPr="000557A7" w:rsidRDefault="00AC4633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  <w:p w:rsidR="00AC4633" w:rsidRDefault="00AC4633"/>
  </w:footnote>
  <w:footnote w:type="continuationSeparator" w:id="0">
    <w:p w:rsidR="00AC4633" w:rsidRDefault="00AC4633" w:rsidP="00A20802">
      <w:pPr>
        <w:spacing w:line="240" w:lineRule="auto"/>
      </w:pPr>
      <w:r>
        <w:continuationSeparator/>
      </w:r>
    </w:p>
    <w:p w:rsidR="00AC4633" w:rsidRDefault="00AC4633"/>
    <w:p w:rsidR="00AC4633" w:rsidRDefault="00AC46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33" w:rsidRPr="00F14E6F" w:rsidRDefault="00AC4633" w:rsidP="00EE031F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F14E6F">
      <w:rPr>
        <w:rFonts w:ascii="Calibri" w:hAnsi="Calibri"/>
        <w:b/>
        <w:strike/>
        <w:color w:val="FF0000"/>
        <w:sz w:val="40"/>
        <w:szCs w:val="40"/>
      </w:rPr>
      <w:t>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33" w:rsidRPr="00F14E6F" w:rsidRDefault="00AC4633" w:rsidP="009C5A54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F14E6F">
      <w:rPr>
        <w:rFonts w:ascii="Calibri" w:hAnsi="Calibri"/>
        <w:b/>
        <w:strike/>
        <w:color w:val="FF0000"/>
        <w:sz w:val="40"/>
        <w:szCs w:val="40"/>
      </w:rPr>
      <w:t>Sensitive</w:t>
    </w:r>
  </w:p>
  <w:p w:rsidR="00AC4633" w:rsidRPr="0046444F" w:rsidRDefault="00AC4633" w:rsidP="009C5A54">
    <w:pPr>
      <w:pStyle w:val="Header"/>
    </w:pPr>
    <w:r>
      <w:rPr>
        <w:noProof/>
        <w:lang w:eastAsia="en-AU"/>
      </w:rPr>
      <w:drawing>
        <wp:inline distT="0" distB="0" distL="0" distR="0" wp14:anchorId="0AF1144C" wp14:editId="5DA46AE5">
          <wp:extent cx="2696845" cy="572135"/>
          <wp:effectExtent l="0" t="0" r="8255" b="0"/>
          <wp:docPr id="1" name="Picture 1" title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640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7FE"/>
    <w:multiLevelType w:val="multilevel"/>
    <w:tmpl w:val="2CA8A22A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8D32963"/>
    <w:multiLevelType w:val="hybridMultilevel"/>
    <w:tmpl w:val="FB50B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D6A00"/>
    <w:multiLevelType w:val="hybridMultilevel"/>
    <w:tmpl w:val="4B3A4D4E"/>
    <w:lvl w:ilvl="0" w:tplc="18CCC816">
      <w:start w:val="1"/>
      <w:numFmt w:val="lowerLetter"/>
      <w:lvlText w:val="(%1)"/>
      <w:lvlJc w:val="left"/>
      <w:pPr>
        <w:ind w:left="720" w:hanging="360"/>
      </w:pPr>
      <w:rPr>
        <w:rFonts w:ascii="Calibri" w:hAnsi="Calibr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45448"/>
    <w:multiLevelType w:val="multilevel"/>
    <w:tmpl w:val="B9B2787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5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>
    <w:nsid w:val="147F785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8">
    <w:nsid w:val="1A154848"/>
    <w:multiLevelType w:val="hybridMultilevel"/>
    <w:tmpl w:val="09B261B0"/>
    <w:lvl w:ilvl="0" w:tplc="0652CEDE">
      <w:start w:val="1"/>
      <w:numFmt w:val="bullet"/>
      <w:pStyle w:val="Let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E60DA"/>
    <w:multiLevelType w:val="hybridMultilevel"/>
    <w:tmpl w:val="8F4E44D6"/>
    <w:lvl w:ilvl="0" w:tplc="CABC4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>
    <w:nsid w:val="32D14000"/>
    <w:multiLevelType w:val="hybridMultilevel"/>
    <w:tmpl w:val="7BEEEA2A"/>
    <w:lvl w:ilvl="0" w:tplc="FC10A6D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D034B"/>
    <w:multiLevelType w:val="hybridMultilevel"/>
    <w:tmpl w:val="AC467CF0"/>
    <w:lvl w:ilvl="0" w:tplc="E8FC92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8F13100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B13AF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568AF"/>
    <w:multiLevelType w:val="hybridMultilevel"/>
    <w:tmpl w:val="50BA43C4"/>
    <w:lvl w:ilvl="0" w:tplc="138EAD4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B2E15"/>
    <w:multiLevelType w:val="multilevel"/>
    <w:tmpl w:val="7BEEEA2A"/>
    <w:lvl w:ilvl="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359A8"/>
    <w:multiLevelType w:val="hybridMultilevel"/>
    <w:tmpl w:val="D098FA50"/>
    <w:lvl w:ilvl="0" w:tplc="62C4575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E7FD1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D7EE9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A4897"/>
    <w:multiLevelType w:val="hybridMultilevel"/>
    <w:tmpl w:val="17683AEC"/>
    <w:lvl w:ilvl="0" w:tplc="CEA0677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540A9"/>
    <w:multiLevelType w:val="multilevel"/>
    <w:tmpl w:val="3E14D162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5">
    <w:nsid w:val="62A77F1C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B45AC"/>
    <w:multiLevelType w:val="hybridMultilevel"/>
    <w:tmpl w:val="FDD6AE4E"/>
    <w:lvl w:ilvl="0" w:tplc="6CCC4A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E4BDD"/>
    <w:multiLevelType w:val="hybridMultilevel"/>
    <w:tmpl w:val="B5D41A40"/>
    <w:lvl w:ilvl="0" w:tplc="497A32C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771C9"/>
    <w:multiLevelType w:val="hybridMultilevel"/>
    <w:tmpl w:val="1CC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B3B5F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1">
    <w:nsid w:val="707C1A2E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3">
    <w:nsid w:val="78A76270"/>
    <w:multiLevelType w:val="hybridMultilevel"/>
    <w:tmpl w:val="9ACE365C"/>
    <w:lvl w:ilvl="0" w:tplc="BB36BB8E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804D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2"/>
  </w:num>
  <w:num w:numId="4">
    <w:abstractNumId w:val="14"/>
  </w:num>
  <w:num w:numId="5">
    <w:abstractNumId w:val="11"/>
  </w:num>
  <w:num w:numId="6">
    <w:abstractNumId w:val="30"/>
  </w:num>
  <w:num w:numId="7">
    <w:abstractNumId w:val="5"/>
  </w:num>
  <w:num w:numId="8">
    <w:abstractNumId w:val="7"/>
  </w:num>
  <w:num w:numId="9">
    <w:abstractNumId w:val="29"/>
  </w:num>
  <w:num w:numId="10">
    <w:abstractNumId w:val="4"/>
  </w:num>
  <w:num w:numId="11">
    <w:abstractNumId w:val="9"/>
  </w:num>
  <w:num w:numId="12">
    <w:abstractNumId w:val="2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1"/>
  </w:num>
  <w:num w:numId="18">
    <w:abstractNumId w:val="34"/>
  </w:num>
  <w:num w:numId="19">
    <w:abstractNumId w:val="0"/>
  </w:num>
  <w:num w:numId="20">
    <w:abstractNumId w:val="20"/>
  </w:num>
  <w:num w:numId="21">
    <w:abstractNumId w:val="22"/>
  </w:num>
  <w:num w:numId="22">
    <w:abstractNumId w:val="16"/>
  </w:num>
  <w:num w:numId="23">
    <w:abstractNumId w:val="17"/>
  </w:num>
  <w:num w:numId="24">
    <w:abstractNumId w:val="26"/>
  </w:num>
  <w:num w:numId="25">
    <w:abstractNumId w:val="15"/>
  </w:num>
  <w:num w:numId="26">
    <w:abstractNumId w:val="6"/>
  </w:num>
  <w:num w:numId="27">
    <w:abstractNumId w:val="25"/>
  </w:num>
  <w:num w:numId="28">
    <w:abstractNumId w:val="23"/>
  </w:num>
  <w:num w:numId="29">
    <w:abstractNumId w:val="27"/>
  </w:num>
  <w:num w:numId="30">
    <w:abstractNumId w:val="33"/>
  </w:num>
  <w:num w:numId="31">
    <w:abstractNumId w:val="21"/>
  </w:num>
  <w:num w:numId="32">
    <w:abstractNumId w:val="12"/>
  </w:num>
  <w:num w:numId="33">
    <w:abstractNumId w:val="18"/>
  </w:num>
  <w:num w:numId="34">
    <w:abstractNumId w:val="10"/>
  </w:num>
  <w:num w:numId="35">
    <w:abstractNumId w:val="4"/>
  </w:num>
  <w:num w:numId="36">
    <w:abstractNumId w:val="1"/>
  </w:num>
  <w:num w:numId="37">
    <w:abstractNumId w:val="8"/>
  </w:num>
  <w:num w:numId="38">
    <w:abstractNumId w:val="5"/>
  </w:num>
  <w:num w:numId="39">
    <w:abstractNumId w:val="5"/>
  </w:num>
  <w:num w:numId="40">
    <w:abstractNumId w:val="13"/>
  </w:num>
  <w:num w:numId="41">
    <w:abstractNumId w:val="2"/>
  </w:num>
  <w:num w:numId="42">
    <w:abstractNumId w:val="2"/>
  </w:num>
  <w:num w:numId="43">
    <w:abstractNumId w:val="24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E215CE"/>
    <w:rsid w:val="0000071C"/>
    <w:rsid w:val="0000322C"/>
    <w:rsid w:val="000032FF"/>
    <w:rsid w:val="00003CDD"/>
    <w:rsid w:val="0000745D"/>
    <w:rsid w:val="00013620"/>
    <w:rsid w:val="00013632"/>
    <w:rsid w:val="0001406F"/>
    <w:rsid w:val="00015E04"/>
    <w:rsid w:val="000168A7"/>
    <w:rsid w:val="00016D53"/>
    <w:rsid w:val="0002639D"/>
    <w:rsid w:val="000278D0"/>
    <w:rsid w:val="00027E62"/>
    <w:rsid w:val="000307C8"/>
    <w:rsid w:val="00030F73"/>
    <w:rsid w:val="00032576"/>
    <w:rsid w:val="00033326"/>
    <w:rsid w:val="00035ADE"/>
    <w:rsid w:val="0004224B"/>
    <w:rsid w:val="00046226"/>
    <w:rsid w:val="000505FB"/>
    <w:rsid w:val="0005330D"/>
    <w:rsid w:val="000550BA"/>
    <w:rsid w:val="000557A7"/>
    <w:rsid w:val="00055805"/>
    <w:rsid w:val="00056CB3"/>
    <w:rsid w:val="0005793B"/>
    <w:rsid w:val="00061758"/>
    <w:rsid w:val="00064F19"/>
    <w:rsid w:val="00065088"/>
    <w:rsid w:val="00065125"/>
    <w:rsid w:val="00066D54"/>
    <w:rsid w:val="00067A28"/>
    <w:rsid w:val="0007260F"/>
    <w:rsid w:val="000739CB"/>
    <w:rsid w:val="00073C89"/>
    <w:rsid w:val="0007488E"/>
    <w:rsid w:val="000805D5"/>
    <w:rsid w:val="0008103B"/>
    <w:rsid w:val="0008174A"/>
    <w:rsid w:val="00082F76"/>
    <w:rsid w:val="00085F97"/>
    <w:rsid w:val="000879B1"/>
    <w:rsid w:val="00092A33"/>
    <w:rsid w:val="000973F9"/>
    <w:rsid w:val="00097A23"/>
    <w:rsid w:val="000A0848"/>
    <w:rsid w:val="000A2FEC"/>
    <w:rsid w:val="000A348F"/>
    <w:rsid w:val="000A3EE4"/>
    <w:rsid w:val="000B1B0C"/>
    <w:rsid w:val="000B3A95"/>
    <w:rsid w:val="000B4345"/>
    <w:rsid w:val="000B5900"/>
    <w:rsid w:val="000B60AE"/>
    <w:rsid w:val="000B6942"/>
    <w:rsid w:val="000B6D00"/>
    <w:rsid w:val="000C09FA"/>
    <w:rsid w:val="000C1AB0"/>
    <w:rsid w:val="000C37A9"/>
    <w:rsid w:val="000C6728"/>
    <w:rsid w:val="000C702E"/>
    <w:rsid w:val="000D15E9"/>
    <w:rsid w:val="000D3182"/>
    <w:rsid w:val="000D45C4"/>
    <w:rsid w:val="000D46B3"/>
    <w:rsid w:val="000D6F37"/>
    <w:rsid w:val="000E18F3"/>
    <w:rsid w:val="000E19AC"/>
    <w:rsid w:val="000E266E"/>
    <w:rsid w:val="000E4C7B"/>
    <w:rsid w:val="000E792A"/>
    <w:rsid w:val="000F1515"/>
    <w:rsid w:val="000F16B5"/>
    <w:rsid w:val="000F616E"/>
    <w:rsid w:val="000F7D50"/>
    <w:rsid w:val="00103AB5"/>
    <w:rsid w:val="00110D43"/>
    <w:rsid w:val="00111F10"/>
    <w:rsid w:val="001159EA"/>
    <w:rsid w:val="00120A75"/>
    <w:rsid w:val="00125410"/>
    <w:rsid w:val="001265EC"/>
    <w:rsid w:val="00130858"/>
    <w:rsid w:val="00131861"/>
    <w:rsid w:val="00136806"/>
    <w:rsid w:val="00136C26"/>
    <w:rsid w:val="0014059F"/>
    <w:rsid w:val="00141551"/>
    <w:rsid w:val="001417CE"/>
    <w:rsid w:val="0014479F"/>
    <w:rsid w:val="00146B30"/>
    <w:rsid w:val="00146EAD"/>
    <w:rsid w:val="001541BF"/>
    <w:rsid w:val="00154DC5"/>
    <w:rsid w:val="00160C8D"/>
    <w:rsid w:val="001629C0"/>
    <w:rsid w:val="00165122"/>
    <w:rsid w:val="00165854"/>
    <w:rsid w:val="00165CB8"/>
    <w:rsid w:val="00166078"/>
    <w:rsid w:val="00166A15"/>
    <w:rsid w:val="001711BC"/>
    <w:rsid w:val="001738DB"/>
    <w:rsid w:val="001738F5"/>
    <w:rsid w:val="00173DFD"/>
    <w:rsid w:val="00180FC7"/>
    <w:rsid w:val="00180FF9"/>
    <w:rsid w:val="0019204F"/>
    <w:rsid w:val="00195228"/>
    <w:rsid w:val="00195696"/>
    <w:rsid w:val="00196532"/>
    <w:rsid w:val="001A1EFC"/>
    <w:rsid w:val="001A48EF"/>
    <w:rsid w:val="001A49CC"/>
    <w:rsid w:val="001A5553"/>
    <w:rsid w:val="001A716E"/>
    <w:rsid w:val="001B18C6"/>
    <w:rsid w:val="001B2C65"/>
    <w:rsid w:val="001B4255"/>
    <w:rsid w:val="001B7058"/>
    <w:rsid w:val="001C3A4F"/>
    <w:rsid w:val="001C4121"/>
    <w:rsid w:val="001C48DE"/>
    <w:rsid w:val="001C7F8D"/>
    <w:rsid w:val="001D30C1"/>
    <w:rsid w:val="001D37B5"/>
    <w:rsid w:val="001D52E3"/>
    <w:rsid w:val="001D576F"/>
    <w:rsid w:val="001D7C29"/>
    <w:rsid w:val="001E0475"/>
    <w:rsid w:val="001E33C2"/>
    <w:rsid w:val="001E510E"/>
    <w:rsid w:val="001E708A"/>
    <w:rsid w:val="001F2AAD"/>
    <w:rsid w:val="001F5C90"/>
    <w:rsid w:val="001F767C"/>
    <w:rsid w:val="001F7B10"/>
    <w:rsid w:val="00203A7B"/>
    <w:rsid w:val="002057EF"/>
    <w:rsid w:val="00205C6E"/>
    <w:rsid w:val="00210074"/>
    <w:rsid w:val="00210FCF"/>
    <w:rsid w:val="00212168"/>
    <w:rsid w:val="002147B1"/>
    <w:rsid w:val="002179B6"/>
    <w:rsid w:val="00222EFF"/>
    <w:rsid w:val="002240D5"/>
    <w:rsid w:val="002261A7"/>
    <w:rsid w:val="00226AEC"/>
    <w:rsid w:val="00235C95"/>
    <w:rsid w:val="0024350C"/>
    <w:rsid w:val="00253E45"/>
    <w:rsid w:val="002545F3"/>
    <w:rsid w:val="0026257E"/>
    <w:rsid w:val="0026344F"/>
    <w:rsid w:val="00264434"/>
    <w:rsid w:val="0026612F"/>
    <w:rsid w:val="00266A17"/>
    <w:rsid w:val="00270372"/>
    <w:rsid w:val="00271A4D"/>
    <w:rsid w:val="00275534"/>
    <w:rsid w:val="00276421"/>
    <w:rsid w:val="00277075"/>
    <w:rsid w:val="002775D2"/>
    <w:rsid w:val="00281ADD"/>
    <w:rsid w:val="0028563E"/>
    <w:rsid w:val="00287823"/>
    <w:rsid w:val="0028792D"/>
    <w:rsid w:val="00293E0D"/>
    <w:rsid w:val="00293E80"/>
    <w:rsid w:val="00297395"/>
    <w:rsid w:val="002973B0"/>
    <w:rsid w:val="00297C14"/>
    <w:rsid w:val="002A220F"/>
    <w:rsid w:val="002A24F1"/>
    <w:rsid w:val="002A43A0"/>
    <w:rsid w:val="002A5778"/>
    <w:rsid w:val="002A6E3B"/>
    <w:rsid w:val="002B0A90"/>
    <w:rsid w:val="002B0B1E"/>
    <w:rsid w:val="002B1C24"/>
    <w:rsid w:val="002B1E84"/>
    <w:rsid w:val="002B1F56"/>
    <w:rsid w:val="002B2085"/>
    <w:rsid w:val="002B3EC4"/>
    <w:rsid w:val="002C37D5"/>
    <w:rsid w:val="002C4DA6"/>
    <w:rsid w:val="002C60A0"/>
    <w:rsid w:val="002D0BAB"/>
    <w:rsid w:val="002D18E1"/>
    <w:rsid w:val="002D239A"/>
    <w:rsid w:val="002D34DB"/>
    <w:rsid w:val="002D48BE"/>
    <w:rsid w:val="002D4B11"/>
    <w:rsid w:val="002E5633"/>
    <w:rsid w:val="002E5CE6"/>
    <w:rsid w:val="002F0472"/>
    <w:rsid w:val="002F0797"/>
    <w:rsid w:val="002F1963"/>
    <w:rsid w:val="002F49DD"/>
    <w:rsid w:val="002F5B6E"/>
    <w:rsid w:val="002F61B5"/>
    <w:rsid w:val="00300066"/>
    <w:rsid w:val="0030090B"/>
    <w:rsid w:val="0030209B"/>
    <w:rsid w:val="00302B2E"/>
    <w:rsid w:val="00304E16"/>
    <w:rsid w:val="003116DE"/>
    <w:rsid w:val="00312494"/>
    <w:rsid w:val="003127E4"/>
    <w:rsid w:val="00312C42"/>
    <w:rsid w:val="00313215"/>
    <w:rsid w:val="00313DA1"/>
    <w:rsid w:val="003174C3"/>
    <w:rsid w:val="003230D5"/>
    <w:rsid w:val="00324C1B"/>
    <w:rsid w:val="0032557A"/>
    <w:rsid w:val="00325A10"/>
    <w:rsid w:val="00326E3E"/>
    <w:rsid w:val="00327048"/>
    <w:rsid w:val="003318BA"/>
    <w:rsid w:val="003326F7"/>
    <w:rsid w:val="00340778"/>
    <w:rsid w:val="00343205"/>
    <w:rsid w:val="0034336F"/>
    <w:rsid w:val="00343BA1"/>
    <w:rsid w:val="00344D2C"/>
    <w:rsid w:val="003458CE"/>
    <w:rsid w:val="00345A57"/>
    <w:rsid w:val="00346D90"/>
    <w:rsid w:val="00351F62"/>
    <w:rsid w:val="0035792C"/>
    <w:rsid w:val="003601F4"/>
    <w:rsid w:val="00361150"/>
    <w:rsid w:val="00363F29"/>
    <w:rsid w:val="003671E2"/>
    <w:rsid w:val="00370320"/>
    <w:rsid w:val="00372AE6"/>
    <w:rsid w:val="00376C3A"/>
    <w:rsid w:val="0038082C"/>
    <w:rsid w:val="003837E1"/>
    <w:rsid w:val="0038584D"/>
    <w:rsid w:val="003919C5"/>
    <w:rsid w:val="0039257F"/>
    <w:rsid w:val="003931DE"/>
    <w:rsid w:val="00397D1A"/>
    <w:rsid w:val="003A163C"/>
    <w:rsid w:val="003A28C5"/>
    <w:rsid w:val="003A2B4E"/>
    <w:rsid w:val="003A2FBB"/>
    <w:rsid w:val="003A3799"/>
    <w:rsid w:val="003A4913"/>
    <w:rsid w:val="003A54A9"/>
    <w:rsid w:val="003A62A5"/>
    <w:rsid w:val="003A66EB"/>
    <w:rsid w:val="003A7083"/>
    <w:rsid w:val="003B2CF2"/>
    <w:rsid w:val="003B3103"/>
    <w:rsid w:val="003B38B3"/>
    <w:rsid w:val="003B3A97"/>
    <w:rsid w:val="003B3D44"/>
    <w:rsid w:val="003B44A7"/>
    <w:rsid w:val="003B47BC"/>
    <w:rsid w:val="003C2540"/>
    <w:rsid w:val="003C6BB5"/>
    <w:rsid w:val="003C7CC2"/>
    <w:rsid w:val="003D3379"/>
    <w:rsid w:val="003D50B6"/>
    <w:rsid w:val="003E05DF"/>
    <w:rsid w:val="003E0C7A"/>
    <w:rsid w:val="003E1562"/>
    <w:rsid w:val="003E41B2"/>
    <w:rsid w:val="003E6085"/>
    <w:rsid w:val="003E6CA3"/>
    <w:rsid w:val="003F4C96"/>
    <w:rsid w:val="003F7407"/>
    <w:rsid w:val="003F7FED"/>
    <w:rsid w:val="00401C49"/>
    <w:rsid w:val="00404CFE"/>
    <w:rsid w:val="00406002"/>
    <w:rsid w:val="00406AD3"/>
    <w:rsid w:val="00410731"/>
    <w:rsid w:val="00412E42"/>
    <w:rsid w:val="00413EC1"/>
    <w:rsid w:val="004154B2"/>
    <w:rsid w:val="00415776"/>
    <w:rsid w:val="0042112A"/>
    <w:rsid w:val="00425534"/>
    <w:rsid w:val="00425A81"/>
    <w:rsid w:val="00425C05"/>
    <w:rsid w:val="00426356"/>
    <w:rsid w:val="00426929"/>
    <w:rsid w:val="00426DD6"/>
    <w:rsid w:val="00432364"/>
    <w:rsid w:val="00433D11"/>
    <w:rsid w:val="00440108"/>
    <w:rsid w:val="00441A6D"/>
    <w:rsid w:val="004425BD"/>
    <w:rsid w:val="00442C16"/>
    <w:rsid w:val="00445410"/>
    <w:rsid w:val="00446439"/>
    <w:rsid w:val="00450BDA"/>
    <w:rsid w:val="00453A3E"/>
    <w:rsid w:val="0045452F"/>
    <w:rsid w:val="0045766B"/>
    <w:rsid w:val="00457EA9"/>
    <w:rsid w:val="004618A2"/>
    <w:rsid w:val="0046444F"/>
    <w:rsid w:val="004716E3"/>
    <w:rsid w:val="00474BB7"/>
    <w:rsid w:val="00476133"/>
    <w:rsid w:val="00476800"/>
    <w:rsid w:val="004816D7"/>
    <w:rsid w:val="00482F63"/>
    <w:rsid w:val="0048342E"/>
    <w:rsid w:val="00485361"/>
    <w:rsid w:val="00487478"/>
    <w:rsid w:val="0048782D"/>
    <w:rsid w:val="00490873"/>
    <w:rsid w:val="00491703"/>
    <w:rsid w:val="00494DC1"/>
    <w:rsid w:val="004A3F56"/>
    <w:rsid w:val="004A4F1C"/>
    <w:rsid w:val="004A5A93"/>
    <w:rsid w:val="004A5E21"/>
    <w:rsid w:val="004A666A"/>
    <w:rsid w:val="004B143F"/>
    <w:rsid w:val="004B27DE"/>
    <w:rsid w:val="004B3022"/>
    <w:rsid w:val="004B49A0"/>
    <w:rsid w:val="004B7F01"/>
    <w:rsid w:val="004C3BDA"/>
    <w:rsid w:val="004C6306"/>
    <w:rsid w:val="004C6F5E"/>
    <w:rsid w:val="004C79AB"/>
    <w:rsid w:val="004C7E94"/>
    <w:rsid w:val="004D4551"/>
    <w:rsid w:val="004D7CF8"/>
    <w:rsid w:val="004D7EDA"/>
    <w:rsid w:val="004E0E49"/>
    <w:rsid w:val="004E197A"/>
    <w:rsid w:val="004E5D52"/>
    <w:rsid w:val="004F07D7"/>
    <w:rsid w:val="004F1297"/>
    <w:rsid w:val="004F16DB"/>
    <w:rsid w:val="004F4D7E"/>
    <w:rsid w:val="004F57E8"/>
    <w:rsid w:val="004F5B16"/>
    <w:rsid w:val="004F5D9D"/>
    <w:rsid w:val="004F68E5"/>
    <w:rsid w:val="004F7037"/>
    <w:rsid w:val="004F741B"/>
    <w:rsid w:val="00500F08"/>
    <w:rsid w:val="0050132A"/>
    <w:rsid w:val="00503253"/>
    <w:rsid w:val="00503BB0"/>
    <w:rsid w:val="00503E03"/>
    <w:rsid w:val="00511F0B"/>
    <w:rsid w:val="00512226"/>
    <w:rsid w:val="00512B31"/>
    <w:rsid w:val="005147C6"/>
    <w:rsid w:val="005159B1"/>
    <w:rsid w:val="00522502"/>
    <w:rsid w:val="00522530"/>
    <w:rsid w:val="005255A1"/>
    <w:rsid w:val="00525825"/>
    <w:rsid w:val="0052641C"/>
    <w:rsid w:val="005311C2"/>
    <w:rsid w:val="0053795D"/>
    <w:rsid w:val="00544522"/>
    <w:rsid w:val="00545D37"/>
    <w:rsid w:val="005467E2"/>
    <w:rsid w:val="005468AB"/>
    <w:rsid w:val="005501A0"/>
    <w:rsid w:val="0055026B"/>
    <w:rsid w:val="00550831"/>
    <w:rsid w:val="005525B0"/>
    <w:rsid w:val="00554273"/>
    <w:rsid w:val="0056001A"/>
    <w:rsid w:val="005642B6"/>
    <w:rsid w:val="00566A97"/>
    <w:rsid w:val="00571D5E"/>
    <w:rsid w:val="005814CA"/>
    <w:rsid w:val="005823D0"/>
    <w:rsid w:val="00582D54"/>
    <w:rsid w:val="005833C1"/>
    <w:rsid w:val="00583AAF"/>
    <w:rsid w:val="00587AF9"/>
    <w:rsid w:val="00594D81"/>
    <w:rsid w:val="005962D5"/>
    <w:rsid w:val="005979D8"/>
    <w:rsid w:val="005A2748"/>
    <w:rsid w:val="005A2DA7"/>
    <w:rsid w:val="005A443F"/>
    <w:rsid w:val="005A5215"/>
    <w:rsid w:val="005A7C26"/>
    <w:rsid w:val="005B0970"/>
    <w:rsid w:val="005B0E43"/>
    <w:rsid w:val="005B54F9"/>
    <w:rsid w:val="005B58D4"/>
    <w:rsid w:val="005B5B58"/>
    <w:rsid w:val="005B5E2A"/>
    <w:rsid w:val="005B7DC9"/>
    <w:rsid w:val="005B7FF9"/>
    <w:rsid w:val="005C07B3"/>
    <w:rsid w:val="005C284E"/>
    <w:rsid w:val="005C47D4"/>
    <w:rsid w:val="005D51D0"/>
    <w:rsid w:val="005D6F83"/>
    <w:rsid w:val="005D7877"/>
    <w:rsid w:val="005D7CCF"/>
    <w:rsid w:val="005E04CF"/>
    <w:rsid w:val="005E1F5B"/>
    <w:rsid w:val="005E58C4"/>
    <w:rsid w:val="005E5D8F"/>
    <w:rsid w:val="005F5A5C"/>
    <w:rsid w:val="005F5CD9"/>
    <w:rsid w:val="005F6550"/>
    <w:rsid w:val="00602664"/>
    <w:rsid w:val="0061135C"/>
    <w:rsid w:val="006136DD"/>
    <w:rsid w:val="00613910"/>
    <w:rsid w:val="006149F0"/>
    <w:rsid w:val="006220A5"/>
    <w:rsid w:val="00622D86"/>
    <w:rsid w:val="00624AC8"/>
    <w:rsid w:val="006262CF"/>
    <w:rsid w:val="00633812"/>
    <w:rsid w:val="00633C60"/>
    <w:rsid w:val="0064126D"/>
    <w:rsid w:val="006451B8"/>
    <w:rsid w:val="00645722"/>
    <w:rsid w:val="006509C3"/>
    <w:rsid w:val="00651885"/>
    <w:rsid w:val="00652432"/>
    <w:rsid w:val="00657840"/>
    <w:rsid w:val="0066003C"/>
    <w:rsid w:val="0066041E"/>
    <w:rsid w:val="006619BB"/>
    <w:rsid w:val="00665A3C"/>
    <w:rsid w:val="00671983"/>
    <w:rsid w:val="00671E06"/>
    <w:rsid w:val="00673CCC"/>
    <w:rsid w:val="00675C98"/>
    <w:rsid w:val="00684DFA"/>
    <w:rsid w:val="0069026B"/>
    <w:rsid w:val="006956EA"/>
    <w:rsid w:val="00696DCC"/>
    <w:rsid w:val="006A0D82"/>
    <w:rsid w:val="006A490C"/>
    <w:rsid w:val="006A5881"/>
    <w:rsid w:val="006A766E"/>
    <w:rsid w:val="006B2AA5"/>
    <w:rsid w:val="006B4F7D"/>
    <w:rsid w:val="006B63B1"/>
    <w:rsid w:val="006B67D1"/>
    <w:rsid w:val="006C114C"/>
    <w:rsid w:val="006C3668"/>
    <w:rsid w:val="006C3864"/>
    <w:rsid w:val="006C5383"/>
    <w:rsid w:val="006C5E72"/>
    <w:rsid w:val="006D0B20"/>
    <w:rsid w:val="006D2AEC"/>
    <w:rsid w:val="006D3087"/>
    <w:rsid w:val="006D438F"/>
    <w:rsid w:val="006D4B1C"/>
    <w:rsid w:val="006D4C8E"/>
    <w:rsid w:val="006E19D1"/>
    <w:rsid w:val="006E1CBB"/>
    <w:rsid w:val="006E4B27"/>
    <w:rsid w:val="006E5E7E"/>
    <w:rsid w:val="006F100B"/>
    <w:rsid w:val="006F239A"/>
    <w:rsid w:val="006F2C9D"/>
    <w:rsid w:val="006F3203"/>
    <w:rsid w:val="006F4201"/>
    <w:rsid w:val="006F6B51"/>
    <w:rsid w:val="007048DB"/>
    <w:rsid w:val="0070637D"/>
    <w:rsid w:val="007071DD"/>
    <w:rsid w:val="0070771F"/>
    <w:rsid w:val="0071058A"/>
    <w:rsid w:val="00712A14"/>
    <w:rsid w:val="00713208"/>
    <w:rsid w:val="007166E8"/>
    <w:rsid w:val="00716C04"/>
    <w:rsid w:val="00717180"/>
    <w:rsid w:val="007179D2"/>
    <w:rsid w:val="00720750"/>
    <w:rsid w:val="0072161A"/>
    <w:rsid w:val="0072549C"/>
    <w:rsid w:val="00725A80"/>
    <w:rsid w:val="00726E61"/>
    <w:rsid w:val="00727C16"/>
    <w:rsid w:val="00730D57"/>
    <w:rsid w:val="0073102A"/>
    <w:rsid w:val="00733970"/>
    <w:rsid w:val="007375FE"/>
    <w:rsid w:val="00741D0B"/>
    <w:rsid w:val="00754C58"/>
    <w:rsid w:val="0076302E"/>
    <w:rsid w:val="007636B4"/>
    <w:rsid w:val="00772F00"/>
    <w:rsid w:val="0077436E"/>
    <w:rsid w:val="00776E78"/>
    <w:rsid w:val="0078138A"/>
    <w:rsid w:val="00783014"/>
    <w:rsid w:val="007834DC"/>
    <w:rsid w:val="00790768"/>
    <w:rsid w:val="007959D8"/>
    <w:rsid w:val="0079630F"/>
    <w:rsid w:val="007A04C2"/>
    <w:rsid w:val="007A4188"/>
    <w:rsid w:val="007A4238"/>
    <w:rsid w:val="007A47D0"/>
    <w:rsid w:val="007B146A"/>
    <w:rsid w:val="007B57C9"/>
    <w:rsid w:val="007C0E7C"/>
    <w:rsid w:val="007C0EAA"/>
    <w:rsid w:val="007C19C3"/>
    <w:rsid w:val="007C44B2"/>
    <w:rsid w:val="007C54EE"/>
    <w:rsid w:val="007C6496"/>
    <w:rsid w:val="007C745E"/>
    <w:rsid w:val="007D0ABE"/>
    <w:rsid w:val="007E0E53"/>
    <w:rsid w:val="007E319A"/>
    <w:rsid w:val="007E356F"/>
    <w:rsid w:val="007E3F8C"/>
    <w:rsid w:val="007F2058"/>
    <w:rsid w:val="007F41A3"/>
    <w:rsid w:val="007F65B3"/>
    <w:rsid w:val="007F7685"/>
    <w:rsid w:val="0080011D"/>
    <w:rsid w:val="00800EA5"/>
    <w:rsid w:val="00801C01"/>
    <w:rsid w:val="008112CC"/>
    <w:rsid w:val="008130BB"/>
    <w:rsid w:val="00813D7D"/>
    <w:rsid w:val="008147C6"/>
    <w:rsid w:val="00817406"/>
    <w:rsid w:val="008208A7"/>
    <w:rsid w:val="008237FA"/>
    <w:rsid w:val="00825D37"/>
    <w:rsid w:val="00826318"/>
    <w:rsid w:val="00826FD2"/>
    <w:rsid w:val="008359CF"/>
    <w:rsid w:val="008369B0"/>
    <w:rsid w:val="008372D1"/>
    <w:rsid w:val="00845C1E"/>
    <w:rsid w:val="008505D4"/>
    <w:rsid w:val="0085732C"/>
    <w:rsid w:val="00857C91"/>
    <w:rsid w:val="00860B45"/>
    <w:rsid w:val="00861F68"/>
    <w:rsid w:val="00863860"/>
    <w:rsid w:val="008638B5"/>
    <w:rsid w:val="00865E92"/>
    <w:rsid w:val="00866B47"/>
    <w:rsid w:val="0087216A"/>
    <w:rsid w:val="008734DB"/>
    <w:rsid w:val="0087390B"/>
    <w:rsid w:val="00874035"/>
    <w:rsid w:val="008745A1"/>
    <w:rsid w:val="008768E9"/>
    <w:rsid w:val="0087751B"/>
    <w:rsid w:val="00881A32"/>
    <w:rsid w:val="00881C6B"/>
    <w:rsid w:val="0088555B"/>
    <w:rsid w:val="00890995"/>
    <w:rsid w:val="008914FB"/>
    <w:rsid w:val="00892516"/>
    <w:rsid w:val="0089737A"/>
    <w:rsid w:val="00897E99"/>
    <w:rsid w:val="00897F60"/>
    <w:rsid w:val="008A4829"/>
    <w:rsid w:val="008B130B"/>
    <w:rsid w:val="008B2384"/>
    <w:rsid w:val="008B38D6"/>
    <w:rsid w:val="008B4802"/>
    <w:rsid w:val="008B5631"/>
    <w:rsid w:val="008B69E3"/>
    <w:rsid w:val="008C1FD1"/>
    <w:rsid w:val="008C24A8"/>
    <w:rsid w:val="008C35EF"/>
    <w:rsid w:val="008C3664"/>
    <w:rsid w:val="008C5996"/>
    <w:rsid w:val="008D4FA9"/>
    <w:rsid w:val="008D5A11"/>
    <w:rsid w:val="008D5E23"/>
    <w:rsid w:val="008D77AF"/>
    <w:rsid w:val="008E6D59"/>
    <w:rsid w:val="008F30C7"/>
    <w:rsid w:val="008F4527"/>
    <w:rsid w:val="008F5D66"/>
    <w:rsid w:val="0090176D"/>
    <w:rsid w:val="009028AA"/>
    <w:rsid w:val="00903E3F"/>
    <w:rsid w:val="009049C3"/>
    <w:rsid w:val="00904AB8"/>
    <w:rsid w:val="009057D9"/>
    <w:rsid w:val="0090774A"/>
    <w:rsid w:val="00907C97"/>
    <w:rsid w:val="00910D07"/>
    <w:rsid w:val="00914B2F"/>
    <w:rsid w:val="009150E6"/>
    <w:rsid w:val="00916290"/>
    <w:rsid w:val="00916F37"/>
    <w:rsid w:val="00917F89"/>
    <w:rsid w:val="009223BE"/>
    <w:rsid w:val="0092499B"/>
    <w:rsid w:val="009255EE"/>
    <w:rsid w:val="00925603"/>
    <w:rsid w:val="00925F76"/>
    <w:rsid w:val="00925FCE"/>
    <w:rsid w:val="00932E89"/>
    <w:rsid w:val="0093359D"/>
    <w:rsid w:val="00933F2B"/>
    <w:rsid w:val="00942EEB"/>
    <w:rsid w:val="0094468E"/>
    <w:rsid w:val="00944B6E"/>
    <w:rsid w:val="00945261"/>
    <w:rsid w:val="00947377"/>
    <w:rsid w:val="009506A5"/>
    <w:rsid w:val="00951452"/>
    <w:rsid w:val="00952DC3"/>
    <w:rsid w:val="009541CC"/>
    <w:rsid w:val="00956564"/>
    <w:rsid w:val="009567A6"/>
    <w:rsid w:val="00956D5A"/>
    <w:rsid w:val="00961B2C"/>
    <w:rsid w:val="00961DBB"/>
    <w:rsid w:val="009630F6"/>
    <w:rsid w:val="00963D2B"/>
    <w:rsid w:val="0096618E"/>
    <w:rsid w:val="009728C6"/>
    <w:rsid w:val="0097580A"/>
    <w:rsid w:val="009758AE"/>
    <w:rsid w:val="00981433"/>
    <w:rsid w:val="0098222F"/>
    <w:rsid w:val="0098244F"/>
    <w:rsid w:val="00983122"/>
    <w:rsid w:val="00985C07"/>
    <w:rsid w:val="00995B4F"/>
    <w:rsid w:val="00995FA3"/>
    <w:rsid w:val="00997582"/>
    <w:rsid w:val="009A22F8"/>
    <w:rsid w:val="009A2C21"/>
    <w:rsid w:val="009A3E58"/>
    <w:rsid w:val="009A5F02"/>
    <w:rsid w:val="009A7AB1"/>
    <w:rsid w:val="009B424D"/>
    <w:rsid w:val="009B42D5"/>
    <w:rsid w:val="009B6408"/>
    <w:rsid w:val="009B70E6"/>
    <w:rsid w:val="009C5A54"/>
    <w:rsid w:val="009C6DAA"/>
    <w:rsid w:val="009D0E74"/>
    <w:rsid w:val="009D1520"/>
    <w:rsid w:val="009D1A96"/>
    <w:rsid w:val="009D370B"/>
    <w:rsid w:val="009D397F"/>
    <w:rsid w:val="009D7EE0"/>
    <w:rsid w:val="009E2087"/>
    <w:rsid w:val="009E252B"/>
    <w:rsid w:val="009E3265"/>
    <w:rsid w:val="009E3353"/>
    <w:rsid w:val="009E446D"/>
    <w:rsid w:val="009E7C09"/>
    <w:rsid w:val="009F146D"/>
    <w:rsid w:val="009F4F1E"/>
    <w:rsid w:val="009F5D6A"/>
    <w:rsid w:val="00A015E4"/>
    <w:rsid w:val="00A0202A"/>
    <w:rsid w:val="00A075BC"/>
    <w:rsid w:val="00A10D9B"/>
    <w:rsid w:val="00A11222"/>
    <w:rsid w:val="00A12C39"/>
    <w:rsid w:val="00A134FB"/>
    <w:rsid w:val="00A16217"/>
    <w:rsid w:val="00A162FE"/>
    <w:rsid w:val="00A20802"/>
    <w:rsid w:val="00A25B4F"/>
    <w:rsid w:val="00A261B3"/>
    <w:rsid w:val="00A2675A"/>
    <w:rsid w:val="00A27E8B"/>
    <w:rsid w:val="00A311CF"/>
    <w:rsid w:val="00A321E8"/>
    <w:rsid w:val="00A377FF"/>
    <w:rsid w:val="00A442BF"/>
    <w:rsid w:val="00A50BC1"/>
    <w:rsid w:val="00A513DE"/>
    <w:rsid w:val="00A517D0"/>
    <w:rsid w:val="00A51B96"/>
    <w:rsid w:val="00A53716"/>
    <w:rsid w:val="00A5629E"/>
    <w:rsid w:val="00A57D6D"/>
    <w:rsid w:val="00A60CA5"/>
    <w:rsid w:val="00A64832"/>
    <w:rsid w:val="00A732DB"/>
    <w:rsid w:val="00A75338"/>
    <w:rsid w:val="00A75B94"/>
    <w:rsid w:val="00A7679F"/>
    <w:rsid w:val="00A838D2"/>
    <w:rsid w:val="00A86F04"/>
    <w:rsid w:val="00A946C4"/>
    <w:rsid w:val="00AA478E"/>
    <w:rsid w:val="00AB137D"/>
    <w:rsid w:val="00AB6CB4"/>
    <w:rsid w:val="00AC01F8"/>
    <w:rsid w:val="00AC059A"/>
    <w:rsid w:val="00AC3BE3"/>
    <w:rsid w:val="00AC41CF"/>
    <w:rsid w:val="00AC4633"/>
    <w:rsid w:val="00AD0308"/>
    <w:rsid w:val="00AD25A8"/>
    <w:rsid w:val="00AD377A"/>
    <w:rsid w:val="00AD67BB"/>
    <w:rsid w:val="00AE1CC1"/>
    <w:rsid w:val="00AE3EA4"/>
    <w:rsid w:val="00AE51FE"/>
    <w:rsid w:val="00AF1B02"/>
    <w:rsid w:val="00AF3ACE"/>
    <w:rsid w:val="00AF41E4"/>
    <w:rsid w:val="00AF568A"/>
    <w:rsid w:val="00AF7891"/>
    <w:rsid w:val="00B05262"/>
    <w:rsid w:val="00B058D4"/>
    <w:rsid w:val="00B06A75"/>
    <w:rsid w:val="00B06BC3"/>
    <w:rsid w:val="00B135ED"/>
    <w:rsid w:val="00B15A0F"/>
    <w:rsid w:val="00B17FB2"/>
    <w:rsid w:val="00B20236"/>
    <w:rsid w:val="00B20937"/>
    <w:rsid w:val="00B220A0"/>
    <w:rsid w:val="00B22B64"/>
    <w:rsid w:val="00B22D72"/>
    <w:rsid w:val="00B22FEA"/>
    <w:rsid w:val="00B24321"/>
    <w:rsid w:val="00B30FEB"/>
    <w:rsid w:val="00B311BA"/>
    <w:rsid w:val="00B35B47"/>
    <w:rsid w:val="00B40AA3"/>
    <w:rsid w:val="00B43AF9"/>
    <w:rsid w:val="00B440E5"/>
    <w:rsid w:val="00B44478"/>
    <w:rsid w:val="00B45248"/>
    <w:rsid w:val="00B4609C"/>
    <w:rsid w:val="00B508DA"/>
    <w:rsid w:val="00B538BA"/>
    <w:rsid w:val="00B6002C"/>
    <w:rsid w:val="00B603DE"/>
    <w:rsid w:val="00B620EE"/>
    <w:rsid w:val="00B6225A"/>
    <w:rsid w:val="00B65F9A"/>
    <w:rsid w:val="00B72953"/>
    <w:rsid w:val="00B80FB4"/>
    <w:rsid w:val="00B81F70"/>
    <w:rsid w:val="00B85366"/>
    <w:rsid w:val="00B87F60"/>
    <w:rsid w:val="00B9079B"/>
    <w:rsid w:val="00B93B5E"/>
    <w:rsid w:val="00B93D3D"/>
    <w:rsid w:val="00B94ECA"/>
    <w:rsid w:val="00B96341"/>
    <w:rsid w:val="00B973CE"/>
    <w:rsid w:val="00BA471F"/>
    <w:rsid w:val="00BB36E8"/>
    <w:rsid w:val="00BB5013"/>
    <w:rsid w:val="00BB528E"/>
    <w:rsid w:val="00BB615A"/>
    <w:rsid w:val="00BB78CD"/>
    <w:rsid w:val="00BC02B2"/>
    <w:rsid w:val="00BC0857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E0D9A"/>
    <w:rsid w:val="00BE1A50"/>
    <w:rsid w:val="00BE2F0D"/>
    <w:rsid w:val="00BE2F25"/>
    <w:rsid w:val="00BE5E2E"/>
    <w:rsid w:val="00BF0BD5"/>
    <w:rsid w:val="00BF0D35"/>
    <w:rsid w:val="00BF55F8"/>
    <w:rsid w:val="00C051FD"/>
    <w:rsid w:val="00C074B1"/>
    <w:rsid w:val="00C1744F"/>
    <w:rsid w:val="00C20C7D"/>
    <w:rsid w:val="00C20DEF"/>
    <w:rsid w:val="00C23FDD"/>
    <w:rsid w:val="00C24B25"/>
    <w:rsid w:val="00C24E89"/>
    <w:rsid w:val="00C32C2F"/>
    <w:rsid w:val="00C3738A"/>
    <w:rsid w:val="00C40859"/>
    <w:rsid w:val="00C4312E"/>
    <w:rsid w:val="00C4315A"/>
    <w:rsid w:val="00C43F5E"/>
    <w:rsid w:val="00C44074"/>
    <w:rsid w:val="00C4535D"/>
    <w:rsid w:val="00C4556D"/>
    <w:rsid w:val="00C4651F"/>
    <w:rsid w:val="00C51D0B"/>
    <w:rsid w:val="00C52207"/>
    <w:rsid w:val="00C52A50"/>
    <w:rsid w:val="00C642D4"/>
    <w:rsid w:val="00C66AF6"/>
    <w:rsid w:val="00C730F4"/>
    <w:rsid w:val="00C74311"/>
    <w:rsid w:val="00C80200"/>
    <w:rsid w:val="00C80E0A"/>
    <w:rsid w:val="00C8270B"/>
    <w:rsid w:val="00C841A9"/>
    <w:rsid w:val="00C871B0"/>
    <w:rsid w:val="00C8728F"/>
    <w:rsid w:val="00C9107C"/>
    <w:rsid w:val="00C91D48"/>
    <w:rsid w:val="00C97FBC"/>
    <w:rsid w:val="00CA06C8"/>
    <w:rsid w:val="00CA0B7E"/>
    <w:rsid w:val="00CA2271"/>
    <w:rsid w:val="00CA37B6"/>
    <w:rsid w:val="00CA4C28"/>
    <w:rsid w:val="00CA4DEC"/>
    <w:rsid w:val="00CA4E33"/>
    <w:rsid w:val="00CA5598"/>
    <w:rsid w:val="00CA5EF8"/>
    <w:rsid w:val="00CB28A3"/>
    <w:rsid w:val="00CB73EC"/>
    <w:rsid w:val="00CC00A0"/>
    <w:rsid w:val="00CC0FED"/>
    <w:rsid w:val="00CC3C34"/>
    <w:rsid w:val="00CC5455"/>
    <w:rsid w:val="00CC5BD1"/>
    <w:rsid w:val="00CC6C06"/>
    <w:rsid w:val="00CC750D"/>
    <w:rsid w:val="00CC7906"/>
    <w:rsid w:val="00CD1526"/>
    <w:rsid w:val="00CD1546"/>
    <w:rsid w:val="00CD2807"/>
    <w:rsid w:val="00CD5509"/>
    <w:rsid w:val="00CE0215"/>
    <w:rsid w:val="00CE1EB0"/>
    <w:rsid w:val="00CE3DF2"/>
    <w:rsid w:val="00CF04D5"/>
    <w:rsid w:val="00CF0C0F"/>
    <w:rsid w:val="00CF1690"/>
    <w:rsid w:val="00CF1F2A"/>
    <w:rsid w:val="00CF5CE3"/>
    <w:rsid w:val="00CF7412"/>
    <w:rsid w:val="00D030F8"/>
    <w:rsid w:val="00D077B7"/>
    <w:rsid w:val="00D07878"/>
    <w:rsid w:val="00D20297"/>
    <w:rsid w:val="00D21E43"/>
    <w:rsid w:val="00D21E6B"/>
    <w:rsid w:val="00D2336A"/>
    <w:rsid w:val="00D23634"/>
    <w:rsid w:val="00D25B89"/>
    <w:rsid w:val="00D34551"/>
    <w:rsid w:val="00D36D27"/>
    <w:rsid w:val="00D41664"/>
    <w:rsid w:val="00D4569D"/>
    <w:rsid w:val="00D457D6"/>
    <w:rsid w:val="00D55013"/>
    <w:rsid w:val="00D61990"/>
    <w:rsid w:val="00D622DC"/>
    <w:rsid w:val="00D64CE2"/>
    <w:rsid w:val="00D661D4"/>
    <w:rsid w:val="00D702E1"/>
    <w:rsid w:val="00D719B9"/>
    <w:rsid w:val="00D7270F"/>
    <w:rsid w:val="00D7596A"/>
    <w:rsid w:val="00D7751B"/>
    <w:rsid w:val="00D815DC"/>
    <w:rsid w:val="00D822B5"/>
    <w:rsid w:val="00D83D3C"/>
    <w:rsid w:val="00D84451"/>
    <w:rsid w:val="00D867AE"/>
    <w:rsid w:val="00D87BBB"/>
    <w:rsid w:val="00D87C87"/>
    <w:rsid w:val="00D921C4"/>
    <w:rsid w:val="00D92711"/>
    <w:rsid w:val="00D9296A"/>
    <w:rsid w:val="00D93C23"/>
    <w:rsid w:val="00D95638"/>
    <w:rsid w:val="00D9584C"/>
    <w:rsid w:val="00D97180"/>
    <w:rsid w:val="00D97C79"/>
    <w:rsid w:val="00DA14D9"/>
    <w:rsid w:val="00DB13AD"/>
    <w:rsid w:val="00DB23F9"/>
    <w:rsid w:val="00DB58BE"/>
    <w:rsid w:val="00DB602E"/>
    <w:rsid w:val="00DB6176"/>
    <w:rsid w:val="00DB6AA0"/>
    <w:rsid w:val="00DB6BBE"/>
    <w:rsid w:val="00DB7C3A"/>
    <w:rsid w:val="00DD14EE"/>
    <w:rsid w:val="00DD32AB"/>
    <w:rsid w:val="00DD5BF6"/>
    <w:rsid w:val="00DD64DC"/>
    <w:rsid w:val="00DD6B29"/>
    <w:rsid w:val="00DE1865"/>
    <w:rsid w:val="00DE6CEF"/>
    <w:rsid w:val="00DF11C2"/>
    <w:rsid w:val="00DF2134"/>
    <w:rsid w:val="00DF4593"/>
    <w:rsid w:val="00DF64E0"/>
    <w:rsid w:val="00E04A1C"/>
    <w:rsid w:val="00E10D05"/>
    <w:rsid w:val="00E1572B"/>
    <w:rsid w:val="00E215CE"/>
    <w:rsid w:val="00E2223E"/>
    <w:rsid w:val="00E22D98"/>
    <w:rsid w:val="00E24623"/>
    <w:rsid w:val="00E252E3"/>
    <w:rsid w:val="00E25B1B"/>
    <w:rsid w:val="00E35FD6"/>
    <w:rsid w:val="00E378A9"/>
    <w:rsid w:val="00E40505"/>
    <w:rsid w:val="00E4079F"/>
    <w:rsid w:val="00E42A41"/>
    <w:rsid w:val="00E45766"/>
    <w:rsid w:val="00E45AC5"/>
    <w:rsid w:val="00E45DC8"/>
    <w:rsid w:val="00E567E5"/>
    <w:rsid w:val="00E57D97"/>
    <w:rsid w:val="00E64480"/>
    <w:rsid w:val="00E65807"/>
    <w:rsid w:val="00E66103"/>
    <w:rsid w:val="00E6708B"/>
    <w:rsid w:val="00E73A8C"/>
    <w:rsid w:val="00E75050"/>
    <w:rsid w:val="00E752BD"/>
    <w:rsid w:val="00E75D5E"/>
    <w:rsid w:val="00E76F42"/>
    <w:rsid w:val="00E77D6D"/>
    <w:rsid w:val="00E915E6"/>
    <w:rsid w:val="00E95364"/>
    <w:rsid w:val="00E95518"/>
    <w:rsid w:val="00EA3E11"/>
    <w:rsid w:val="00EA6EB3"/>
    <w:rsid w:val="00EB2E65"/>
    <w:rsid w:val="00EB4A8E"/>
    <w:rsid w:val="00EB5EF3"/>
    <w:rsid w:val="00EB62F7"/>
    <w:rsid w:val="00EB664D"/>
    <w:rsid w:val="00EB695D"/>
    <w:rsid w:val="00EB7C6D"/>
    <w:rsid w:val="00EC0525"/>
    <w:rsid w:val="00EC38F3"/>
    <w:rsid w:val="00EC4241"/>
    <w:rsid w:val="00ED0404"/>
    <w:rsid w:val="00ED1407"/>
    <w:rsid w:val="00ED2A96"/>
    <w:rsid w:val="00ED34F0"/>
    <w:rsid w:val="00ED39CE"/>
    <w:rsid w:val="00ED4134"/>
    <w:rsid w:val="00ED7A9F"/>
    <w:rsid w:val="00EE031F"/>
    <w:rsid w:val="00EE05F1"/>
    <w:rsid w:val="00EE1550"/>
    <w:rsid w:val="00EE1B0F"/>
    <w:rsid w:val="00EE3226"/>
    <w:rsid w:val="00EE471A"/>
    <w:rsid w:val="00EE5492"/>
    <w:rsid w:val="00EE583A"/>
    <w:rsid w:val="00EF090D"/>
    <w:rsid w:val="00EF0A00"/>
    <w:rsid w:val="00EF7395"/>
    <w:rsid w:val="00F0183C"/>
    <w:rsid w:val="00F0379D"/>
    <w:rsid w:val="00F03C79"/>
    <w:rsid w:val="00F0678B"/>
    <w:rsid w:val="00F07BD5"/>
    <w:rsid w:val="00F122D6"/>
    <w:rsid w:val="00F147EA"/>
    <w:rsid w:val="00F14E6F"/>
    <w:rsid w:val="00F15BF4"/>
    <w:rsid w:val="00F171E0"/>
    <w:rsid w:val="00F17940"/>
    <w:rsid w:val="00F17DC0"/>
    <w:rsid w:val="00F2046C"/>
    <w:rsid w:val="00F20647"/>
    <w:rsid w:val="00F207FC"/>
    <w:rsid w:val="00F23E32"/>
    <w:rsid w:val="00F274DB"/>
    <w:rsid w:val="00F31392"/>
    <w:rsid w:val="00F348B5"/>
    <w:rsid w:val="00F3652B"/>
    <w:rsid w:val="00F36D95"/>
    <w:rsid w:val="00F377B9"/>
    <w:rsid w:val="00F43923"/>
    <w:rsid w:val="00F439EA"/>
    <w:rsid w:val="00F45442"/>
    <w:rsid w:val="00F50AB8"/>
    <w:rsid w:val="00F5145E"/>
    <w:rsid w:val="00F558EA"/>
    <w:rsid w:val="00F5681C"/>
    <w:rsid w:val="00F6045D"/>
    <w:rsid w:val="00F613CB"/>
    <w:rsid w:val="00F61F79"/>
    <w:rsid w:val="00F651DD"/>
    <w:rsid w:val="00F656A4"/>
    <w:rsid w:val="00F6665E"/>
    <w:rsid w:val="00F7075F"/>
    <w:rsid w:val="00F71D76"/>
    <w:rsid w:val="00F823B6"/>
    <w:rsid w:val="00F8349F"/>
    <w:rsid w:val="00F83FB7"/>
    <w:rsid w:val="00F85935"/>
    <w:rsid w:val="00F85D29"/>
    <w:rsid w:val="00F969D3"/>
    <w:rsid w:val="00F9789E"/>
    <w:rsid w:val="00FA190E"/>
    <w:rsid w:val="00FA54D8"/>
    <w:rsid w:val="00FB460E"/>
    <w:rsid w:val="00FB6303"/>
    <w:rsid w:val="00FB6DAD"/>
    <w:rsid w:val="00FC1EC3"/>
    <w:rsid w:val="00FC4FB7"/>
    <w:rsid w:val="00FC65E5"/>
    <w:rsid w:val="00FC6998"/>
    <w:rsid w:val="00FD1EE0"/>
    <w:rsid w:val="00FD357B"/>
    <w:rsid w:val="00FD38FC"/>
    <w:rsid w:val="00FD6119"/>
    <w:rsid w:val="00FD688E"/>
    <w:rsid w:val="00FD7C0C"/>
    <w:rsid w:val="00FE045C"/>
    <w:rsid w:val="00FE0C52"/>
    <w:rsid w:val="00FE1692"/>
    <w:rsid w:val="00FE2763"/>
    <w:rsid w:val="00FE3069"/>
    <w:rsid w:val="00FE3B13"/>
    <w:rsid w:val="00FF0566"/>
    <w:rsid w:val="00FF15F5"/>
    <w:rsid w:val="00FF1F7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uiPriority="31" w:qFormat="1"/>
    <w:lsdException w:name="heading 9" w:uiPriority="3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9B70E6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50BC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10074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2B3B5F" w:themeColor="text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9B70E6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0BC1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210074"/>
    <w:rPr>
      <w:rFonts w:ascii="Calibri" w:eastAsiaTheme="majorEastAsia" w:hAnsi="Calibri" w:cstheme="majorBidi"/>
      <w:color w:val="2B3B5F" w:themeColor="text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16F37"/>
    <w:pPr>
      <w:keepNext/>
      <w:keepLines/>
      <w:spacing w:before="360" w:after="120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uiPriority="31" w:qFormat="1"/>
    <w:lsdException w:name="heading 9" w:uiPriority="3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9B70E6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50BC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10074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2B3B5F" w:themeColor="text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9B70E6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0BC1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210074"/>
    <w:rPr>
      <w:rFonts w:ascii="Calibri" w:eastAsiaTheme="majorEastAsia" w:hAnsi="Calibri" w:cstheme="majorBidi"/>
      <w:color w:val="2B3B5F" w:themeColor="text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16F37"/>
    <w:pPr>
      <w:keepNext/>
      <w:keepLines/>
      <w:spacing w:before="360" w:after="120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2B3B5F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CF765A65D747B283A31BD7BEC1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5FAA-7DE0-45C1-8B1F-42C2C670B94C}"/>
      </w:docPartPr>
      <w:docPartBody>
        <w:p w:rsidR="0060103C" w:rsidRDefault="0060103C">
          <w:pPr>
            <w:pStyle w:val="4CCF765A65D747B283A31BD7BEC1C966"/>
          </w:pPr>
          <w:r w:rsidRPr="009253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3C"/>
    <w:rsid w:val="000135A0"/>
    <w:rsid w:val="001018DF"/>
    <w:rsid w:val="00123D3D"/>
    <w:rsid w:val="002B5570"/>
    <w:rsid w:val="00410E94"/>
    <w:rsid w:val="00431549"/>
    <w:rsid w:val="0060103C"/>
    <w:rsid w:val="007E6BA8"/>
    <w:rsid w:val="009C102A"/>
    <w:rsid w:val="00AF6727"/>
    <w:rsid w:val="00C13D1D"/>
    <w:rsid w:val="00DB0F3C"/>
    <w:rsid w:val="00E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55BDB93503684895A48316AED24BA4DF">
    <w:name w:val="55BDB93503684895A48316AED24BA4DF"/>
  </w:style>
  <w:style w:type="paragraph" w:customStyle="1" w:styleId="0F5E65AB7D6B47F1B640E0BBD88F93FC">
    <w:name w:val="0F5E65AB7D6B47F1B640E0BBD88F93FC"/>
  </w:style>
  <w:style w:type="paragraph" w:customStyle="1" w:styleId="6E63608B9AA446009DF2A757A943BECF">
    <w:name w:val="6E63608B9AA446009DF2A757A943BECF"/>
  </w:style>
  <w:style w:type="paragraph" w:customStyle="1" w:styleId="66F9C04C7A9241FF9386BA0A5CA5E33C">
    <w:name w:val="66F9C04C7A9241FF9386BA0A5CA5E33C"/>
  </w:style>
  <w:style w:type="paragraph" w:customStyle="1" w:styleId="C44BA723AC164B58BDDAF1457D379101">
    <w:name w:val="C44BA723AC164B58BDDAF1457D379101"/>
  </w:style>
  <w:style w:type="paragraph" w:customStyle="1" w:styleId="512FA2306FB64F90ADCEACEE368F968A">
    <w:name w:val="512FA2306FB64F90ADCEACEE368F968A"/>
  </w:style>
  <w:style w:type="paragraph" w:customStyle="1" w:styleId="BAC08394486D4B36A015019923B9A8F1">
    <w:name w:val="BAC08394486D4B36A015019923B9A8F1"/>
  </w:style>
  <w:style w:type="paragraph" w:customStyle="1" w:styleId="4CCF765A65D747B283A31BD7BEC1C966">
    <w:name w:val="4CCF765A65D747B283A31BD7BEC1C9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55BDB93503684895A48316AED24BA4DF">
    <w:name w:val="55BDB93503684895A48316AED24BA4DF"/>
  </w:style>
  <w:style w:type="paragraph" w:customStyle="1" w:styleId="0F5E65AB7D6B47F1B640E0BBD88F93FC">
    <w:name w:val="0F5E65AB7D6B47F1B640E0BBD88F93FC"/>
  </w:style>
  <w:style w:type="paragraph" w:customStyle="1" w:styleId="6E63608B9AA446009DF2A757A943BECF">
    <w:name w:val="6E63608B9AA446009DF2A757A943BECF"/>
  </w:style>
  <w:style w:type="paragraph" w:customStyle="1" w:styleId="66F9C04C7A9241FF9386BA0A5CA5E33C">
    <w:name w:val="66F9C04C7A9241FF9386BA0A5CA5E33C"/>
  </w:style>
  <w:style w:type="paragraph" w:customStyle="1" w:styleId="C44BA723AC164B58BDDAF1457D379101">
    <w:name w:val="C44BA723AC164B58BDDAF1457D379101"/>
  </w:style>
  <w:style w:type="paragraph" w:customStyle="1" w:styleId="512FA2306FB64F90ADCEACEE368F968A">
    <w:name w:val="512FA2306FB64F90ADCEACEE368F968A"/>
  </w:style>
  <w:style w:type="paragraph" w:customStyle="1" w:styleId="BAC08394486D4B36A015019923B9A8F1">
    <w:name w:val="BAC08394486D4B36A015019923B9A8F1"/>
  </w:style>
  <w:style w:type="paragraph" w:customStyle="1" w:styleId="4CCF765A65D747B283A31BD7BEC1C966">
    <w:name w:val="4CCF765A65D747B283A31BD7BEC1C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BO v1">
      <a:dk1>
        <a:srgbClr val="000000"/>
      </a:dk1>
      <a:lt1>
        <a:srgbClr val="FFFFFF"/>
      </a:lt1>
      <a:dk2>
        <a:srgbClr val="2B3B5F"/>
      </a:dk2>
      <a:lt2>
        <a:srgbClr val="788184"/>
      </a:lt2>
      <a:accent1>
        <a:srgbClr val="2B3B5F"/>
      </a:accent1>
      <a:accent2>
        <a:srgbClr val="95A4C6"/>
      </a:accent2>
      <a:accent3>
        <a:srgbClr val="D7DDE9"/>
      </a:accent3>
      <a:accent4>
        <a:srgbClr val="751D71"/>
      </a:accent4>
      <a:accent5>
        <a:srgbClr val="B267B3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9142458D-10FE-470F-891F-F108C088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1777</Words>
  <Characters>10082</Characters>
  <Application>Microsoft Office Word</Application>
  <DocSecurity>0</DocSecurity>
  <Lines>272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Securing the Value of Our Resources – End Fossil Fuel Subsidies</vt:lpstr>
    </vt:vector>
  </TitlesOfParts>
  <Company>Parliament of Australia</Company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Securing the Value of Our Resources – End Fossil Fuel Subsidies</dc:title>
  <dc:creator>PBO@pbo.gov.au</dc:creator>
  <cp:lastModifiedBy>Pratley, Lauren (PBO)</cp:lastModifiedBy>
  <cp:revision>7</cp:revision>
  <cp:lastPrinted>2018-12-11T05:27:00Z</cp:lastPrinted>
  <dcterms:created xsi:type="dcterms:W3CDTF">2018-12-11T04:11:00Z</dcterms:created>
  <dcterms:modified xsi:type="dcterms:W3CDTF">2018-12-12T00:20:00Z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