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DB" w:rsidRPr="003960DB" w:rsidRDefault="0046444F" w:rsidP="003960DB">
      <w:pPr>
        <w:pStyle w:val="Title"/>
      </w:pPr>
      <w:r w:rsidRPr="008D77AF">
        <w:t>Policy costing—outside the caretaker period</w:t>
      </w:r>
    </w:p>
    <w:tbl>
      <w:tblPr>
        <w:tblStyle w:val="LightGrid-Accent6"/>
        <w:tblW w:w="5000" w:type="pct"/>
        <w:tblLook w:val="0600" w:firstRow="0" w:lastRow="0" w:firstColumn="0" w:lastColumn="0" w:noHBand="1" w:noVBand="1"/>
      </w:tblPr>
      <w:tblGrid>
        <w:gridCol w:w="3085"/>
        <w:gridCol w:w="1276"/>
        <w:gridCol w:w="4167"/>
      </w:tblGrid>
      <w:tr w:rsidR="0098222F" w:rsidRPr="008D77AF" w:rsidTr="008112CC">
        <w:tc>
          <w:tcPr>
            <w:tcW w:w="1809" w:type="pct"/>
            <w:shd w:val="clear" w:color="auto" w:fill="D7DDE9" w:themeFill="accent3"/>
          </w:tcPr>
          <w:p w:rsidR="0098222F" w:rsidRPr="008D77AF" w:rsidRDefault="0098222F" w:rsidP="0098222F">
            <w:pPr>
              <w:pStyle w:val="PullOutBoxHeading"/>
            </w:pPr>
            <w:r w:rsidRPr="008D77AF">
              <w:t>Name of proposal:</w:t>
            </w:r>
          </w:p>
        </w:tc>
        <w:tc>
          <w:tcPr>
            <w:tcW w:w="3191" w:type="pct"/>
            <w:gridSpan w:val="2"/>
            <w:shd w:val="clear" w:color="auto" w:fill="D7DDE9" w:themeFill="accent3"/>
          </w:tcPr>
          <w:p w:rsidR="003960DB" w:rsidRPr="008D77AF" w:rsidRDefault="003960DB" w:rsidP="003960DB">
            <w:pPr>
              <w:pStyle w:val="PullOutBoxHeading"/>
            </w:pPr>
            <w:r>
              <w:t>School education</w:t>
            </w:r>
          </w:p>
        </w:tc>
      </w:tr>
      <w:tr w:rsidR="0098222F" w:rsidRPr="008D77AF" w:rsidTr="008112CC">
        <w:tc>
          <w:tcPr>
            <w:tcW w:w="1809" w:type="pct"/>
          </w:tcPr>
          <w:p w:rsidR="0098222F" w:rsidRPr="008D77AF" w:rsidRDefault="0098222F" w:rsidP="0098222F">
            <w:pPr>
              <w:pStyle w:val="PullOutBoxBodyText"/>
            </w:pPr>
            <w:r w:rsidRPr="008D77AF">
              <w:t>Summary of proposal:</w:t>
            </w:r>
          </w:p>
        </w:tc>
        <w:tc>
          <w:tcPr>
            <w:tcW w:w="3191" w:type="pct"/>
            <w:gridSpan w:val="2"/>
          </w:tcPr>
          <w:p w:rsidR="003960DB" w:rsidRDefault="003960DB" w:rsidP="003960DB">
            <w:pPr>
              <w:pStyle w:val="PullOutBoxBodyText"/>
              <w:tabs>
                <w:tab w:val="left" w:pos="884"/>
              </w:tabs>
            </w:pPr>
            <w:r>
              <w:t xml:space="preserve">The proposal would: </w:t>
            </w:r>
          </w:p>
          <w:p w:rsidR="003960DB" w:rsidRDefault="003960DB" w:rsidP="003960DB">
            <w:pPr>
              <w:pStyle w:val="PullOutBoxBodyText"/>
              <w:tabs>
                <w:tab w:val="left" w:pos="884"/>
              </w:tabs>
            </w:pPr>
            <w:r w:rsidRPr="003960DB">
              <w:rPr>
                <w:u w:val="single"/>
              </w:rPr>
              <w:t>Option 1</w:t>
            </w:r>
            <w:r>
              <w:t>: Abolish spending under the ‘education’ function, including under the ‘schools’ and ‘school education specific funding’ sub-functions, and associated spending under the ‘general administration’ sub function, with the exception of that portion of Department of Education and Training</w:t>
            </w:r>
            <w:r w:rsidR="00D23D27">
              <w:t xml:space="preserve"> (DET)</w:t>
            </w:r>
            <w:r>
              <w:t>, Education Services Australia and Australian Curriculum, Assessment and Reporting Authority (ACARA) funding required for national assessment, data collection and performance reporting (</w:t>
            </w:r>
            <w:proofErr w:type="spellStart"/>
            <w:r>
              <w:t>ie</w:t>
            </w:r>
            <w:proofErr w:type="spellEnd"/>
            <w:r>
              <w:t xml:space="preserve"> NAPLAN/</w:t>
            </w:r>
            <w:proofErr w:type="spellStart"/>
            <w:r>
              <w:t>MySchool</w:t>
            </w:r>
            <w:proofErr w:type="spellEnd"/>
            <w:r>
              <w:t xml:space="preserve">).   </w:t>
            </w:r>
          </w:p>
          <w:p w:rsidR="003960DB" w:rsidRDefault="003960DB" w:rsidP="003960DB">
            <w:pPr>
              <w:pStyle w:val="PullOutBoxBodyText"/>
              <w:tabs>
                <w:tab w:val="left" w:pos="884"/>
              </w:tabs>
            </w:pPr>
            <w:r w:rsidRPr="003960DB">
              <w:rPr>
                <w:u w:val="single"/>
              </w:rPr>
              <w:t>Option 2</w:t>
            </w:r>
            <w:r>
              <w:t xml:space="preserve">: As per Option 1, except </w:t>
            </w:r>
            <w:r w:rsidR="00E86EA3">
              <w:t xml:space="preserve">also </w:t>
            </w:r>
            <w:r>
              <w:t xml:space="preserve">retain recurrent schools funding authorised under the </w:t>
            </w:r>
            <w:r w:rsidRPr="002B2D4F">
              <w:rPr>
                <w:i/>
              </w:rPr>
              <w:t>Australian Education Act 2013</w:t>
            </w:r>
            <w:r>
              <w:t xml:space="preserve"> and redirect that funding to provide a payment to schools based on each child of full-time schooling age.  Payments are to be differentiated according to whether the child is of primary school or secondary school age - in line with the ratio under the current school resourcing standard.  Payments are to be differentiated according to whether the child suffers a disadvantage - in line with the current system of loadings for disadvantage.  Payments are not to be differentiated between non-government and government schools.  </w:t>
            </w:r>
          </w:p>
          <w:p w:rsidR="003960DB" w:rsidRDefault="003960DB" w:rsidP="003960DB">
            <w:pPr>
              <w:pStyle w:val="PullOutBoxBodyText"/>
              <w:tabs>
                <w:tab w:val="left" w:pos="884"/>
              </w:tabs>
            </w:pPr>
            <w:r>
              <w:t>The proposal would have effect from 1 July 2017.</w:t>
            </w:r>
          </w:p>
          <w:p w:rsidR="008112CC" w:rsidRPr="008D77AF" w:rsidRDefault="003960DB" w:rsidP="00D23D27">
            <w:pPr>
              <w:pStyle w:val="PullOutBoxBodyText"/>
            </w:pPr>
            <w:r>
              <w:t>Further information is requested o</w:t>
            </w:r>
            <w:r w:rsidR="00D23D27">
              <w:t>n</w:t>
            </w:r>
            <w:r>
              <w:t xml:space="preserve"> the </w:t>
            </w:r>
            <w:r w:rsidR="00D23D27">
              <w:t xml:space="preserve">estimated </w:t>
            </w:r>
            <w:r>
              <w:t xml:space="preserve">level of per student funding </w:t>
            </w:r>
            <w:r w:rsidR="00D23D27">
              <w:t xml:space="preserve">that would be provided </w:t>
            </w:r>
            <w:r>
              <w:t>under Option 2 compared to current arrangements.</w:t>
            </w:r>
          </w:p>
        </w:tc>
      </w:tr>
      <w:tr w:rsidR="0098222F" w:rsidRPr="008D77AF" w:rsidTr="008112CC">
        <w:tc>
          <w:tcPr>
            <w:tcW w:w="1809" w:type="pct"/>
          </w:tcPr>
          <w:p w:rsidR="0098222F" w:rsidRPr="008D77AF" w:rsidRDefault="0098222F" w:rsidP="0098222F">
            <w:pPr>
              <w:pStyle w:val="PullOutBoxBodyText"/>
            </w:pPr>
            <w:r w:rsidRPr="008D77AF">
              <w:t>Person/party requesting the costing:</w:t>
            </w:r>
          </w:p>
        </w:tc>
        <w:tc>
          <w:tcPr>
            <w:tcW w:w="3191" w:type="pct"/>
            <w:gridSpan w:val="2"/>
          </w:tcPr>
          <w:p w:rsidR="0098222F" w:rsidRPr="008D77AF" w:rsidRDefault="003960DB" w:rsidP="00FD1EE0">
            <w:pPr>
              <w:pStyle w:val="PullOutBoxBodyText"/>
            </w:pPr>
            <w:r w:rsidRPr="003960DB">
              <w:t>Senator David Leyonhjelm, Liberal Democratic Party</w:t>
            </w:r>
          </w:p>
        </w:tc>
      </w:tr>
      <w:tr w:rsidR="008112CC" w:rsidRPr="008D77AF" w:rsidTr="008112CC">
        <w:tc>
          <w:tcPr>
            <w:tcW w:w="1809" w:type="pct"/>
          </w:tcPr>
          <w:p w:rsidR="008112CC" w:rsidRPr="008D77AF" w:rsidRDefault="008112CC" w:rsidP="0056001A">
            <w:pPr>
              <w:pStyle w:val="PullOutBoxBodyText"/>
            </w:pPr>
            <w:r w:rsidRPr="008D77AF">
              <w:t>Did the applicant request the costing be confidential:</w:t>
            </w:r>
          </w:p>
        </w:tc>
        <w:tc>
          <w:tcPr>
            <w:tcW w:w="748" w:type="pct"/>
            <w:tcBorders>
              <w:right w:val="nil"/>
            </w:tcBorders>
          </w:tcPr>
          <w:p w:rsidR="008112CC" w:rsidRPr="008D77AF" w:rsidRDefault="00A671F8" w:rsidP="0056001A">
            <w:pPr>
              <w:pStyle w:val="PullOutBoxBodyText"/>
            </w:pPr>
            <w:sdt>
              <w:sdtPr>
                <w:id w:val="33003715"/>
                <w14:checkbox>
                  <w14:checked w14:val="1"/>
                  <w14:checkedState w14:val="2612" w14:font="MS Gothic"/>
                  <w14:uncheckedState w14:val="2610" w14:font="MS Gothic"/>
                </w14:checkbox>
              </w:sdtPr>
              <w:sdtEndPr/>
              <w:sdtContent>
                <w:r w:rsidR="003960DB">
                  <w:rPr>
                    <w:rFonts w:ascii="MS Gothic" w:eastAsia="MS Gothic" w:hAnsi="MS Gothic" w:hint="eastAsia"/>
                  </w:rPr>
                  <w:t>☒</w:t>
                </w:r>
              </w:sdtContent>
            </w:sdt>
            <w:r w:rsidR="008112CC" w:rsidRPr="008D77AF">
              <w:t xml:space="preserve"> Yes</w:t>
            </w:r>
          </w:p>
        </w:tc>
        <w:tc>
          <w:tcPr>
            <w:tcW w:w="2443" w:type="pct"/>
            <w:tcBorders>
              <w:left w:val="nil"/>
              <w:right w:val="single" w:sz="4" w:space="0" w:color="auto"/>
            </w:tcBorders>
          </w:tcPr>
          <w:p w:rsidR="008112CC" w:rsidRPr="008D77AF" w:rsidRDefault="00A671F8" w:rsidP="0056001A">
            <w:pPr>
              <w:pStyle w:val="PullOutBoxBodyText"/>
            </w:pPr>
            <w:sdt>
              <w:sdtPr>
                <w:id w:val="-864130722"/>
                <w14:checkbox>
                  <w14:checked w14:val="0"/>
                  <w14:checkedState w14:val="2612" w14:font="MS Gothic"/>
                  <w14:uncheckedState w14:val="2610" w14:font="MS Gothic"/>
                </w14:checkbox>
              </w:sdtPr>
              <w:sdtEndPr/>
              <w:sdtContent>
                <w:r w:rsidR="008112CC" w:rsidRPr="008D77AF">
                  <w:rPr>
                    <w:rFonts w:ascii="MS Gothic" w:eastAsia="MS Gothic" w:hAnsi="MS Gothic" w:hint="eastAsia"/>
                  </w:rPr>
                  <w:t>☐</w:t>
                </w:r>
              </w:sdtContent>
            </w:sdt>
            <w:r w:rsidR="008112CC" w:rsidRPr="008D77AF">
              <w:t xml:space="preserve"> No</w:t>
            </w:r>
          </w:p>
        </w:tc>
      </w:tr>
      <w:tr w:rsidR="008112CC" w:rsidRPr="008D77AF" w:rsidTr="0056001A">
        <w:tc>
          <w:tcPr>
            <w:tcW w:w="1809" w:type="pct"/>
          </w:tcPr>
          <w:p w:rsidR="008112CC" w:rsidRPr="008D77AF" w:rsidRDefault="008112CC" w:rsidP="0056001A">
            <w:pPr>
              <w:pStyle w:val="PullOutBoxBodyText"/>
            </w:pPr>
            <w:r w:rsidRPr="008D77AF">
              <w:t>Date costing request received:</w:t>
            </w:r>
          </w:p>
        </w:tc>
        <w:tc>
          <w:tcPr>
            <w:tcW w:w="3191" w:type="pct"/>
            <w:gridSpan w:val="2"/>
          </w:tcPr>
          <w:p w:rsidR="008112CC" w:rsidRPr="008D77AF" w:rsidRDefault="00651450" w:rsidP="0056001A">
            <w:pPr>
              <w:pStyle w:val="PullOutBoxBodyText"/>
            </w:pPr>
            <w:r>
              <w:t>9</w:t>
            </w:r>
            <w:r w:rsidR="003960DB">
              <w:t xml:space="preserve"> August 2016</w:t>
            </w:r>
          </w:p>
        </w:tc>
      </w:tr>
      <w:tr w:rsidR="008112CC" w:rsidRPr="008D77AF" w:rsidTr="008112CC">
        <w:tc>
          <w:tcPr>
            <w:tcW w:w="1809" w:type="pct"/>
          </w:tcPr>
          <w:p w:rsidR="008112CC" w:rsidRPr="008D77AF" w:rsidRDefault="008112CC" w:rsidP="0098222F">
            <w:pPr>
              <w:pStyle w:val="PullOutBoxBodyText"/>
            </w:pPr>
            <w:r w:rsidRPr="008D77AF">
              <w:t>Date costing completed:</w:t>
            </w:r>
          </w:p>
        </w:tc>
        <w:tc>
          <w:tcPr>
            <w:tcW w:w="3191" w:type="pct"/>
            <w:gridSpan w:val="2"/>
          </w:tcPr>
          <w:p w:rsidR="008112CC" w:rsidRPr="008D77AF" w:rsidRDefault="00BB2FE6" w:rsidP="00125825">
            <w:pPr>
              <w:pStyle w:val="PullOutBoxBodyText"/>
            </w:pPr>
            <w:r>
              <w:t>1</w:t>
            </w:r>
            <w:r w:rsidR="00125825">
              <w:t>3</w:t>
            </w:r>
            <w:r w:rsidR="00234EE5">
              <w:t xml:space="preserve"> </w:t>
            </w:r>
            <w:r w:rsidR="002B2D4F">
              <w:t>September 2016</w:t>
            </w:r>
          </w:p>
        </w:tc>
      </w:tr>
      <w:tr w:rsidR="008112CC" w:rsidRPr="008D77AF" w:rsidTr="008112CC">
        <w:tc>
          <w:tcPr>
            <w:tcW w:w="1809" w:type="pct"/>
          </w:tcPr>
          <w:p w:rsidR="008112CC" w:rsidRPr="008D77AF" w:rsidRDefault="008112CC" w:rsidP="0098222F">
            <w:pPr>
              <w:pStyle w:val="PullOutBoxBodyText"/>
            </w:pPr>
            <w:r w:rsidRPr="008D77AF">
              <w:t>Expiry date of the costing:</w:t>
            </w:r>
          </w:p>
        </w:tc>
        <w:tc>
          <w:tcPr>
            <w:tcW w:w="3191" w:type="pct"/>
            <w:gridSpan w:val="2"/>
          </w:tcPr>
          <w:p w:rsidR="008112CC" w:rsidRPr="008D77AF" w:rsidRDefault="008112CC" w:rsidP="0098222F">
            <w:pPr>
              <w:pStyle w:val="PullOutBoxBodyText"/>
            </w:pPr>
            <w:r w:rsidRPr="008D77AF">
              <w:t>Release of the next economic and fiscal outlook report.</w:t>
            </w:r>
          </w:p>
        </w:tc>
      </w:tr>
    </w:tbl>
    <w:p w:rsidR="0046444F" w:rsidRPr="008D77AF" w:rsidRDefault="0046444F" w:rsidP="0046444F">
      <w:pPr>
        <w:pStyle w:val="Heading1"/>
      </w:pPr>
      <w:r w:rsidRPr="008D77AF">
        <w:lastRenderedPageBreak/>
        <w:t>Costing overview</w:t>
      </w:r>
    </w:p>
    <w:p w:rsidR="003A553D" w:rsidRPr="005F2FC7" w:rsidRDefault="003A553D" w:rsidP="00EC1688">
      <w:pPr>
        <w:pStyle w:val="Heading2"/>
      </w:pPr>
      <w:r w:rsidRPr="005F2FC7">
        <w:t>Option 1: Abolish specified expenditure under the education spending function</w:t>
      </w:r>
      <w:r w:rsidR="00B70DEC">
        <w:rPr>
          <w:rStyle w:val="FootnoteReference"/>
          <w:u w:val="single"/>
        </w:rPr>
        <w:footnoteReference w:id="1"/>
      </w:r>
      <w:r w:rsidRPr="005F2FC7">
        <w:t xml:space="preserve"> </w:t>
      </w:r>
    </w:p>
    <w:p w:rsidR="003A553D" w:rsidRPr="005F2FC7" w:rsidRDefault="003A553D" w:rsidP="003A553D">
      <w:pPr>
        <w:pStyle w:val="BodyText"/>
        <w:keepNext/>
        <w:keepLines/>
      </w:pPr>
      <w:r w:rsidRPr="005F2FC7">
        <w:t xml:space="preserve">The proposed option would be expected to increase both the </w:t>
      </w:r>
      <w:r w:rsidR="00B14EF7">
        <w:t xml:space="preserve">fiscal </w:t>
      </w:r>
      <w:r w:rsidRPr="005F2FC7">
        <w:t>underlying cash and balances by $</w:t>
      </w:r>
      <w:r>
        <w:t>5</w:t>
      </w:r>
      <w:r w:rsidR="00B64E67">
        <w:t>7</w:t>
      </w:r>
      <w:r w:rsidRPr="005F2FC7">
        <w:t>,</w:t>
      </w:r>
      <w:r>
        <w:t>8</w:t>
      </w:r>
      <w:r w:rsidR="00E86EA3">
        <w:t>1</w:t>
      </w:r>
      <w:r w:rsidRPr="005F2FC7">
        <w:t>0 million over the 201</w:t>
      </w:r>
      <w:r>
        <w:t>6</w:t>
      </w:r>
      <w:r w:rsidRPr="005F2FC7">
        <w:t>-1</w:t>
      </w:r>
      <w:r>
        <w:t>7</w:t>
      </w:r>
      <w:r w:rsidRPr="005F2FC7">
        <w:t xml:space="preserve"> Budget and forward estimates period. </w:t>
      </w:r>
      <w:r w:rsidR="00B14EF7">
        <w:t xml:space="preserve"> </w:t>
      </w:r>
      <w:r w:rsidRPr="005F2FC7">
        <w:t>This impact is due to a decrease in administered expenditure of $</w:t>
      </w:r>
      <w:r>
        <w:t>57,3</w:t>
      </w:r>
      <w:r w:rsidR="00E86EA3">
        <w:t>1</w:t>
      </w:r>
      <w:r>
        <w:t>0</w:t>
      </w:r>
      <w:r w:rsidRPr="005F2FC7">
        <w:t xml:space="preserve"> million, predominately relating to the termination of funding for schools, and a decrease of $</w:t>
      </w:r>
      <w:r>
        <w:t>500 </w:t>
      </w:r>
      <w:r w:rsidRPr="005F2FC7">
        <w:t>million in departmental expenditure</w:t>
      </w:r>
      <w:r w:rsidR="00651450">
        <w:t>, predominately</w:t>
      </w:r>
      <w:r w:rsidRPr="005F2FC7">
        <w:t xml:space="preserve"> for</w:t>
      </w:r>
      <w:r>
        <w:t xml:space="preserve"> </w:t>
      </w:r>
      <w:r w:rsidR="000A00FC">
        <w:t>DET</w:t>
      </w:r>
      <w:r w:rsidRPr="005F2FC7">
        <w:t xml:space="preserve">.  </w:t>
      </w:r>
    </w:p>
    <w:p w:rsidR="003A553D" w:rsidRPr="005B0970" w:rsidRDefault="003A553D" w:rsidP="003A553D">
      <w:pPr>
        <w:pStyle w:val="Caption"/>
      </w:pPr>
      <w:r w:rsidRPr="008112CC">
        <w:t xml:space="preserve">Table </w:t>
      </w:r>
      <w:fldSimple w:instr=" SEQ Table \* ARABIC \s 1 ">
        <w:r w:rsidR="0064604D">
          <w:rPr>
            <w:noProof/>
          </w:rPr>
          <w:t>1</w:t>
        </w:r>
      </w:fldSimple>
      <w:r w:rsidRPr="008112CC">
        <w:t xml:space="preserve">: </w:t>
      </w:r>
      <w:r>
        <w:t>Financial implications (outturn prices</w:t>
      </w:r>
      <w:proofErr w:type="gramStart"/>
      <w:r>
        <w:t>)</w:t>
      </w:r>
      <w:r w:rsidRPr="008112CC">
        <w:rPr>
          <w:vertAlign w:val="superscript"/>
        </w:rPr>
        <w:t>(</w:t>
      </w:r>
      <w:proofErr w:type="gramEnd"/>
      <w:r w:rsidRPr="008112CC">
        <w:rPr>
          <w:vertAlign w:val="superscript"/>
        </w:rPr>
        <w:t>a)(b)</w:t>
      </w:r>
    </w:p>
    <w:tbl>
      <w:tblPr>
        <w:tblStyle w:val="LightGrid-Accent6"/>
        <w:tblW w:w="5000" w:type="pct"/>
        <w:tblLook w:val="0680" w:firstRow="0" w:lastRow="0" w:firstColumn="1" w:lastColumn="0" w:noHBand="1" w:noVBand="1"/>
      </w:tblPr>
      <w:tblGrid>
        <w:gridCol w:w="2518"/>
        <w:gridCol w:w="1203"/>
        <w:gridCol w:w="1202"/>
        <w:gridCol w:w="1202"/>
        <w:gridCol w:w="1202"/>
        <w:gridCol w:w="1201"/>
      </w:tblGrid>
      <w:tr w:rsidR="003A553D" w:rsidTr="00C6726B">
        <w:tc>
          <w:tcPr>
            <w:cnfStyle w:val="001000000000" w:firstRow="0" w:lastRow="0" w:firstColumn="1" w:lastColumn="0" w:oddVBand="0" w:evenVBand="0" w:oddHBand="0" w:evenHBand="0" w:firstRowFirstColumn="0" w:firstRowLastColumn="0" w:lastRowFirstColumn="0" w:lastRowLastColumn="0"/>
            <w:tcW w:w="1476" w:type="pct"/>
            <w:shd w:val="clear" w:color="auto" w:fill="D7DDE9" w:themeFill="accent3"/>
            <w:vAlign w:val="center"/>
          </w:tcPr>
          <w:p w:rsidR="003A553D" w:rsidRPr="005B0970" w:rsidRDefault="003A553D" w:rsidP="00C6726B">
            <w:pPr>
              <w:pStyle w:val="TableHeading"/>
            </w:pPr>
            <w:r w:rsidRPr="005B0970">
              <w:t>Impact on ($m)</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2016–17</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2017–18</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2018–19</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2019–20</w:t>
            </w:r>
          </w:p>
        </w:tc>
        <w:tc>
          <w:tcPr>
            <w:tcW w:w="704"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pPr>
            <w:r w:rsidRPr="005B0970">
              <w:t>Total to 2019–20</w:t>
            </w:r>
          </w:p>
        </w:tc>
      </w:tr>
      <w:tr w:rsidR="003A553D" w:rsidTr="00C6726B">
        <w:tc>
          <w:tcPr>
            <w:cnfStyle w:val="001000000000" w:firstRow="0" w:lastRow="0" w:firstColumn="1" w:lastColumn="0" w:oddVBand="0" w:evenVBand="0" w:oddHBand="0" w:evenHBand="0" w:firstRowFirstColumn="0" w:firstRowLastColumn="0" w:lastRowFirstColumn="0" w:lastRowLastColumn="0"/>
            <w:tcW w:w="1476" w:type="pct"/>
            <w:vAlign w:val="center"/>
          </w:tcPr>
          <w:p w:rsidR="003A553D" w:rsidRPr="005B0970" w:rsidRDefault="003A553D" w:rsidP="00C6726B">
            <w:pPr>
              <w:pStyle w:val="TableHeading"/>
              <w:rPr>
                <w:rFonts w:asciiTheme="majorHAnsi" w:hAnsiTheme="majorHAnsi"/>
              </w:rPr>
            </w:pPr>
            <w:r w:rsidRPr="005B0970">
              <w:t>Fiscal balance</w:t>
            </w:r>
          </w:p>
        </w:tc>
        <w:tc>
          <w:tcPr>
            <w:tcW w:w="705" w:type="pct"/>
            <w:vAlign w:val="center"/>
          </w:tcPr>
          <w:p w:rsidR="003A553D" w:rsidRPr="008D77AF" w:rsidRDefault="003A553D" w:rsidP="00C6726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18,6</w:t>
            </w:r>
            <w:r w:rsidR="00E86EA3">
              <w:t>2</w:t>
            </w:r>
            <w:r>
              <w:t>0</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19,1</w:t>
            </w:r>
            <w:r w:rsidR="00E86EA3">
              <w:t>2</w:t>
            </w:r>
            <w:r>
              <w:t>0</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20,0</w:t>
            </w:r>
            <w:r w:rsidR="00E86EA3">
              <w:t>6</w:t>
            </w:r>
            <w:r>
              <w:t>0</w:t>
            </w:r>
          </w:p>
        </w:tc>
        <w:tc>
          <w:tcPr>
            <w:tcW w:w="704" w:type="pct"/>
            <w:vAlign w:val="center"/>
          </w:tcPr>
          <w:p w:rsidR="003A553D" w:rsidRPr="008D77AF" w:rsidRDefault="003A553D" w:rsidP="00E86EA3">
            <w:pPr>
              <w:pStyle w:val="TableTextRightBold"/>
              <w:cnfStyle w:val="000000000000" w:firstRow="0" w:lastRow="0" w:firstColumn="0" w:lastColumn="0" w:oddVBand="0" w:evenVBand="0" w:oddHBand="0" w:evenHBand="0" w:firstRowFirstColumn="0" w:firstRowLastColumn="0" w:lastRowFirstColumn="0" w:lastRowLastColumn="0"/>
            </w:pPr>
            <w:r>
              <w:t>5</w:t>
            </w:r>
            <w:r w:rsidR="00B64E67">
              <w:t>7</w:t>
            </w:r>
            <w:r>
              <w:t>,8</w:t>
            </w:r>
            <w:r w:rsidR="00E86EA3">
              <w:t>1</w:t>
            </w:r>
            <w:r>
              <w:t>0</w:t>
            </w:r>
          </w:p>
        </w:tc>
      </w:tr>
      <w:tr w:rsidR="00E86EA3" w:rsidTr="00C6726B">
        <w:tc>
          <w:tcPr>
            <w:cnfStyle w:val="001000000000" w:firstRow="0" w:lastRow="0" w:firstColumn="1" w:lastColumn="0" w:oddVBand="0" w:evenVBand="0" w:oddHBand="0" w:evenHBand="0" w:firstRowFirstColumn="0" w:firstRowLastColumn="0" w:lastRowFirstColumn="0" w:lastRowLastColumn="0"/>
            <w:tcW w:w="1476" w:type="pct"/>
            <w:vAlign w:val="center"/>
          </w:tcPr>
          <w:p w:rsidR="00E86EA3" w:rsidRPr="005B0970" w:rsidRDefault="00E86EA3" w:rsidP="00C6726B">
            <w:pPr>
              <w:pStyle w:val="TableHeading"/>
            </w:pPr>
            <w:r w:rsidRPr="005B0970">
              <w:t>Underlying cash balance</w:t>
            </w:r>
          </w:p>
        </w:tc>
        <w:tc>
          <w:tcPr>
            <w:tcW w:w="705" w:type="pct"/>
            <w:vAlign w:val="center"/>
          </w:tcPr>
          <w:p w:rsidR="00E86EA3" w:rsidRPr="008D77AF" w:rsidRDefault="00E86EA3" w:rsidP="00C6726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18,620</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19,120</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20,060</w:t>
            </w:r>
          </w:p>
        </w:tc>
        <w:tc>
          <w:tcPr>
            <w:tcW w:w="704" w:type="pct"/>
            <w:vAlign w:val="center"/>
          </w:tcPr>
          <w:p w:rsidR="00E86EA3" w:rsidRPr="008D77AF" w:rsidRDefault="00E86EA3" w:rsidP="003A21DE">
            <w:pPr>
              <w:pStyle w:val="TableTextRightBold"/>
              <w:cnfStyle w:val="000000000000" w:firstRow="0" w:lastRow="0" w:firstColumn="0" w:lastColumn="0" w:oddVBand="0" w:evenVBand="0" w:oddHBand="0" w:evenHBand="0" w:firstRowFirstColumn="0" w:firstRowLastColumn="0" w:lastRowFirstColumn="0" w:lastRowLastColumn="0"/>
            </w:pPr>
            <w:r>
              <w:t>57,810</w:t>
            </w:r>
          </w:p>
        </w:tc>
      </w:tr>
    </w:tbl>
    <w:p w:rsidR="003A553D" w:rsidRDefault="003A553D" w:rsidP="003A553D">
      <w:pPr>
        <w:pStyle w:val="TableFootnotes"/>
      </w:pPr>
      <w:r>
        <w:t xml:space="preserve">A positive number represents an increase in the relevant budget </w:t>
      </w:r>
      <w:proofErr w:type="gramStart"/>
      <w:r>
        <w:t>balance,</w:t>
      </w:r>
      <w:proofErr w:type="gramEnd"/>
      <w:r>
        <w:t xml:space="preserve"> a negative number represents a decrease.</w:t>
      </w:r>
    </w:p>
    <w:p w:rsidR="003A553D" w:rsidRDefault="003A553D" w:rsidP="003A553D">
      <w:pPr>
        <w:pStyle w:val="TableFootnotes"/>
      </w:pPr>
      <w:r>
        <w:t>Figures may not sum to totals due to rounding.</w:t>
      </w:r>
    </w:p>
    <w:p w:rsidR="003A553D" w:rsidRDefault="003A553D" w:rsidP="00651450">
      <w:pPr>
        <w:pStyle w:val="TableFootnotes"/>
        <w:keepNext/>
        <w:numPr>
          <w:ilvl w:val="0"/>
          <w:numId w:val="12"/>
        </w:numPr>
        <w:spacing w:after="228"/>
        <w:ind w:left="284" w:hanging="284"/>
      </w:pPr>
      <w:r>
        <w:t>Indicates nil.</w:t>
      </w:r>
    </w:p>
    <w:p w:rsidR="003A553D" w:rsidRPr="0050113D" w:rsidRDefault="003A553D" w:rsidP="00EC1688">
      <w:pPr>
        <w:pStyle w:val="Heading2"/>
      </w:pPr>
      <w:r w:rsidRPr="0050113D">
        <w:t xml:space="preserve">Option 2: </w:t>
      </w:r>
      <w:r w:rsidR="00D34912">
        <w:t>As per Option 1, except r</w:t>
      </w:r>
      <w:r>
        <w:t>etain recurrent school funding at current levels but redirect on a per student basis and abolish certain programs</w:t>
      </w:r>
    </w:p>
    <w:p w:rsidR="003A553D" w:rsidRPr="003A553D" w:rsidRDefault="003A553D" w:rsidP="003A553D">
      <w:pPr>
        <w:pStyle w:val="BodyText"/>
        <w:keepNext/>
        <w:keepLines/>
      </w:pPr>
      <w:r w:rsidRPr="003A553D">
        <w:t xml:space="preserve">The proposed option would be expected to increase both the </w:t>
      </w:r>
      <w:r w:rsidR="00B14EF7">
        <w:t xml:space="preserve">fiscal and </w:t>
      </w:r>
      <w:r w:rsidRPr="003A553D">
        <w:t>underlying cash balances by $</w:t>
      </w:r>
      <w:r>
        <w:t>1,1</w:t>
      </w:r>
      <w:r w:rsidR="00E86EA3">
        <w:t>7</w:t>
      </w:r>
      <w:r>
        <w:t xml:space="preserve">0 </w:t>
      </w:r>
      <w:r w:rsidRPr="003A553D">
        <w:t>million over the 201</w:t>
      </w:r>
      <w:r>
        <w:t>6</w:t>
      </w:r>
      <w:r w:rsidRPr="003A553D">
        <w:t>-1</w:t>
      </w:r>
      <w:r>
        <w:t>7</w:t>
      </w:r>
      <w:r w:rsidRPr="003A553D">
        <w:t xml:space="preserve"> Budget and forward estimates period.  This impact is due to a decrease in administered expenditure, predominately relating to ceasing education related national partnerships</w:t>
      </w:r>
      <w:r>
        <w:t>, non-recurrent school funding</w:t>
      </w:r>
      <w:r w:rsidRPr="003A553D">
        <w:t xml:space="preserve"> and the early learning and school support program</w:t>
      </w:r>
      <w:r w:rsidR="00651450">
        <w:t>, and a small decrease in departmental expenditure</w:t>
      </w:r>
      <w:r w:rsidRPr="003A553D">
        <w:t xml:space="preserve">.  </w:t>
      </w:r>
    </w:p>
    <w:p w:rsidR="003A553D" w:rsidRPr="005B0970" w:rsidRDefault="003A553D" w:rsidP="003A553D">
      <w:pPr>
        <w:pStyle w:val="Caption"/>
      </w:pPr>
      <w:r w:rsidRPr="008112CC">
        <w:t xml:space="preserve">Table </w:t>
      </w:r>
      <w:r>
        <w:t>2</w:t>
      </w:r>
      <w:r w:rsidRPr="008112CC">
        <w:t xml:space="preserve">: </w:t>
      </w:r>
      <w:r>
        <w:t>Financial implications (outturn prices</w:t>
      </w:r>
      <w:proofErr w:type="gramStart"/>
      <w:r>
        <w:t>)</w:t>
      </w:r>
      <w:r w:rsidRPr="008112CC">
        <w:rPr>
          <w:vertAlign w:val="superscript"/>
        </w:rPr>
        <w:t>(</w:t>
      </w:r>
      <w:proofErr w:type="gramEnd"/>
      <w:r w:rsidRPr="008112CC">
        <w:rPr>
          <w:vertAlign w:val="superscript"/>
        </w:rPr>
        <w:t>a)(b)</w:t>
      </w:r>
    </w:p>
    <w:tbl>
      <w:tblPr>
        <w:tblStyle w:val="LightGrid-Accent6"/>
        <w:tblW w:w="5000" w:type="pct"/>
        <w:tblLook w:val="0680" w:firstRow="0" w:lastRow="0" w:firstColumn="1" w:lastColumn="0" w:noHBand="1" w:noVBand="1"/>
      </w:tblPr>
      <w:tblGrid>
        <w:gridCol w:w="2518"/>
        <w:gridCol w:w="1203"/>
        <w:gridCol w:w="1202"/>
        <w:gridCol w:w="1202"/>
        <w:gridCol w:w="1202"/>
        <w:gridCol w:w="1201"/>
      </w:tblGrid>
      <w:tr w:rsidR="003A553D" w:rsidTr="00C6726B">
        <w:tc>
          <w:tcPr>
            <w:cnfStyle w:val="001000000000" w:firstRow="0" w:lastRow="0" w:firstColumn="1" w:lastColumn="0" w:oddVBand="0" w:evenVBand="0" w:oddHBand="0" w:evenHBand="0" w:firstRowFirstColumn="0" w:firstRowLastColumn="0" w:lastRowFirstColumn="0" w:lastRowLastColumn="0"/>
            <w:tcW w:w="1476" w:type="pct"/>
            <w:shd w:val="clear" w:color="auto" w:fill="D7DDE9" w:themeFill="accent3"/>
            <w:vAlign w:val="center"/>
          </w:tcPr>
          <w:p w:rsidR="003A553D" w:rsidRPr="005B0970" w:rsidRDefault="003A553D" w:rsidP="00C6726B">
            <w:pPr>
              <w:pStyle w:val="TableHeading"/>
            </w:pPr>
            <w:r w:rsidRPr="005B0970">
              <w:t>Impact on ($m)</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2016–17</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2017–18</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2018–19</w:t>
            </w:r>
          </w:p>
        </w:tc>
        <w:tc>
          <w:tcPr>
            <w:tcW w:w="705"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rPr>
                <w:b w:val="0"/>
              </w:rPr>
            </w:pPr>
            <w:r w:rsidRPr="005B0970">
              <w:rPr>
                <w:b w:val="0"/>
              </w:rPr>
              <w:t>2019–20</w:t>
            </w:r>
          </w:p>
        </w:tc>
        <w:tc>
          <w:tcPr>
            <w:tcW w:w="704" w:type="pct"/>
            <w:shd w:val="clear" w:color="auto" w:fill="D7DDE9" w:themeFill="accent3"/>
            <w:vAlign w:val="center"/>
          </w:tcPr>
          <w:p w:rsidR="003A553D" w:rsidRPr="005B0970" w:rsidRDefault="003A553D" w:rsidP="00C6726B">
            <w:pPr>
              <w:pStyle w:val="TableHeadingRight"/>
              <w:cnfStyle w:val="000000000000" w:firstRow="0" w:lastRow="0" w:firstColumn="0" w:lastColumn="0" w:oddVBand="0" w:evenVBand="0" w:oddHBand="0" w:evenHBand="0" w:firstRowFirstColumn="0" w:firstRowLastColumn="0" w:lastRowFirstColumn="0" w:lastRowLastColumn="0"/>
            </w:pPr>
            <w:r w:rsidRPr="005B0970">
              <w:t>Total to 2019–20</w:t>
            </w:r>
          </w:p>
        </w:tc>
      </w:tr>
      <w:tr w:rsidR="003A553D" w:rsidTr="00C6726B">
        <w:tc>
          <w:tcPr>
            <w:cnfStyle w:val="001000000000" w:firstRow="0" w:lastRow="0" w:firstColumn="1" w:lastColumn="0" w:oddVBand="0" w:evenVBand="0" w:oddHBand="0" w:evenHBand="0" w:firstRowFirstColumn="0" w:firstRowLastColumn="0" w:lastRowFirstColumn="0" w:lastRowLastColumn="0"/>
            <w:tcW w:w="1476" w:type="pct"/>
            <w:vAlign w:val="center"/>
          </w:tcPr>
          <w:p w:rsidR="003A553D" w:rsidRPr="005B0970" w:rsidRDefault="003A553D" w:rsidP="00C6726B">
            <w:pPr>
              <w:pStyle w:val="TableHeading"/>
              <w:rPr>
                <w:rFonts w:asciiTheme="majorHAnsi" w:hAnsiTheme="majorHAnsi"/>
              </w:rPr>
            </w:pPr>
            <w:r w:rsidRPr="005B0970">
              <w:t>Fiscal balance</w:t>
            </w:r>
          </w:p>
        </w:tc>
        <w:tc>
          <w:tcPr>
            <w:tcW w:w="705" w:type="pct"/>
            <w:vAlign w:val="center"/>
          </w:tcPr>
          <w:p w:rsidR="003A553D" w:rsidRPr="008D77AF" w:rsidRDefault="003A553D" w:rsidP="00C6726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6</w:t>
            </w:r>
            <w:r w:rsidR="00E86EA3">
              <w:t>4</w:t>
            </w:r>
            <w:r>
              <w:t>0</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2</w:t>
            </w:r>
            <w:r w:rsidR="00E86EA3">
              <w:t>6</w:t>
            </w:r>
            <w:r>
              <w:t>0</w:t>
            </w:r>
          </w:p>
        </w:tc>
        <w:tc>
          <w:tcPr>
            <w:tcW w:w="705" w:type="pct"/>
            <w:vAlign w:val="center"/>
          </w:tcPr>
          <w:p w:rsidR="003A553D" w:rsidRPr="008D77AF" w:rsidRDefault="003A553D" w:rsidP="00E86EA3">
            <w:pPr>
              <w:pStyle w:val="TableTextRight"/>
              <w:cnfStyle w:val="000000000000" w:firstRow="0" w:lastRow="0" w:firstColumn="0" w:lastColumn="0" w:oddVBand="0" w:evenVBand="0" w:oddHBand="0" w:evenHBand="0" w:firstRowFirstColumn="0" w:firstRowLastColumn="0" w:lastRowFirstColumn="0" w:lastRowLastColumn="0"/>
            </w:pPr>
            <w:r>
              <w:t>2</w:t>
            </w:r>
            <w:r w:rsidR="00E86EA3">
              <w:t>6</w:t>
            </w:r>
            <w:r>
              <w:t>0</w:t>
            </w:r>
          </w:p>
        </w:tc>
        <w:tc>
          <w:tcPr>
            <w:tcW w:w="704" w:type="pct"/>
            <w:vAlign w:val="center"/>
          </w:tcPr>
          <w:p w:rsidR="003A553D" w:rsidRPr="008D77AF" w:rsidRDefault="003A553D" w:rsidP="00E86EA3">
            <w:pPr>
              <w:pStyle w:val="TableTextRightBold"/>
              <w:cnfStyle w:val="000000000000" w:firstRow="0" w:lastRow="0" w:firstColumn="0" w:lastColumn="0" w:oddVBand="0" w:evenVBand="0" w:oddHBand="0" w:evenHBand="0" w:firstRowFirstColumn="0" w:firstRowLastColumn="0" w:lastRowFirstColumn="0" w:lastRowLastColumn="0"/>
            </w:pPr>
            <w:r>
              <w:t>1,1</w:t>
            </w:r>
            <w:r w:rsidR="00E86EA3">
              <w:t>7</w:t>
            </w:r>
            <w:r>
              <w:t>0</w:t>
            </w:r>
          </w:p>
        </w:tc>
      </w:tr>
      <w:tr w:rsidR="00E86EA3" w:rsidTr="00C6726B">
        <w:tc>
          <w:tcPr>
            <w:cnfStyle w:val="001000000000" w:firstRow="0" w:lastRow="0" w:firstColumn="1" w:lastColumn="0" w:oddVBand="0" w:evenVBand="0" w:oddHBand="0" w:evenHBand="0" w:firstRowFirstColumn="0" w:firstRowLastColumn="0" w:lastRowFirstColumn="0" w:lastRowLastColumn="0"/>
            <w:tcW w:w="1476" w:type="pct"/>
            <w:vAlign w:val="center"/>
          </w:tcPr>
          <w:p w:rsidR="00E86EA3" w:rsidRPr="005B0970" w:rsidRDefault="00E86EA3" w:rsidP="00C6726B">
            <w:pPr>
              <w:pStyle w:val="TableHeading"/>
            </w:pPr>
            <w:r w:rsidRPr="005B0970">
              <w:t>Underlying cash balance</w:t>
            </w:r>
          </w:p>
        </w:tc>
        <w:tc>
          <w:tcPr>
            <w:tcW w:w="705" w:type="pct"/>
            <w:vAlign w:val="center"/>
          </w:tcPr>
          <w:p w:rsidR="00E86EA3" w:rsidRPr="008D77AF" w:rsidRDefault="00E86EA3" w:rsidP="00C6726B">
            <w:pPr>
              <w:pStyle w:val="TableTextRight"/>
              <w:cnfStyle w:val="000000000000" w:firstRow="0" w:lastRow="0" w:firstColumn="0" w:lastColumn="0" w:oddVBand="0" w:evenVBand="0" w:oddHBand="0" w:evenHBand="0" w:firstRowFirstColumn="0" w:firstRowLastColumn="0" w:lastRowFirstColumn="0" w:lastRowLastColumn="0"/>
            </w:pPr>
            <w:r>
              <w:t>-</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640</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260</w:t>
            </w:r>
          </w:p>
        </w:tc>
        <w:tc>
          <w:tcPr>
            <w:tcW w:w="705" w:type="pct"/>
            <w:vAlign w:val="center"/>
          </w:tcPr>
          <w:p w:rsidR="00E86EA3" w:rsidRPr="008D77AF" w:rsidRDefault="00E86EA3" w:rsidP="003A21DE">
            <w:pPr>
              <w:pStyle w:val="TableTextRight"/>
              <w:cnfStyle w:val="000000000000" w:firstRow="0" w:lastRow="0" w:firstColumn="0" w:lastColumn="0" w:oddVBand="0" w:evenVBand="0" w:oddHBand="0" w:evenHBand="0" w:firstRowFirstColumn="0" w:firstRowLastColumn="0" w:lastRowFirstColumn="0" w:lastRowLastColumn="0"/>
            </w:pPr>
            <w:r>
              <w:t>260</w:t>
            </w:r>
          </w:p>
        </w:tc>
        <w:tc>
          <w:tcPr>
            <w:tcW w:w="704" w:type="pct"/>
            <w:vAlign w:val="center"/>
          </w:tcPr>
          <w:p w:rsidR="00E86EA3" w:rsidRPr="008D77AF" w:rsidRDefault="00E86EA3" w:rsidP="003A21DE">
            <w:pPr>
              <w:pStyle w:val="TableTextRightBold"/>
              <w:cnfStyle w:val="000000000000" w:firstRow="0" w:lastRow="0" w:firstColumn="0" w:lastColumn="0" w:oddVBand="0" w:evenVBand="0" w:oddHBand="0" w:evenHBand="0" w:firstRowFirstColumn="0" w:firstRowLastColumn="0" w:lastRowFirstColumn="0" w:lastRowLastColumn="0"/>
            </w:pPr>
            <w:r>
              <w:t>1,170</w:t>
            </w:r>
          </w:p>
        </w:tc>
      </w:tr>
    </w:tbl>
    <w:p w:rsidR="003A553D" w:rsidRDefault="003A553D" w:rsidP="00FE44C1">
      <w:pPr>
        <w:pStyle w:val="TableFootnotes"/>
        <w:numPr>
          <w:ilvl w:val="0"/>
          <w:numId w:val="13"/>
        </w:numPr>
        <w:ind w:left="284"/>
      </w:pPr>
      <w:r>
        <w:t xml:space="preserve">A positive number represents an increase in the relevant budget </w:t>
      </w:r>
      <w:proofErr w:type="gramStart"/>
      <w:r>
        <w:t>balance,</w:t>
      </w:r>
      <w:proofErr w:type="gramEnd"/>
      <w:r>
        <w:t xml:space="preserve"> a negative number represents a decrease.</w:t>
      </w:r>
    </w:p>
    <w:p w:rsidR="003A553D" w:rsidRDefault="003A553D" w:rsidP="00FE44C1">
      <w:pPr>
        <w:pStyle w:val="TableFootnotes"/>
        <w:numPr>
          <w:ilvl w:val="0"/>
          <w:numId w:val="13"/>
        </w:numPr>
        <w:ind w:left="284"/>
      </w:pPr>
      <w:r>
        <w:t>Figures may not sum to totals due to rounding.</w:t>
      </w:r>
    </w:p>
    <w:p w:rsidR="00D23D27" w:rsidRDefault="00D23D27" w:rsidP="00D23D27">
      <w:pPr>
        <w:pStyle w:val="TableFootnotes"/>
        <w:keepNext/>
        <w:numPr>
          <w:ilvl w:val="0"/>
          <w:numId w:val="12"/>
        </w:numPr>
        <w:spacing w:after="0"/>
        <w:ind w:left="284" w:hanging="284"/>
      </w:pPr>
      <w:r>
        <w:t>Indicates nil.</w:t>
      </w:r>
    </w:p>
    <w:p w:rsidR="00D23D27" w:rsidRDefault="00D23D27" w:rsidP="00D23D27">
      <w:pPr>
        <w:pStyle w:val="TableFootnotes"/>
        <w:numPr>
          <w:ilvl w:val="0"/>
          <w:numId w:val="0"/>
        </w:numPr>
      </w:pPr>
    </w:p>
    <w:p w:rsidR="00D23D27" w:rsidRDefault="00D23D27" w:rsidP="00D23D27">
      <w:pPr>
        <w:pStyle w:val="BodyText"/>
        <w:keepNext/>
        <w:keepLines/>
      </w:pPr>
      <w:r>
        <w:lastRenderedPageBreak/>
        <w:t>Both options</w:t>
      </w:r>
      <w:r w:rsidRPr="003A553D">
        <w:t xml:space="preserve"> would be expected to have an ongoing impact beyond the forward estimates </w:t>
      </w:r>
      <w:r>
        <w:t xml:space="preserve">and, as requested, </w:t>
      </w:r>
      <w:r w:rsidRPr="00AE221D">
        <w:t>impact</w:t>
      </w:r>
      <w:r>
        <w:t>s</w:t>
      </w:r>
      <w:r w:rsidRPr="00AE221D">
        <w:t xml:space="preserve"> over 2016-17 to 2026</w:t>
      </w:r>
      <w:r w:rsidRPr="00AE221D">
        <w:noBreakHyphen/>
        <w:t xml:space="preserve">27 </w:t>
      </w:r>
      <w:r>
        <w:t>are</w:t>
      </w:r>
      <w:r w:rsidRPr="00AE221D">
        <w:t xml:space="preserve"> provided at </w:t>
      </w:r>
      <w:r w:rsidRPr="00AE221D">
        <w:rPr>
          <w:u w:val="single"/>
        </w:rPr>
        <w:t>Attachment A</w:t>
      </w:r>
      <w:r w:rsidRPr="00AE221D">
        <w:t xml:space="preserve">.  </w:t>
      </w:r>
    </w:p>
    <w:p w:rsidR="00D23D27" w:rsidRDefault="00D23D27" w:rsidP="000A00FC">
      <w:pPr>
        <w:pStyle w:val="BodyText"/>
        <w:keepNext/>
        <w:keepLines/>
      </w:pPr>
      <w:r>
        <w:t>Further information requested of the estimated level of per student funding that would be provided under Option 2 compared to current arrangements</w:t>
      </w:r>
      <w:r w:rsidRPr="00AE221D">
        <w:t xml:space="preserve"> is provided at </w:t>
      </w:r>
      <w:r w:rsidRPr="00AE221D">
        <w:rPr>
          <w:u w:val="single"/>
        </w:rPr>
        <w:t>Attachment B</w:t>
      </w:r>
      <w:r w:rsidRPr="00AE221D">
        <w:t>.</w:t>
      </w:r>
    </w:p>
    <w:p w:rsidR="00BB2FE6" w:rsidRDefault="000A00FC" w:rsidP="000A00FC">
      <w:pPr>
        <w:pStyle w:val="BodyText"/>
        <w:keepNext/>
        <w:keepLines/>
      </w:pPr>
      <w:r w:rsidRPr="000A00FC">
        <w:t xml:space="preserve">The financial implications for both options are considered to be of a </w:t>
      </w:r>
      <w:r w:rsidR="00BB2FE6">
        <w:t>very low</w:t>
      </w:r>
      <w:r w:rsidRPr="000A00FC">
        <w:t xml:space="preserve"> reliability. While estimates are based on Department of Finance aggregate expenditure estimates, given the magnitude of the change in Commonwealth policy it is difficult to estimate the impact with any certainty. </w:t>
      </w:r>
      <w:r w:rsidR="00BB2FE6">
        <w:t xml:space="preserve"> </w:t>
      </w:r>
    </w:p>
    <w:p w:rsidR="009F0621" w:rsidRDefault="009F0621" w:rsidP="009F0621">
      <w:pPr>
        <w:pStyle w:val="BodyText"/>
        <w:keepNext/>
        <w:keepLines/>
      </w:pPr>
      <w:r>
        <w:t>No assessment of the feasibility of each option has been undertaken or whether either option could be implemented from the specified commencement date of 1 July 2017.  In relation to Option 1, it is uncertain how the reduction on Commonwealth schools funding would be made up.  If alternative funding was not available from state governments or the private sector, there could be impacts on school outcomes and future productivity growth.  Under Option 2 there would be a significant reallocation of resourcing between schools and schooling sectors with the potential adverse impacts on schooling outcomes in schools that lose funding.  Additional impacts that may occur under both options, such as changes to state government revenue, have not been assessed.</w:t>
      </w:r>
    </w:p>
    <w:p w:rsidR="00FE3B13" w:rsidRPr="00CA06C8" w:rsidRDefault="00FE3B13" w:rsidP="00CA06C8">
      <w:pPr>
        <w:pStyle w:val="Heading1"/>
      </w:pPr>
      <w:r w:rsidRPr="00CA06C8">
        <w:t>Key assumptions</w:t>
      </w:r>
    </w:p>
    <w:p w:rsidR="00B70DEC" w:rsidRDefault="000A00FC" w:rsidP="006C3668">
      <w:pPr>
        <w:pStyle w:val="BodyText"/>
      </w:pPr>
      <w:r w:rsidRPr="000A00FC">
        <w:t>It has been assumed that</w:t>
      </w:r>
      <w:r w:rsidR="00B70DEC">
        <w:t>:</w:t>
      </w:r>
    </w:p>
    <w:p w:rsidR="000A00FC" w:rsidRDefault="000A00FC" w:rsidP="00EC1688">
      <w:pPr>
        <w:pStyle w:val="ListBullet"/>
      </w:pPr>
      <w:r w:rsidRPr="000A00FC">
        <w:t>Option 1 of the proposal would abolish all program support departmental expenditure for DET’s Outcome 1 (Improved early learning, schooling, student educational outcomes and transitions to and from school through access to quality support, parent engagement, quality teaching and learning environments) including related corporate costs, e</w:t>
      </w:r>
      <w:r w:rsidR="00B70DEC">
        <w:t>xcept those functions specified</w:t>
      </w:r>
      <w:r w:rsidR="00651450">
        <w:t>.</w:t>
      </w:r>
    </w:p>
    <w:p w:rsidR="00B70DEC" w:rsidRDefault="00B70DEC" w:rsidP="00EC1688">
      <w:pPr>
        <w:pStyle w:val="ListBullet"/>
      </w:pPr>
      <w:r>
        <w:t xml:space="preserve">Option 2 </w:t>
      </w:r>
      <w:r w:rsidR="00651450">
        <w:t>would reduce only departmental expenditure for DET’s Outcome 1</w:t>
      </w:r>
      <w:r>
        <w:t xml:space="preserve"> </w:t>
      </w:r>
      <w:r w:rsidR="00651450">
        <w:t>related to elements being abolished, wit</w:t>
      </w:r>
      <w:r w:rsidR="002E471C">
        <w:t>h no change in school related departmental funding as a result of the alternative proposed per student funding m</w:t>
      </w:r>
      <w:r w:rsidR="00FD2374">
        <w:t xml:space="preserve">ethodology </w:t>
      </w:r>
      <w:r w:rsidR="002E471C">
        <w:t>for Commonwealth school funding.</w:t>
      </w:r>
    </w:p>
    <w:p w:rsidR="002E471C" w:rsidRPr="00002D5D" w:rsidRDefault="002E471C" w:rsidP="00EC1688">
      <w:pPr>
        <w:pStyle w:val="ListBullet"/>
      </w:pPr>
      <w:r>
        <w:t xml:space="preserve">Under both options, </w:t>
      </w:r>
      <w:r w:rsidRPr="002E471C">
        <w:t>Australian Curriculum, Assessment and Reporting Authority</w:t>
      </w:r>
      <w:r>
        <w:t xml:space="preserve"> (ACARA) and </w:t>
      </w:r>
      <w:r w:rsidRPr="002E471C">
        <w:t>Australian Institute for Teaching and School Leadership</w:t>
      </w:r>
      <w:r>
        <w:t xml:space="preserve"> (AITSL) would be abolished.  Functions of ACARA exempt from the abolition would </w:t>
      </w:r>
      <w:proofErr w:type="gramStart"/>
      <w:r>
        <w:t>transferred</w:t>
      </w:r>
      <w:proofErr w:type="gramEnd"/>
      <w:r>
        <w:t xml:space="preserve"> to DET. </w:t>
      </w:r>
    </w:p>
    <w:p w:rsidR="00FE3B13" w:rsidRDefault="00FE3B13" w:rsidP="0056001A">
      <w:pPr>
        <w:pStyle w:val="Heading1"/>
      </w:pPr>
      <w:r>
        <w:t>Methodology</w:t>
      </w:r>
    </w:p>
    <w:p w:rsidR="00B70DEC" w:rsidRPr="00B70DEC" w:rsidRDefault="00B70DEC" w:rsidP="00EC1688">
      <w:pPr>
        <w:pStyle w:val="Heading2"/>
      </w:pPr>
      <w:r w:rsidRPr="00B70DEC">
        <w:t>Option 1</w:t>
      </w:r>
    </w:p>
    <w:p w:rsidR="00BA1F61" w:rsidRDefault="00BA1F61" w:rsidP="00B70DEC">
      <w:pPr>
        <w:pStyle w:val="BodyText"/>
      </w:pPr>
      <w:r>
        <w:t xml:space="preserve">The impact of the proposal was derived by reducing </w:t>
      </w:r>
      <w:r w:rsidR="002E471C">
        <w:t xml:space="preserve">administered and departmental </w:t>
      </w:r>
      <w:r>
        <w:t>expenditure estimates for the specified programs, less expected redundancy payments.</w:t>
      </w:r>
    </w:p>
    <w:p w:rsidR="00B70DEC" w:rsidRDefault="00B70DEC" w:rsidP="00B70DEC">
      <w:pPr>
        <w:pStyle w:val="BodyText"/>
      </w:pPr>
      <w:r>
        <w:t>Administered and departmental expenditure estimates for the specified programs were taken from within the education function, obtained from the Department of Finance 201</w:t>
      </w:r>
      <w:r w:rsidR="00BA1F61">
        <w:t>6</w:t>
      </w:r>
      <w:r>
        <w:t>-1</w:t>
      </w:r>
      <w:r w:rsidR="00BA1F61">
        <w:t>7</w:t>
      </w:r>
      <w:r>
        <w:t xml:space="preserve"> </w:t>
      </w:r>
      <w:r w:rsidR="00BA1F61">
        <w:lastRenderedPageBreak/>
        <w:t>B</w:t>
      </w:r>
      <w:r>
        <w:t xml:space="preserve">udget </w:t>
      </w:r>
      <w:r w:rsidR="00BA1F61">
        <w:t>and Pre-election Economic and Fiscal Outlook 2016 reports.   This includes non</w:t>
      </w:r>
      <w:r w:rsidR="00BA1F61">
        <w:noBreakHyphen/>
      </w:r>
      <w:r>
        <w:t>government and government school funding</w:t>
      </w:r>
      <w:r w:rsidR="00F511E7">
        <w:t xml:space="preserve"> (recurrent and non-recurrent)</w:t>
      </w:r>
      <w:r>
        <w:t>, school education specific funding (pred</w:t>
      </w:r>
      <w:r w:rsidR="00F511E7">
        <w:t xml:space="preserve">ominately national partnerships, </w:t>
      </w:r>
      <w:r>
        <w:t xml:space="preserve">early learning and school support </w:t>
      </w:r>
      <w:r w:rsidR="00F511E7">
        <w:t xml:space="preserve">and ACARA and AITSL </w:t>
      </w:r>
      <w:r>
        <w:t>funding) and Outcome 1 departmental for DET.</w:t>
      </w:r>
    </w:p>
    <w:p w:rsidR="00B70DEC" w:rsidRPr="00F511E7" w:rsidRDefault="00B70DEC" w:rsidP="00B70DEC">
      <w:pPr>
        <w:pStyle w:val="BodyText"/>
      </w:pPr>
      <w:r>
        <w:t xml:space="preserve">Due to the magnitude of the decrease in departmental expenditure, a provision has been included for redundancies.  The number of required redundancies was derived as the estimated reduction in average staffing levels, minus natural attrition. The average per person cost of a redundancy has been estimated at approximately $53,000.  This is based on average salary (excluding on-costs), average service length of 10.2 years (APS Statistical Bulletin 2014-15) with a payout equal to two weeks’ salary per year of service, pro-rated for months of service.  The impact of redundancy payments was calculated as the total number </w:t>
      </w:r>
      <w:r w:rsidRPr="00F511E7">
        <w:t>of redundancies multiplied by the average cost per person.</w:t>
      </w:r>
    </w:p>
    <w:p w:rsidR="00B70DEC" w:rsidRPr="00F511E7" w:rsidRDefault="00B70DEC" w:rsidP="00EC1688">
      <w:pPr>
        <w:pStyle w:val="Heading2"/>
      </w:pPr>
      <w:r w:rsidRPr="00F511E7">
        <w:t>Option 2</w:t>
      </w:r>
    </w:p>
    <w:p w:rsidR="00BA1F61" w:rsidRPr="00F511E7" w:rsidRDefault="00BA1F61" w:rsidP="00B70DEC">
      <w:pPr>
        <w:pStyle w:val="BodyText"/>
      </w:pPr>
      <w:r w:rsidRPr="00F511E7">
        <w:t>The impact of the proposal was derived as per Option 1, however, retaining recurrent school funding.</w:t>
      </w:r>
    </w:p>
    <w:p w:rsidR="00B70DEC" w:rsidRPr="00F511E7" w:rsidRDefault="00B70DEC" w:rsidP="00B70DEC">
      <w:pPr>
        <w:pStyle w:val="BodyText"/>
      </w:pPr>
      <w:r w:rsidRPr="00F511E7">
        <w:t xml:space="preserve">There would be no impact on total Commonwealth recurrent school funding under this option, however funds would be allocated by applying the alternative methodology as specified.  As a result, this option is </w:t>
      </w:r>
      <w:r w:rsidR="00BA1F61" w:rsidRPr="00F511E7">
        <w:t>only</w:t>
      </w:r>
      <w:r w:rsidRPr="00F511E7">
        <w:t xml:space="preserve"> expected to have a</w:t>
      </w:r>
      <w:r w:rsidR="00BA1F61" w:rsidRPr="00F511E7">
        <w:t xml:space="preserve"> small</w:t>
      </w:r>
      <w:r w:rsidRPr="00F511E7">
        <w:t xml:space="preserve"> </w:t>
      </w:r>
      <w:r w:rsidR="00F511E7" w:rsidRPr="00F511E7">
        <w:t xml:space="preserve">reduction </w:t>
      </w:r>
      <w:r w:rsidRPr="00F511E7">
        <w:t>on departmental expenses for DET</w:t>
      </w:r>
      <w:r w:rsidR="00B92CC9" w:rsidRPr="00F511E7">
        <w:t xml:space="preserve"> related to </w:t>
      </w:r>
      <w:r w:rsidR="00F511E7" w:rsidRPr="00F511E7">
        <w:t>non-recurrent school funding and other program abolition</w:t>
      </w:r>
      <w:r w:rsidRPr="00F511E7">
        <w:t>.</w:t>
      </w:r>
    </w:p>
    <w:p w:rsidR="00B70DEC" w:rsidRPr="00F511E7" w:rsidRDefault="00B70DEC" w:rsidP="00B70DEC">
      <w:pPr>
        <w:pStyle w:val="BodyText"/>
      </w:pPr>
      <w:r w:rsidRPr="00F511E7">
        <w:t>All amounts for both options have been rounded to the nearest $</w:t>
      </w:r>
      <w:r w:rsidR="00E86EA3">
        <w:t>1</w:t>
      </w:r>
      <w:r w:rsidRPr="00F511E7">
        <w:t>0 million.</w:t>
      </w:r>
    </w:p>
    <w:p w:rsidR="00031B78" w:rsidRPr="00F511E7" w:rsidRDefault="00031B78" w:rsidP="00EC1688">
      <w:pPr>
        <w:pStyle w:val="Heading2"/>
      </w:pPr>
      <w:r w:rsidRPr="00F511E7">
        <w:t>Further information</w:t>
      </w:r>
    </w:p>
    <w:p w:rsidR="00031B78" w:rsidRPr="00031B78" w:rsidRDefault="00031B78" w:rsidP="00B70DEC">
      <w:pPr>
        <w:pStyle w:val="BodyText"/>
      </w:pPr>
      <w:r w:rsidRPr="00F511E7">
        <w:t>Estimates of per student funding under current arrangements and under Option 2 were derived by dividing Commonwealth school funding estimates under current</w:t>
      </w:r>
      <w:r>
        <w:t xml:space="preserve"> arrangements and funding that would be provided under Option 2 by estimated total enrolments. </w:t>
      </w:r>
    </w:p>
    <w:p w:rsidR="00FE3B13" w:rsidRDefault="00FE3B13" w:rsidP="00FE3B13">
      <w:pPr>
        <w:pStyle w:val="Heading1"/>
      </w:pPr>
      <w:r>
        <w:t>Data sources</w:t>
      </w:r>
    </w:p>
    <w:p w:rsidR="002E471C" w:rsidRPr="003B78FE" w:rsidRDefault="003B78FE" w:rsidP="002E471C">
      <w:pPr>
        <w:pStyle w:val="BodyText"/>
      </w:pPr>
      <w:r w:rsidRPr="003B78FE">
        <w:t>The Department of Finance provided</w:t>
      </w:r>
      <w:r w:rsidR="002E471C">
        <w:t xml:space="preserve"> </w:t>
      </w:r>
      <w:r w:rsidRPr="003B78FE">
        <w:t xml:space="preserve">2016-17 Budget and PEFO budget management system reports detailing </w:t>
      </w:r>
      <w:r w:rsidR="00B92CC9">
        <w:t xml:space="preserve">administered and </w:t>
      </w:r>
      <w:r w:rsidRPr="003B78FE">
        <w:t>departmental spendin</w:t>
      </w:r>
      <w:r w:rsidR="002E471C">
        <w:t xml:space="preserve">g estimates for </w:t>
      </w:r>
      <w:r w:rsidR="00B92CC9">
        <w:t>the education function</w:t>
      </w:r>
      <w:r w:rsidR="002E471C">
        <w:t>.</w:t>
      </w:r>
    </w:p>
    <w:p w:rsidR="00031B78" w:rsidRDefault="003B78FE" w:rsidP="003B78FE">
      <w:pPr>
        <w:pStyle w:val="BodyText"/>
      </w:pPr>
      <w:r w:rsidRPr="003B78FE">
        <w:t xml:space="preserve">The Department of Education and Training </w:t>
      </w:r>
      <w:r>
        <w:t>provided</w:t>
      </w:r>
      <w:r w:rsidR="00031B78">
        <w:t>:</w:t>
      </w:r>
    </w:p>
    <w:p w:rsidR="00031B78" w:rsidRDefault="003B78FE" w:rsidP="00EC1688">
      <w:pPr>
        <w:pStyle w:val="ListBullet"/>
      </w:pPr>
      <w:r>
        <w:t>recurrent and non-recurrent school funding estimates</w:t>
      </w:r>
    </w:p>
    <w:p w:rsidR="00031B78" w:rsidRDefault="00031B78" w:rsidP="00EC1688">
      <w:pPr>
        <w:pStyle w:val="ListBullet"/>
      </w:pPr>
      <w:r>
        <w:t>school enrolment estimates</w:t>
      </w:r>
    </w:p>
    <w:p w:rsidR="003B78FE" w:rsidRPr="003B78FE" w:rsidRDefault="00031B78" w:rsidP="00EC1688">
      <w:pPr>
        <w:pStyle w:val="ListBullet"/>
      </w:pPr>
      <w:proofErr w:type="gramStart"/>
      <w:r>
        <w:t>advice</w:t>
      </w:r>
      <w:proofErr w:type="gramEnd"/>
      <w:r>
        <w:t xml:space="preserve"> </w:t>
      </w:r>
      <w:r w:rsidR="003B78FE" w:rsidRPr="003B78FE">
        <w:t>that expenditure estimates related to national assessment, data collection and performance reporting are provided within the ACARA Budget statements.</w:t>
      </w:r>
    </w:p>
    <w:p w:rsidR="007D0ABE" w:rsidRPr="0046444F" w:rsidRDefault="007D0ABE" w:rsidP="00B311BA">
      <w:pPr>
        <w:pStyle w:val="BodyText"/>
      </w:pPr>
    </w:p>
    <w:p w:rsidR="0046444F" w:rsidRDefault="0046444F" w:rsidP="00B311BA">
      <w:pPr>
        <w:pStyle w:val="BodyText"/>
        <w:sectPr w:rsidR="0046444F" w:rsidSect="00082CF7">
          <w:headerReference w:type="even" r:id="rId9"/>
          <w:headerReference w:type="default" r:id="rId10"/>
          <w:footerReference w:type="even" r:id="rId11"/>
          <w:footerReference w:type="default" r:id="rId12"/>
          <w:headerReference w:type="first" r:id="rId13"/>
          <w:footerReference w:type="first" r:id="rId14"/>
          <w:pgSz w:w="11906" w:h="16838" w:code="9"/>
          <w:pgMar w:top="1361" w:right="1797" w:bottom="1418" w:left="1797" w:header="284" w:footer="454" w:gutter="0"/>
          <w:pgNumType w:start="1"/>
          <w:cols w:space="708"/>
          <w:titlePg/>
          <w:docGrid w:linePitch="360"/>
        </w:sectPr>
      </w:pPr>
    </w:p>
    <w:p w:rsidR="00016D53" w:rsidRPr="002D239A" w:rsidRDefault="00016D53" w:rsidP="002D239A">
      <w:pPr>
        <w:pStyle w:val="Heading8"/>
      </w:pPr>
      <w:r w:rsidRPr="002D239A">
        <w:lastRenderedPageBreak/>
        <w:t xml:space="preserve">– </w:t>
      </w:r>
      <w:r w:rsidR="003A553D">
        <w:t>School education</w:t>
      </w:r>
      <w:r w:rsidRPr="002D239A">
        <w:t>—financial implications</w:t>
      </w:r>
    </w:p>
    <w:p w:rsidR="003E1562" w:rsidRDefault="003E1562" w:rsidP="003E1562">
      <w:pPr>
        <w:pStyle w:val="Caption"/>
        <w:keepLines/>
        <w:rPr>
          <w:vertAlign w:val="superscript"/>
        </w:rPr>
      </w:pPr>
      <w:r w:rsidRPr="002D239A">
        <w:t xml:space="preserve">Table </w:t>
      </w:r>
      <w:fldSimple w:instr=" STYLEREF 8 \s ">
        <w:r w:rsidR="0064604D">
          <w:rPr>
            <w:noProof/>
          </w:rPr>
          <w:t>A</w:t>
        </w:r>
      </w:fldSimple>
      <w:r w:rsidR="000E4C2D">
        <w:t>1</w:t>
      </w:r>
      <w:r w:rsidRPr="002D239A">
        <w:t xml:space="preserve">: </w:t>
      </w:r>
      <w:r w:rsidR="000E4C2D">
        <w:t>School education: Option 1</w:t>
      </w:r>
      <w:r>
        <w:t>—Financial implications (outturn prices</w:t>
      </w:r>
      <w:proofErr w:type="gramStart"/>
      <w:r>
        <w:t>)</w:t>
      </w:r>
      <w:r w:rsidRPr="002D239A">
        <w:rPr>
          <w:vertAlign w:val="superscript"/>
        </w:rPr>
        <w:t>(</w:t>
      </w:r>
      <w:proofErr w:type="gramEnd"/>
      <w:r w:rsidRPr="002D239A">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0E4C2D" w:rsidRPr="000E4C2D" w:rsidTr="00C6726B">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0E4C2D" w:rsidRPr="000E4C2D" w:rsidRDefault="000E4C2D" w:rsidP="000E4C2D">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($m)</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2016–17</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2017–18</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2018–19</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2019–20</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0E4C2D">
              <w:rPr>
                <w:rFonts w:ascii="Calibri" w:hAnsi="Calibri" w:cs="Times New Roman"/>
                <w:b/>
                <w:sz w:val="20"/>
              </w:rPr>
              <w:t>Total to 2019–20</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2020–21</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2021–22</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2022–23</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2023–24</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2024–25</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2025–26</w:t>
            </w:r>
          </w:p>
        </w:tc>
        <w:tc>
          <w:tcPr>
            <w:tcW w:w="317"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2026–27</w:t>
            </w:r>
          </w:p>
        </w:tc>
        <w:tc>
          <w:tcPr>
            <w:tcW w:w="315" w:type="pct"/>
            <w:shd w:val="clear" w:color="auto" w:fill="D7DDE9" w:themeFill="accent3"/>
            <w:vAlign w:val="center"/>
          </w:tcPr>
          <w:p w:rsidR="000E4C2D" w:rsidRPr="000E4C2D" w:rsidRDefault="000E4C2D" w:rsidP="000E4C2D">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0E4C2D">
              <w:rPr>
                <w:rFonts w:ascii="Calibri" w:hAnsi="Calibri" w:cs="Times New Roman"/>
                <w:b/>
                <w:sz w:val="20"/>
              </w:rPr>
              <w:t>Total to 2026–27</w:t>
            </w:r>
          </w:p>
        </w:tc>
      </w:tr>
      <w:tr w:rsidR="000E4C2D" w:rsidRPr="000E4C2D" w:rsidTr="000A00FC">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E9ECF3" w:themeFill="accent2" w:themeFillTint="33"/>
            <w:vAlign w:val="center"/>
          </w:tcPr>
          <w:p w:rsidR="000E4C2D" w:rsidRPr="000E4C2D" w:rsidRDefault="000E4C2D" w:rsidP="000E4C2D">
            <w:pPr>
              <w:spacing w:before="70" w:after="70"/>
              <w:rPr>
                <w:i/>
                <w:sz w:val="20"/>
              </w:rPr>
            </w:pPr>
            <w:r w:rsidRPr="000E4C2D">
              <w:rPr>
                <w:rFonts w:ascii="Calibri" w:hAnsi="Calibri" w:cs="Times New Roman"/>
                <w:sz w:val="20"/>
              </w:rPr>
              <w:t>Impact on fiscal and underlying cash balances</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vAlign w:val="center"/>
          </w:tcPr>
          <w:p w:rsidR="00E86EA3" w:rsidRPr="000E4C2D" w:rsidRDefault="00E86EA3" w:rsidP="00C6726B">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Administered</w:t>
            </w:r>
          </w:p>
        </w:tc>
        <w:tc>
          <w:tcPr>
            <w:tcW w:w="317" w:type="pct"/>
            <w:vAlign w:val="center"/>
          </w:tcPr>
          <w:p w:rsidR="00E86EA3" w:rsidRPr="000E4C2D" w:rsidRDefault="00E86EA3" w:rsidP="000E4C2D">
            <w:pPr>
              <w:jc w:val="right"/>
              <w:cnfStyle w:val="000000000000" w:firstRow="0" w:lastRow="0" w:firstColumn="0" w:lastColumn="0" w:oddVBand="0" w:evenVBand="0" w:oddHBand="0" w:evenHBand="0" w:firstRowFirstColumn="0" w:firstRowLastColumn="0" w:lastRowFirstColumn="0" w:lastRowLastColumn="0"/>
              <w:rPr>
                <w:i/>
                <w:sz w:val="20"/>
              </w:rPr>
            </w:pPr>
            <w:r w:rsidRPr="000E4C2D">
              <w:rPr>
                <w:i/>
                <w:sz w:val="20"/>
              </w:rPr>
              <w:t xml:space="preserve"> -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18,480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18,940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19,880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57,310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20,620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21,400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22,200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23,010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23,810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24,620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25,460 </w:t>
            </w:r>
          </w:p>
        </w:tc>
        <w:tc>
          <w:tcPr>
            <w:tcW w:w="315"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218,420 </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vAlign w:val="center"/>
          </w:tcPr>
          <w:p w:rsidR="00E86EA3" w:rsidRPr="000E4C2D" w:rsidRDefault="00E86EA3" w:rsidP="00C6726B">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Departmental</w:t>
            </w:r>
          </w:p>
        </w:tc>
        <w:tc>
          <w:tcPr>
            <w:tcW w:w="317" w:type="pct"/>
            <w:vAlign w:val="center"/>
          </w:tcPr>
          <w:p w:rsidR="00E86EA3" w:rsidRPr="000E4C2D" w:rsidRDefault="00E86EA3" w:rsidP="000E4C2D">
            <w:pPr>
              <w:jc w:val="right"/>
              <w:cnfStyle w:val="000000000000" w:firstRow="0" w:lastRow="0" w:firstColumn="0" w:lastColumn="0" w:oddVBand="0" w:evenVBand="0" w:oddHBand="0" w:evenHBand="0" w:firstRowFirstColumn="0" w:firstRowLastColumn="0" w:lastRowFirstColumn="0" w:lastRowLastColumn="0"/>
              <w:rPr>
                <w:i/>
                <w:sz w:val="20"/>
              </w:rPr>
            </w:pPr>
            <w:r w:rsidRPr="000E4C2D">
              <w:rPr>
                <w:i/>
                <w:sz w:val="20"/>
              </w:rPr>
              <w:t xml:space="preserve"> -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140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500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190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190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190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190 </w:t>
            </w:r>
          </w:p>
        </w:tc>
        <w:tc>
          <w:tcPr>
            <w:tcW w:w="315"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1,800 </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E86EA3" w:rsidRPr="000E4C2D" w:rsidRDefault="00E86EA3" w:rsidP="00C6726B">
            <w:pPr>
              <w:keepNext/>
              <w:keepLines/>
              <w:spacing w:before="70" w:after="70" w:line="260" w:lineRule="atLeast"/>
              <w:ind w:left="-57" w:right="-57"/>
              <w:rPr>
                <w:rFonts w:ascii="Calibri" w:hAnsi="Calibri" w:cs="Times New Roman"/>
                <w:sz w:val="20"/>
              </w:rPr>
            </w:pPr>
            <w:r w:rsidRPr="000E4C2D">
              <w:rPr>
                <w:rFonts w:ascii="Calibri" w:hAnsi="Calibri" w:cs="Times New Roman"/>
                <w:sz w:val="20"/>
              </w:rPr>
              <w:t>Total</w:t>
            </w:r>
          </w:p>
        </w:tc>
        <w:tc>
          <w:tcPr>
            <w:tcW w:w="317" w:type="pct"/>
            <w:shd w:val="clear" w:color="auto" w:fill="D7DDE9" w:themeFill="accent3"/>
            <w:vAlign w:val="center"/>
          </w:tcPr>
          <w:p w:rsidR="00E86EA3" w:rsidRPr="00E86EA3" w:rsidRDefault="00E86EA3" w:rsidP="000E4C2D">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18,620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19,120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20,060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57,810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20,800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21,580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22,390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23,190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24,000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24,810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25,650 </w:t>
            </w:r>
          </w:p>
        </w:tc>
        <w:tc>
          <w:tcPr>
            <w:tcW w:w="315"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220,220 </w:t>
            </w:r>
          </w:p>
        </w:tc>
      </w:tr>
    </w:tbl>
    <w:p w:rsidR="000A00FC" w:rsidRPr="000A00FC" w:rsidRDefault="000A00FC" w:rsidP="00FE44C1">
      <w:pPr>
        <w:pStyle w:val="TableFootnotes"/>
        <w:numPr>
          <w:ilvl w:val="0"/>
          <w:numId w:val="11"/>
        </w:numPr>
        <w:ind w:left="284" w:hanging="284"/>
        <w:rPr>
          <w:rFonts w:ascii="Calibri" w:hAnsi="Calibri"/>
          <w:szCs w:val="20"/>
        </w:rPr>
      </w:pPr>
      <w:r w:rsidRPr="000A00FC">
        <w:rPr>
          <w:szCs w:val="20"/>
        </w:rPr>
        <w:t xml:space="preserve">A positive number indicates an increase in revenue or decrease in expenses or net capital investment in accrual and cash terms.  A negative number indicates a decrease in revenue or an increase in expenses or net capital investment in accrual and cash terms. </w:t>
      </w:r>
    </w:p>
    <w:p w:rsidR="000E4C2D" w:rsidRPr="000E4C2D" w:rsidRDefault="000E4C2D" w:rsidP="00FE44C1">
      <w:pPr>
        <w:keepNext/>
        <w:keepLines/>
        <w:numPr>
          <w:ilvl w:val="0"/>
          <w:numId w:val="7"/>
        </w:numPr>
        <w:spacing w:after="50" w:line="260" w:lineRule="atLeast"/>
        <w:ind w:left="284" w:hanging="284"/>
        <w:contextualSpacing/>
        <w:rPr>
          <w:sz w:val="20"/>
        </w:rPr>
      </w:pPr>
      <w:r w:rsidRPr="000E4C2D">
        <w:rPr>
          <w:sz w:val="20"/>
        </w:rPr>
        <w:t>Figures may not sum to totals due to rounding.</w:t>
      </w:r>
    </w:p>
    <w:p w:rsidR="000E4C2D" w:rsidRPr="000E4C2D" w:rsidRDefault="000E4C2D" w:rsidP="00FE44C1">
      <w:pPr>
        <w:numPr>
          <w:ilvl w:val="0"/>
          <w:numId w:val="12"/>
        </w:numPr>
        <w:spacing w:after="50" w:line="260" w:lineRule="atLeast"/>
        <w:ind w:left="284" w:hanging="284"/>
        <w:contextualSpacing/>
        <w:rPr>
          <w:sz w:val="20"/>
        </w:rPr>
      </w:pPr>
      <w:r w:rsidRPr="000E4C2D">
        <w:rPr>
          <w:sz w:val="20"/>
        </w:rPr>
        <w:t>Indicates nil.</w:t>
      </w:r>
    </w:p>
    <w:p w:rsidR="000A00FC" w:rsidRDefault="000A00FC">
      <w:pPr>
        <w:rPr>
          <w:b/>
          <w:bCs/>
          <w:color w:val="2B3B5F" w:themeColor="text2"/>
          <w:spacing w:val="-4"/>
        </w:rPr>
      </w:pPr>
      <w:r>
        <w:br w:type="page"/>
      </w:r>
    </w:p>
    <w:p w:rsidR="000E4C2D" w:rsidRDefault="000E4C2D" w:rsidP="000E4C2D">
      <w:pPr>
        <w:pStyle w:val="Caption"/>
        <w:keepLines/>
        <w:rPr>
          <w:vertAlign w:val="superscript"/>
        </w:rPr>
      </w:pPr>
      <w:r w:rsidRPr="002D239A">
        <w:lastRenderedPageBreak/>
        <w:t xml:space="preserve">Table </w:t>
      </w:r>
      <w:fldSimple w:instr=" STYLEREF 8 \s ">
        <w:r w:rsidR="0064604D">
          <w:rPr>
            <w:noProof/>
          </w:rPr>
          <w:t>A</w:t>
        </w:r>
      </w:fldSimple>
      <w:r>
        <w:t>2</w:t>
      </w:r>
      <w:r w:rsidRPr="002D239A">
        <w:t xml:space="preserve">: </w:t>
      </w:r>
      <w:r>
        <w:t>School education: Option 2—Financial implications (outturn prices</w:t>
      </w:r>
      <w:proofErr w:type="gramStart"/>
      <w:r>
        <w:t>)</w:t>
      </w:r>
      <w:r w:rsidRPr="002D239A">
        <w:rPr>
          <w:vertAlign w:val="superscript"/>
        </w:rPr>
        <w:t>(</w:t>
      </w:r>
      <w:proofErr w:type="gramEnd"/>
      <w:r w:rsidRPr="002D239A">
        <w:rPr>
          <w:vertAlign w:val="superscript"/>
        </w:rPr>
        <w:t>a)(b)</w:t>
      </w:r>
    </w:p>
    <w:tbl>
      <w:tblPr>
        <w:tblStyle w:val="LightGrid-Accent61"/>
        <w:tblW w:w="5000" w:type="pct"/>
        <w:tblLook w:val="0680" w:firstRow="0" w:lastRow="0" w:firstColumn="1" w:lastColumn="0" w:noHBand="1" w:noVBand="1"/>
      </w:tblPr>
      <w:tblGrid>
        <w:gridCol w:w="2505"/>
        <w:gridCol w:w="901"/>
        <w:gridCol w:w="901"/>
        <w:gridCol w:w="901"/>
        <w:gridCol w:w="901"/>
        <w:gridCol w:w="901"/>
        <w:gridCol w:w="902"/>
        <w:gridCol w:w="902"/>
        <w:gridCol w:w="902"/>
        <w:gridCol w:w="902"/>
        <w:gridCol w:w="902"/>
        <w:gridCol w:w="902"/>
        <w:gridCol w:w="902"/>
        <w:gridCol w:w="896"/>
      </w:tblGrid>
      <w:tr w:rsidR="000E4C2D" w:rsidRPr="000E4C2D" w:rsidTr="00C6726B">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0E4C2D" w:rsidRPr="000E4C2D" w:rsidRDefault="000E4C2D" w:rsidP="00C6726B">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($m)</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2016–17</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2017–18</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2018–19</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2019–20</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0E4C2D">
              <w:rPr>
                <w:rFonts w:ascii="Calibri" w:hAnsi="Calibri" w:cs="Times New Roman"/>
                <w:b/>
                <w:sz w:val="20"/>
              </w:rPr>
              <w:t>Total to 2019–20</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2020–21</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2021–22</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2022–23</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2023–24</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2024–25</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2025–26</w:t>
            </w:r>
          </w:p>
        </w:tc>
        <w:tc>
          <w:tcPr>
            <w:tcW w:w="317"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sz w:val="20"/>
              </w:rPr>
            </w:pPr>
            <w:r w:rsidRPr="000E4C2D">
              <w:rPr>
                <w:rFonts w:ascii="Calibri" w:hAnsi="Calibri" w:cs="Times New Roman"/>
                <w:sz w:val="20"/>
              </w:rPr>
              <w:t>2026–27</w:t>
            </w:r>
          </w:p>
        </w:tc>
        <w:tc>
          <w:tcPr>
            <w:tcW w:w="315" w:type="pct"/>
            <w:shd w:val="clear" w:color="auto" w:fill="D7DDE9" w:themeFill="accent3"/>
            <w:vAlign w:val="center"/>
          </w:tcPr>
          <w:p w:rsidR="000E4C2D" w:rsidRPr="000E4C2D" w:rsidRDefault="000E4C2D" w:rsidP="00C6726B">
            <w:pPr>
              <w:keepNext/>
              <w:keepLines/>
              <w:spacing w:before="70" w:after="70" w:line="260" w:lineRule="atLeast"/>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b/>
                <w:sz w:val="20"/>
              </w:rPr>
            </w:pPr>
            <w:r w:rsidRPr="000E4C2D">
              <w:rPr>
                <w:rFonts w:ascii="Calibri" w:hAnsi="Calibri" w:cs="Times New Roman"/>
                <w:b/>
                <w:sz w:val="20"/>
              </w:rPr>
              <w:t>Total to 2026–27</w:t>
            </w:r>
          </w:p>
        </w:tc>
      </w:tr>
      <w:tr w:rsidR="000E4C2D" w:rsidRPr="000E4C2D" w:rsidTr="000A00FC">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E9ECF3" w:themeFill="accent2" w:themeFillTint="33"/>
            <w:vAlign w:val="center"/>
          </w:tcPr>
          <w:p w:rsidR="000E4C2D" w:rsidRPr="000E4C2D" w:rsidRDefault="000A00FC" w:rsidP="000A00FC">
            <w:pPr>
              <w:spacing w:before="70" w:after="70"/>
              <w:rPr>
                <w:i/>
                <w:sz w:val="20"/>
              </w:rPr>
            </w:pPr>
            <w:r w:rsidRPr="000E4C2D">
              <w:rPr>
                <w:rFonts w:ascii="Calibri" w:hAnsi="Calibri" w:cs="Times New Roman"/>
                <w:sz w:val="20"/>
              </w:rPr>
              <w:t>Impact on fiscal and underlying cash balances</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vAlign w:val="center"/>
          </w:tcPr>
          <w:p w:rsidR="00E86EA3" w:rsidRPr="000E4C2D" w:rsidRDefault="00E86EA3" w:rsidP="00C6726B">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Administered</w:t>
            </w:r>
          </w:p>
        </w:tc>
        <w:tc>
          <w:tcPr>
            <w:tcW w:w="317" w:type="pct"/>
            <w:vAlign w:val="center"/>
          </w:tcPr>
          <w:p w:rsidR="00E86EA3" w:rsidRPr="000E4C2D" w:rsidRDefault="00E86EA3" w:rsidP="000E4C2D">
            <w:pPr>
              <w:jc w:val="right"/>
              <w:cnfStyle w:val="000000000000" w:firstRow="0" w:lastRow="0" w:firstColumn="0" w:lastColumn="0" w:oddVBand="0" w:evenVBand="0" w:oddHBand="0" w:evenHBand="0" w:firstRowFirstColumn="0" w:firstRowLastColumn="0" w:lastRowFirstColumn="0" w:lastRowLastColumn="0"/>
              <w:rPr>
                <w:i/>
                <w:sz w:val="20"/>
              </w:rPr>
            </w:pPr>
            <w:r w:rsidRPr="000E4C2D">
              <w:rPr>
                <w:i/>
                <w:sz w:val="20"/>
              </w:rPr>
              <w:t xml:space="preserve"> -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630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260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260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1,140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300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320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330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340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350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360 </w:t>
            </w:r>
          </w:p>
        </w:tc>
        <w:tc>
          <w:tcPr>
            <w:tcW w:w="315"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3,430 </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vAlign w:val="center"/>
          </w:tcPr>
          <w:p w:rsidR="00E86EA3" w:rsidRPr="000E4C2D" w:rsidRDefault="00E86EA3" w:rsidP="00C6726B">
            <w:pPr>
              <w:keepNext/>
              <w:keepLines/>
              <w:spacing w:before="70" w:after="70" w:line="260" w:lineRule="atLeast"/>
              <w:ind w:left="-57" w:right="-57"/>
              <w:rPr>
                <w:rFonts w:ascii="Calibri" w:hAnsi="Calibri" w:cs="Times New Roman"/>
                <w:b w:val="0"/>
                <w:sz w:val="20"/>
              </w:rPr>
            </w:pPr>
            <w:r w:rsidRPr="000E4C2D">
              <w:rPr>
                <w:rFonts w:ascii="Calibri" w:hAnsi="Calibri" w:cs="Times New Roman"/>
                <w:b w:val="0"/>
                <w:sz w:val="20"/>
              </w:rPr>
              <w:t>Departmental</w:t>
            </w:r>
          </w:p>
        </w:tc>
        <w:tc>
          <w:tcPr>
            <w:tcW w:w="317" w:type="pct"/>
            <w:vAlign w:val="center"/>
          </w:tcPr>
          <w:p w:rsidR="00E86EA3" w:rsidRPr="000E4C2D" w:rsidRDefault="00E86EA3" w:rsidP="000E4C2D">
            <w:pPr>
              <w:jc w:val="right"/>
              <w:cnfStyle w:val="000000000000" w:firstRow="0" w:lastRow="0" w:firstColumn="0" w:lastColumn="0" w:oddVBand="0" w:evenVBand="0" w:oddHBand="0" w:evenHBand="0" w:firstRowFirstColumn="0" w:firstRowLastColumn="0" w:lastRowFirstColumn="0" w:lastRowLastColumn="0"/>
              <w:rPr>
                <w:i/>
                <w:sz w:val="20"/>
              </w:rPr>
            </w:pPr>
            <w:r w:rsidRPr="000E4C2D">
              <w:rPr>
                <w:i/>
                <w:sz w:val="20"/>
              </w:rPr>
              <w:t xml:space="preserve"> -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30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7"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10 </w:t>
            </w:r>
          </w:p>
        </w:tc>
        <w:tc>
          <w:tcPr>
            <w:tcW w:w="315"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i/>
                <w:sz w:val="20"/>
              </w:rPr>
            </w:pPr>
            <w:r w:rsidRPr="00E86EA3">
              <w:rPr>
                <w:i/>
                <w:sz w:val="20"/>
              </w:rPr>
              <w:t xml:space="preserve"> 80 </w:t>
            </w:r>
          </w:p>
        </w:tc>
      </w:tr>
      <w:tr w:rsidR="00E86EA3" w:rsidRPr="000E4C2D" w:rsidTr="00E86EA3">
        <w:tc>
          <w:tcPr>
            <w:cnfStyle w:val="001000000000" w:firstRow="0" w:lastRow="0" w:firstColumn="1" w:lastColumn="0" w:oddVBand="0" w:evenVBand="0" w:oddHBand="0" w:evenHBand="0" w:firstRowFirstColumn="0" w:firstRowLastColumn="0" w:lastRowFirstColumn="0" w:lastRowLastColumn="0"/>
            <w:tcW w:w="881" w:type="pct"/>
            <w:shd w:val="clear" w:color="auto" w:fill="D7DDE9" w:themeFill="accent3"/>
            <w:vAlign w:val="center"/>
          </w:tcPr>
          <w:p w:rsidR="00E86EA3" w:rsidRPr="000E4C2D" w:rsidRDefault="00E86EA3" w:rsidP="00C6726B">
            <w:pPr>
              <w:keepNext/>
              <w:keepLines/>
              <w:spacing w:before="70" w:after="70" w:line="260" w:lineRule="atLeast"/>
              <w:ind w:left="-57" w:right="-57"/>
              <w:rPr>
                <w:rFonts w:ascii="Calibri" w:hAnsi="Calibri" w:cs="Times New Roman"/>
                <w:sz w:val="20"/>
              </w:rPr>
            </w:pPr>
            <w:r w:rsidRPr="000E4C2D">
              <w:rPr>
                <w:rFonts w:ascii="Calibri" w:hAnsi="Calibri" w:cs="Times New Roman"/>
                <w:sz w:val="20"/>
              </w:rPr>
              <w:t>Total</w:t>
            </w:r>
          </w:p>
        </w:tc>
        <w:tc>
          <w:tcPr>
            <w:tcW w:w="317" w:type="pct"/>
            <w:shd w:val="clear" w:color="auto" w:fill="D7DDE9" w:themeFill="accent3"/>
            <w:vAlign w:val="center"/>
          </w:tcPr>
          <w:p w:rsidR="00E86EA3" w:rsidRPr="00E86EA3" w:rsidRDefault="00E86EA3" w:rsidP="000E4C2D">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640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260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260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1,170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300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310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320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330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340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360 </w:t>
            </w:r>
          </w:p>
        </w:tc>
        <w:tc>
          <w:tcPr>
            <w:tcW w:w="317"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370 </w:t>
            </w:r>
          </w:p>
        </w:tc>
        <w:tc>
          <w:tcPr>
            <w:tcW w:w="315" w:type="pct"/>
            <w:shd w:val="clear" w:color="auto" w:fill="D7DDE9" w:themeFill="accent3"/>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b/>
                <w:sz w:val="20"/>
              </w:rPr>
            </w:pPr>
            <w:r w:rsidRPr="00E86EA3">
              <w:rPr>
                <w:b/>
                <w:sz w:val="20"/>
              </w:rPr>
              <w:t xml:space="preserve"> 3,510 </w:t>
            </w:r>
          </w:p>
        </w:tc>
      </w:tr>
    </w:tbl>
    <w:p w:rsidR="000A00FC" w:rsidRPr="000A00FC" w:rsidRDefault="000A00FC" w:rsidP="00FE44C1">
      <w:pPr>
        <w:pStyle w:val="TableFootnotes"/>
        <w:numPr>
          <w:ilvl w:val="0"/>
          <w:numId w:val="15"/>
        </w:numPr>
        <w:ind w:left="284" w:hanging="284"/>
        <w:rPr>
          <w:rFonts w:ascii="Calibri" w:hAnsi="Calibri"/>
        </w:rPr>
      </w:pPr>
      <w:r w:rsidRPr="000A00FC">
        <w:t>A positive number indicates an increase in revenue or decrease in expenses or net capital investment in accrual and cash terms.  A negative number indicates a decrease in revenue or an increase in expenses or net capital investment in accrual and cash terms</w:t>
      </w:r>
      <w:r w:rsidR="00D2713F">
        <w:t>.</w:t>
      </w:r>
    </w:p>
    <w:p w:rsidR="000E4C2D" w:rsidRPr="00E86EA3" w:rsidRDefault="000E4C2D" w:rsidP="00E86EA3">
      <w:pPr>
        <w:keepNext/>
        <w:keepLines/>
        <w:numPr>
          <w:ilvl w:val="0"/>
          <w:numId w:val="7"/>
        </w:numPr>
        <w:spacing w:after="50" w:line="260" w:lineRule="atLeast"/>
        <w:ind w:left="284" w:hanging="284"/>
        <w:contextualSpacing/>
        <w:rPr>
          <w:sz w:val="20"/>
        </w:rPr>
      </w:pPr>
      <w:r w:rsidRPr="000E4C2D">
        <w:rPr>
          <w:sz w:val="20"/>
        </w:rPr>
        <w:t>Figures may not sum to totals due to rounding.</w:t>
      </w:r>
    </w:p>
    <w:p w:rsidR="000E4C2D" w:rsidRPr="000E4C2D" w:rsidRDefault="000E4C2D" w:rsidP="00FE44C1">
      <w:pPr>
        <w:numPr>
          <w:ilvl w:val="0"/>
          <w:numId w:val="12"/>
        </w:numPr>
        <w:spacing w:after="50" w:line="260" w:lineRule="atLeast"/>
        <w:ind w:left="284" w:hanging="284"/>
        <w:contextualSpacing/>
        <w:rPr>
          <w:sz w:val="20"/>
        </w:rPr>
      </w:pPr>
      <w:r w:rsidRPr="000E4C2D">
        <w:rPr>
          <w:sz w:val="20"/>
        </w:rPr>
        <w:t>Indicates nil.</w:t>
      </w:r>
    </w:p>
    <w:p w:rsidR="000A00FC" w:rsidRDefault="000A00FC">
      <w:pPr>
        <w:rPr>
          <w:rFonts w:asciiTheme="majorHAnsi" w:eastAsiaTheme="majorEastAsia" w:hAnsiTheme="majorHAnsi" w:cstheme="majorBidi"/>
          <w:color w:val="2B3B5F" w:themeColor="text2"/>
          <w:sz w:val="32"/>
        </w:rPr>
      </w:pPr>
      <w:r>
        <w:br w:type="page"/>
      </w:r>
    </w:p>
    <w:p w:rsidR="000E4C2D" w:rsidRPr="002D239A" w:rsidRDefault="000E4C2D" w:rsidP="000E4C2D">
      <w:pPr>
        <w:pStyle w:val="Heading8"/>
      </w:pPr>
      <w:r w:rsidRPr="002D239A">
        <w:lastRenderedPageBreak/>
        <w:t xml:space="preserve">– </w:t>
      </w:r>
      <w:r>
        <w:t>Further information requested</w:t>
      </w:r>
    </w:p>
    <w:p w:rsidR="000E4C2D" w:rsidRPr="002D239A" w:rsidRDefault="000E4C2D" w:rsidP="000E4C2D">
      <w:pPr>
        <w:pStyle w:val="Caption"/>
        <w:keepLines/>
        <w:rPr>
          <w:color w:val="FF0000"/>
        </w:rPr>
      </w:pPr>
      <w:r w:rsidRPr="002D239A">
        <w:t xml:space="preserve">Table </w:t>
      </w:r>
      <w:r>
        <w:t>B1</w:t>
      </w:r>
      <w:r w:rsidRPr="002D239A">
        <w:t xml:space="preserve">: </w:t>
      </w:r>
      <w:r>
        <w:t>Further</w:t>
      </w:r>
      <w:r w:rsidRPr="000E4C2D">
        <w:t xml:space="preserve"> information relating to funding per student under current arrangements compared to funding arrangements under Option 2</w:t>
      </w:r>
    </w:p>
    <w:tbl>
      <w:tblPr>
        <w:tblStyle w:val="LightGrid-Accent6"/>
        <w:tblW w:w="4052" w:type="pct"/>
        <w:tblLook w:val="0680" w:firstRow="0" w:lastRow="0" w:firstColumn="1" w:lastColumn="0" w:noHBand="1" w:noVBand="1"/>
      </w:tblPr>
      <w:tblGrid>
        <w:gridCol w:w="2511"/>
        <w:gridCol w:w="902"/>
        <w:gridCol w:w="902"/>
        <w:gridCol w:w="902"/>
        <w:gridCol w:w="901"/>
        <w:gridCol w:w="901"/>
        <w:gridCol w:w="901"/>
        <w:gridCol w:w="901"/>
        <w:gridCol w:w="901"/>
        <w:gridCol w:w="901"/>
        <w:gridCol w:w="901"/>
      </w:tblGrid>
      <w:tr w:rsidR="000E4C2D" w:rsidTr="00E86EA3">
        <w:tc>
          <w:tcPr>
            <w:cnfStyle w:val="001000000000" w:firstRow="0" w:lastRow="0" w:firstColumn="1" w:lastColumn="0" w:oddVBand="0" w:evenVBand="0" w:oddHBand="0" w:evenHBand="0" w:firstRowFirstColumn="0" w:firstRowLastColumn="0" w:lastRowFirstColumn="0" w:lastRowLastColumn="0"/>
            <w:tcW w:w="1089" w:type="pct"/>
            <w:shd w:val="clear" w:color="auto" w:fill="D7DDE9" w:themeFill="accent3"/>
            <w:vAlign w:val="center"/>
          </w:tcPr>
          <w:p w:rsidR="000E4C2D" w:rsidRPr="002D239A" w:rsidRDefault="000E4C2D" w:rsidP="00C6726B">
            <w:pPr>
              <w:pStyle w:val="TableHeading"/>
              <w:ind w:left="-57" w:right="-57"/>
            </w:pPr>
            <w:r>
              <w:t>($</w:t>
            </w:r>
            <w:r w:rsidR="000A00FC">
              <w:t xml:space="preserve"> per student</w:t>
            </w:r>
            <w:r>
              <w:t>)</w:t>
            </w:r>
          </w:p>
        </w:tc>
        <w:tc>
          <w:tcPr>
            <w:tcW w:w="391" w:type="pct"/>
            <w:shd w:val="clear" w:color="auto" w:fill="D7DDE9" w:themeFill="accent3"/>
            <w:vAlign w:val="center"/>
          </w:tcPr>
          <w:p w:rsidR="000E4C2D" w:rsidRPr="002D239A"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2017–18</w:t>
            </w:r>
          </w:p>
        </w:tc>
        <w:tc>
          <w:tcPr>
            <w:tcW w:w="391" w:type="pct"/>
            <w:shd w:val="clear" w:color="auto" w:fill="D7DDE9" w:themeFill="accent3"/>
            <w:vAlign w:val="center"/>
          </w:tcPr>
          <w:p w:rsidR="000E4C2D" w:rsidRPr="002D239A"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2018–19</w:t>
            </w:r>
          </w:p>
        </w:tc>
        <w:tc>
          <w:tcPr>
            <w:tcW w:w="391" w:type="pct"/>
            <w:shd w:val="clear" w:color="auto" w:fill="D7DDE9" w:themeFill="accent3"/>
            <w:vAlign w:val="center"/>
          </w:tcPr>
          <w:p w:rsidR="000E4C2D" w:rsidRPr="002D239A"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2019–20</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2020–21</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2021–22</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2022–23</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2023–24</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2024–25</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2025–26</w:t>
            </w:r>
          </w:p>
        </w:tc>
        <w:tc>
          <w:tcPr>
            <w:tcW w:w="391" w:type="pct"/>
            <w:shd w:val="clear" w:color="auto" w:fill="D7DDE9" w:themeFill="accent3"/>
            <w:vAlign w:val="center"/>
          </w:tcPr>
          <w:p w:rsidR="000E4C2D" w:rsidRPr="007B57C9" w:rsidRDefault="000E4C2D" w:rsidP="00C6726B">
            <w:pPr>
              <w:pStyle w:val="TableHeadingRight"/>
              <w:ind w:left="-57" w:right="-57"/>
              <w:cnfStyle w:val="000000000000" w:firstRow="0" w:lastRow="0" w:firstColumn="0" w:lastColumn="0" w:oddVBand="0" w:evenVBand="0" w:oddHBand="0" w:evenHBand="0" w:firstRowFirstColumn="0" w:firstRowLastColumn="0" w:lastRowFirstColumn="0" w:lastRowLastColumn="0"/>
              <w:rPr>
                <w:b w:val="0"/>
              </w:rPr>
            </w:pPr>
            <w:r>
              <w:rPr>
                <w:b w:val="0"/>
              </w:rPr>
              <w:t>2026–27</w:t>
            </w:r>
          </w:p>
        </w:tc>
      </w:tr>
      <w:tr w:rsidR="00E86EA3" w:rsidTr="00E86EA3">
        <w:tc>
          <w:tcPr>
            <w:cnfStyle w:val="001000000000" w:firstRow="0" w:lastRow="0" w:firstColumn="1" w:lastColumn="0" w:oddVBand="0" w:evenVBand="0" w:oddHBand="0" w:evenHBand="0" w:firstRowFirstColumn="0" w:firstRowLastColumn="0" w:lastRowFirstColumn="0" w:lastRowLastColumn="0"/>
            <w:tcW w:w="1089" w:type="pct"/>
            <w:vAlign w:val="center"/>
          </w:tcPr>
          <w:p w:rsidR="00E86EA3" w:rsidRPr="000E4C2D" w:rsidRDefault="00E86EA3" w:rsidP="00C6726B">
            <w:pPr>
              <w:pStyle w:val="TableText"/>
              <w:keepNext/>
              <w:keepLines/>
              <w:ind w:left="-57" w:right="-57"/>
              <w:rPr>
                <w:b w:val="0"/>
              </w:rPr>
            </w:pPr>
            <w:r w:rsidRPr="000E4C2D">
              <w:rPr>
                <w:b w:val="0"/>
              </w:rPr>
              <w:t>Current arrangements</w:t>
            </w:r>
          </w:p>
        </w:tc>
        <w:tc>
          <w:tcPr>
            <w:tcW w:w="391" w:type="pct"/>
            <w:vAlign w:val="center"/>
          </w:tcPr>
          <w:p w:rsidR="00E86EA3" w:rsidRPr="00B376E3" w:rsidRDefault="00E86EA3" w:rsidP="00D2713F">
            <w:pPr>
              <w:jc w:val="right"/>
              <w:cnfStyle w:val="000000000000" w:firstRow="0" w:lastRow="0" w:firstColumn="0" w:lastColumn="0" w:oddVBand="0" w:evenVBand="0" w:oddHBand="0" w:evenHBand="0" w:firstRowFirstColumn="0" w:firstRowLastColumn="0" w:lastRowFirstColumn="0" w:lastRowLastColumn="0"/>
              <w:rPr>
                <w:sz w:val="20"/>
                <w:szCs w:val="20"/>
              </w:rPr>
            </w:pPr>
            <w:r w:rsidRPr="00B376E3">
              <w:rPr>
                <w:sz w:val="20"/>
                <w:szCs w:val="20"/>
              </w:rPr>
              <w:t xml:space="preserve"> 4,700</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4,850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4,970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5,030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5,120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5,210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5,300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5,390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5,480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5,580 </w:t>
            </w:r>
          </w:p>
        </w:tc>
      </w:tr>
      <w:tr w:rsidR="00E86EA3" w:rsidTr="00E86EA3">
        <w:tc>
          <w:tcPr>
            <w:cnfStyle w:val="001000000000" w:firstRow="0" w:lastRow="0" w:firstColumn="1" w:lastColumn="0" w:oddVBand="0" w:evenVBand="0" w:oddHBand="0" w:evenHBand="0" w:firstRowFirstColumn="0" w:firstRowLastColumn="0" w:lastRowFirstColumn="0" w:lastRowLastColumn="0"/>
            <w:tcW w:w="1089" w:type="pct"/>
            <w:vAlign w:val="center"/>
          </w:tcPr>
          <w:p w:rsidR="00E86EA3" w:rsidRPr="000E4C2D" w:rsidRDefault="00E86EA3" w:rsidP="00C6726B">
            <w:pPr>
              <w:pStyle w:val="TableText"/>
              <w:keepNext/>
              <w:keepLines/>
              <w:ind w:left="-57" w:right="-57"/>
              <w:rPr>
                <w:b w:val="0"/>
              </w:rPr>
            </w:pPr>
            <w:r w:rsidRPr="000E4C2D">
              <w:rPr>
                <w:b w:val="0"/>
              </w:rPr>
              <w:t>Proposed arrangements under Option 2</w:t>
            </w:r>
          </w:p>
        </w:tc>
        <w:tc>
          <w:tcPr>
            <w:tcW w:w="391" w:type="pct"/>
            <w:vAlign w:val="center"/>
          </w:tcPr>
          <w:p w:rsidR="00E86EA3" w:rsidRPr="00B376E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B376E3">
              <w:rPr>
                <w:sz w:val="20"/>
                <w:szCs w:val="20"/>
              </w:rPr>
              <w:t xml:space="preserve"> 4,6</w:t>
            </w:r>
            <w:r>
              <w:rPr>
                <w:sz w:val="20"/>
                <w:szCs w:val="20"/>
              </w:rPr>
              <w:t>7</w:t>
            </w:r>
            <w:r w:rsidRPr="00B376E3">
              <w:rPr>
                <w:sz w:val="20"/>
                <w:szCs w:val="20"/>
              </w:rPr>
              <w:t>0</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4,810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4,940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4,980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5,070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5,160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5,250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5,340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5,430 </w:t>
            </w:r>
          </w:p>
        </w:tc>
        <w:tc>
          <w:tcPr>
            <w:tcW w:w="391" w:type="pct"/>
            <w:vAlign w:val="center"/>
          </w:tcPr>
          <w:p w:rsidR="00E86EA3" w:rsidRPr="00E86EA3" w:rsidRDefault="00E86EA3" w:rsidP="00E86EA3">
            <w:pPr>
              <w:jc w:val="right"/>
              <w:cnfStyle w:val="000000000000" w:firstRow="0" w:lastRow="0" w:firstColumn="0" w:lastColumn="0" w:oddVBand="0" w:evenVBand="0" w:oddHBand="0" w:evenHBand="0" w:firstRowFirstColumn="0" w:firstRowLastColumn="0" w:lastRowFirstColumn="0" w:lastRowLastColumn="0"/>
              <w:rPr>
                <w:sz w:val="20"/>
                <w:szCs w:val="20"/>
              </w:rPr>
            </w:pPr>
            <w:r w:rsidRPr="00E86EA3">
              <w:rPr>
                <w:sz w:val="20"/>
                <w:szCs w:val="20"/>
              </w:rPr>
              <w:t xml:space="preserve"> 5,530 </w:t>
            </w:r>
          </w:p>
        </w:tc>
      </w:tr>
    </w:tbl>
    <w:p w:rsidR="002D239A" w:rsidRPr="000E4C2D" w:rsidRDefault="002D239A" w:rsidP="000E4C2D">
      <w:pPr>
        <w:rPr>
          <w:sz w:val="20"/>
        </w:rPr>
      </w:pPr>
    </w:p>
    <w:sectPr w:rsidR="002D239A" w:rsidRPr="000E4C2D" w:rsidSect="001E33C2">
      <w:headerReference w:type="even" r:id="rId15"/>
      <w:footerReference w:type="even" r:id="rId16"/>
      <w:headerReference w:type="first" r:id="rId17"/>
      <w:footerReference w:type="first" r:id="rId18"/>
      <w:pgSz w:w="16839" w:h="11907" w:orient="landscape" w:code="9"/>
      <w:pgMar w:top="1797" w:right="1361" w:bottom="1797" w:left="1474"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C7" w:rsidRDefault="005F2FC7" w:rsidP="00A20802">
      <w:pPr>
        <w:spacing w:line="240" w:lineRule="auto"/>
      </w:pPr>
      <w:r>
        <w:separator/>
      </w:r>
    </w:p>
    <w:p w:rsidR="005F2FC7" w:rsidRDefault="005F2FC7"/>
  </w:endnote>
  <w:endnote w:type="continuationSeparator" w:id="0">
    <w:p w:rsidR="005F2FC7" w:rsidRDefault="005F2FC7" w:rsidP="00A20802">
      <w:pPr>
        <w:spacing w:line="240" w:lineRule="auto"/>
      </w:pPr>
      <w:r>
        <w:continuationSeparator/>
      </w:r>
    </w:p>
    <w:p w:rsidR="005F2FC7" w:rsidRDefault="005F2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F8" w:rsidRDefault="00A67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F9" w:rsidRDefault="003568F9" w:rsidP="002C4DA6">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671F8">
      <w:rPr>
        <w:rStyle w:val="FooterChar"/>
        <w:b/>
        <w:noProof/>
      </w:rPr>
      <w:t>6</w:t>
    </w:r>
    <w:r w:rsidRPr="002C4DA6">
      <w:rPr>
        <w:rStyle w:val="FooterChar"/>
        <w:b/>
      </w:rPr>
      <w:fldChar w:fldCharType="end"/>
    </w:r>
    <w:r w:rsidRPr="002C4DA6">
      <w:rPr>
        <w:rStyle w:val="FooterChar"/>
        <w:b/>
      </w:rPr>
      <w:t xml:space="preserve"> of </w:t>
    </w:r>
    <w:r>
      <w:rPr>
        <w:rStyle w:val="FooterChar"/>
        <w:b/>
      </w:rPr>
      <w:t>7</w:t>
    </w:r>
  </w:p>
  <w:p w:rsidR="003568F9" w:rsidRPr="00A671F8" w:rsidRDefault="003568F9" w:rsidP="0000071C">
    <w:pPr>
      <w:pStyle w:val="Footer"/>
      <w:ind w:left="3714" w:hanging="3714"/>
      <w:jc w:val="center"/>
      <w:rPr>
        <w:rFonts w:cs="Arial"/>
        <w:strike/>
        <w:color w:val="FF0000"/>
        <w:sz w:val="28"/>
        <w:szCs w:val="28"/>
      </w:rPr>
    </w:pPr>
    <w:r w:rsidRPr="00A671F8">
      <w:rPr>
        <w:rStyle w:val="FooterChar"/>
        <w:rFonts w:cs="Arial"/>
        <w:b/>
        <w:strike/>
        <w:color w:val="FF0000"/>
        <w:sz w:val="28"/>
        <w:szCs w:val="28"/>
      </w:rPr>
      <w:t>Sensitive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7" w:rsidRDefault="005F2FC7" w:rsidP="00476133">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A671F8">
      <w:rPr>
        <w:rStyle w:val="FooterChar"/>
        <w:b/>
        <w:noProof/>
      </w:rPr>
      <w:t>1</w:t>
    </w:r>
    <w:r w:rsidRPr="002C4DA6">
      <w:rPr>
        <w:rStyle w:val="FooterChar"/>
        <w:b/>
      </w:rPr>
      <w:fldChar w:fldCharType="end"/>
    </w:r>
    <w:r w:rsidRPr="002C4DA6">
      <w:rPr>
        <w:rStyle w:val="FooterChar"/>
        <w:b/>
      </w:rPr>
      <w:t xml:space="preserve"> of </w:t>
    </w:r>
    <w:r w:rsidR="00082CF7">
      <w:rPr>
        <w:rStyle w:val="FooterChar"/>
        <w:b/>
      </w:rPr>
      <w:t>7</w:t>
    </w:r>
  </w:p>
  <w:p w:rsidR="005F2FC7" w:rsidRPr="00A671F8" w:rsidRDefault="005F2FC7" w:rsidP="00EF0A00">
    <w:pPr>
      <w:pStyle w:val="Footer"/>
      <w:ind w:left="3714" w:hanging="3714"/>
      <w:jc w:val="center"/>
      <w:rPr>
        <w:rFonts w:cs="Arial"/>
        <w:strike/>
        <w:color w:val="FF0000"/>
        <w:sz w:val="28"/>
        <w:szCs w:val="28"/>
      </w:rPr>
    </w:pPr>
    <w:r w:rsidRPr="00A671F8">
      <w:rPr>
        <w:rStyle w:val="FooterChar"/>
        <w:rFonts w:cs="Arial"/>
        <w:b/>
        <w:strike/>
        <w:color w:val="FF0000"/>
        <w:sz w:val="28"/>
        <w:szCs w:val="28"/>
      </w:rPr>
      <w:t>Sensitive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5F2FC7" w:rsidRPr="00EB388E" w:rsidTr="002D239A">
      <w:trPr>
        <w:trHeight w:val="340"/>
      </w:trPr>
      <w:tc>
        <w:tcPr>
          <w:tcW w:w="567" w:type="dxa"/>
          <w:tcBorders>
            <w:right w:val="single" w:sz="4" w:space="0" w:color="788184" w:themeColor="background2"/>
          </w:tcBorders>
          <w:vAlign w:val="center"/>
        </w:tcPr>
        <w:p w:rsidR="005F2FC7" w:rsidRPr="00CB70DF" w:rsidRDefault="005F2FC7" w:rsidP="002D239A">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64604D">
            <w:rPr>
              <w:noProof/>
            </w:rPr>
            <w:t>8</w:t>
          </w:r>
          <w:r w:rsidRPr="00EB388E">
            <w:fldChar w:fldCharType="end"/>
          </w:r>
        </w:p>
      </w:tc>
      <w:tc>
        <w:tcPr>
          <w:tcW w:w="8164" w:type="dxa"/>
          <w:tcBorders>
            <w:left w:val="single" w:sz="4" w:space="0" w:color="788184" w:themeColor="background2"/>
          </w:tcBorders>
          <w:vAlign w:val="center"/>
        </w:tcPr>
        <w:p w:rsidR="005F2FC7" w:rsidRPr="00CB70DF" w:rsidRDefault="00C715AB" w:rsidP="002D239A">
          <w:pPr>
            <w:pStyle w:val="FooterLeft"/>
            <w:framePr w:wrap="auto" w:vAnchor="margin" w:hAnchor="text" w:yAlign="inline"/>
          </w:pPr>
          <w:fldSimple w:instr=" STYLEREF  Title  \* MERGEFORMAT ">
            <w:r w:rsidR="0064604D">
              <w:rPr>
                <w:noProof/>
              </w:rPr>
              <w:t>Policy costing—outside the caretaker period</w:t>
            </w:r>
          </w:fldSimple>
        </w:p>
      </w:tc>
    </w:tr>
    <w:tr w:rsidR="005F2FC7" w:rsidRPr="00EB388E" w:rsidTr="002D239A">
      <w:trPr>
        <w:trHeight w:hRule="exact" w:val="403"/>
      </w:trPr>
      <w:tc>
        <w:tcPr>
          <w:tcW w:w="567" w:type="dxa"/>
          <w:tcMar>
            <w:bottom w:w="284" w:type="dxa"/>
          </w:tcMar>
        </w:tcPr>
        <w:p w:rsidR="005F2FC7" w:rsidRPr="00EB388E" w:rsidRDefault="005F2FC7" w:rsidP="002D239A">
          <w:pPr>
            <w:pStyle w:val="FooterRightPageNumber"/>
          </w:pPr>
        </w:p>
      </w:tc>
      <w:tc>
        <w:tcPr>
          <w:tcW w:w="8164" w:type="dxa"/>
          <w:tcMar>
            <w:bottom w:w="284" w:type="dxa"/>
          </w:tcMar>
        </w:tcPr>
        <w:p w:rsidR="005F2FC7" w:rsidRPr="00090E70" w:rsidRDefault="005F2FC7" w:rsidP="002D239A"/>
      </w:tc>
    </w:tr>
  </w:tbl>
  <w:p w:rsidR="005F2FC7" w:rsidRDefault="005F2FC7">
    <w:pPr>
      <w:pStyle w:val="Footer"/>
    </w:pPr>
  </w:p>
  <w:p w:rsidR="005F2FC7" w:rsidRPr="004816D7" w:rsidRDefault="005F2FC7" w:rsidP="005600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7" w:rsidRPr="0046444F" w:rsidRDefault="005F2FC7" w:rsidP="0046444F">
    <w:pPr>
      <w:pStyle w:val="Header"/>
      <w:spacing w:after="240"/>
      <w:ind w:left="7309" w:hanging="7309"/>
    </w:pPr>
    <w:r w:rsidRPr="0092572B">
      <w:rPr>
        <w:b/>
        <w:color w:val="FF0000"/>
        <w:sz w:val="28"/>
        <w:szCs w:val="28"/>
      </w:rPr>
      <w:t>Sensitive</w:t>
    </w:r>
    <w:r>
      <w:rPr>
        <w:b/>
        <w:color w:val="FF0000"/>
        <w:sz w:val="28"/>
        <w:szCs w:val="28"/>
      </w:rPr>
      <w:tab/>
    </w:r>
    <w:r w:rsidRPr="00D67648">
      <w:rPr>
        <w:rStyle w:val="FooterChar"/>
      </w:rPr>
      <w:t xml:space="preserve">Page </w:t>
    </w:r>
    <w:r w:rsidRPr="00D67648">
      <w:rPr>
        <w:rStyle w:val="FooterChar"/>
      </w:rPr>
      <w:fldChar w:fldCharType="begin"/>
    </w:r>
    <w:r w:rsidRPr="00D67648">
      <w:rPr>
        <w:rStyle w:val="FooterChar"/>
      </w:rPr>
      <w:instrText xml:space="preserve"> PAGE  \* Arabic  \* MERGEFORMAT </w:instrText>
    </w:r>
    <w:r w:rsidRPr="00D67648">
      <w:rPr>
        <w:rStyle w:val="FooterChar"/>
      </w:rPr>
      <w:fldChar w:fldCharType="separate"/>
    </w:r>
    <w:r w:rsidR="0064604D">
      <w:rPr>
        <w:rStyle w:val="FooterChar"/>
        <w:noProof/>
      </w:rPr>
      <w:t>8</w:t>
    </w:r>
    <w:r w:rsidRPr="00D67648">
      <w:rPr>
        <w:rStyle w:val="FooterChar"/>
      </w:rPr>
      <w:fldChar w:fldCharType="end"/>
    </w:r>
    <w:r w:rsidRPr="00D67648">
      <w:rPr>
        <w:rStyle w:val="FooterChar"/>
      </w:rPr>
      <w:t xml:space="preserve"> of </w:t>
    </w:r>
    <w:r w:rsidRPr="00D67648">
      <w:rPr>
        <w:rStyle w:val="FooterChar"/>
      </w:rPr>
      <w:fldChar w:fldCharType="begin"/>
    </w:r>
    <w:r w:rsidRPr="00D67648">
      <w:rPr>
        <w:rStyle w:val="FooterChar"/>
      </w:rPr>
      <w:instrText xml:space="preserve"> NUMPAGES  \* Arabic  \* MERGEFORMAT </w:instrText>
    </w:r>
    <w:r w:rsidRPr="00D67648">
      <w:rPr>
        <w:rStyle w:val="FooterChar"/>
      </w:rPr>
      <w:fldChar w:fldCharType="separate"/>
    </w:r>
    <w:r w:rsidR="0064604D">
      <w:rPr>
        <w:rStyle w:val="FooterChar"/>
        <w:noProof/>
      </w:rPr>
      <w:t>8</w:t>
    </w:r>
    <w:r w:rsidRPr="00D67648">
      <w:rPr>
        <w:rStyle w:val="Foote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C7" w:rsidRPr="000557A7" w:rsidRDefault="005F2FC7" w:rsidP="008D5A11">
      <w:pPr>
        <w:pBdr>
          <w:top w:val="single" w:sz="4" w:space="1" w:color="auto"/>
        </w:pBdr>
        <w:spacing w:before="240" w:line="60" w:lineRule="exact"/>
        <w:rPr>
          <w:sz w:val="16"/>
          <w:szCs w:val="16"/>
        </w:rPr>
      </w:pPr>
    </w:p>
  </w:footnote>
  <w:footnote w:type="continuationSeparator" w:id="0">
    <w:p w:rsidR="005F2FC7" w:rsidRDefault="005F2FC7" w:rsidP="00A20802">
      <w:pPr>
        <w:spacing w:line="240" w:lineRule="auto"/>
      </w:pPr>
      <w:r>
        <w:continuationSeparator/>
      </w:r>
    </w:p>
    <w:p w:rsidR="005F2FC7" w:rsidRDefault="005F2FC7"/>
  </w:footnote>
  <w:footnote w:id="1">
    <w:p w:rsidR="00B70DEC" w:rsidRDefault="00B70DEC" w:rsidP="00B70DEC">
      <w:pPr>
        <w:pStyle w:val="FootnoteText"/>
        <w:tabs>
          <w:tab w:val="clear" w:pos="425"/>
          <w:tab w:val="left" w:pos="142"/>
        </w:tabs>
        <w:ind w:left="142" w:hanging="142"/>
      </w:pPr>
      <w:r>
        <w:rPr>
          <w:rStyle w:val="FootnoteReference"/>
        </w:rPr>
        <w:footnoteRef/>
      </w:r>
      <w:r>
        <w:t xml:space="preserve"> </w:t>
      </w:r>
      <w:r w:rsidRPr="00B70DEC">
        <w:t xml:space="preserve">The term ‘function’ is referred to in Statement 5 of Budget Paper 1 that presents estimates of general government sector expenses and net capital investment allocated according to the various functions of government.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F8" w:rsidRDefault="00A67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F9" w:rsidRPr="00C715AB" w:rsidRDefault="003568F9" w:rsidP="002C4DA6">
    <w:pPr>
      <w:pStyle w:val="Header"/>
      <w:jc w:val="center"/>
      <w:rPr>
        <w:b/>
        <w:strike/>
        <w:color w:val="FF0000"/>
        <w:sz w:val="28"/>
        <w:szCs w:val="28"/>
      </w:rPr>
    </w:pPr>
    <w:r w:rsidRPr="00C715AB">
      <w:rPr>
        <w:b/>
        <w:strike/>
        <w:color w:val="FF0000"/>
        <w:sz w:val="28"/>
        <w:szCs w:val="28"/>
      </w:rPr>
      <w:t>Sens</w:t>
    </w:r>
    <w:bookmarkStart w:id="0" w:name="_GoBack"/>
    <w:bookmarkEnd w:id="0"/>
    <w:r w:rsidRPr="00C715AB">
      <w:rPr>
        <w:b/>
        <w:strike/>
        <w:color w:val="FF0000"/>
        <w:sz w:val="28"/>
        <w:szCs w:val="28"/>
      </w:rPr>
      <w:t>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7" w:rsidRPr="00C715AB" w:rsidRDefault="005F2FC7" w:rsidP="002C4DA6">
    <w:pPr>
      <w:pStyle w:val="Header"/>
      <w:jc w:val="center"/>
      <w:rPr>
        <w:b/>
        <w:strike/>
        <w:color w:val="FF0000"/>
        <w:sz w:val="28"/>
        <w:szCs w:val="28"/>
      </w:rPr>
    </w:pPr>
    <w:r w:rsidRPr="00C715AB">
      <w:rPr>
        <w:b/>
        <w:strike/>
        <w:color w:val="FF0000"/>
        <w:sz w:val="28"/>
        <w:szCs w:val="28"/>
      </w:rPr>
      <w:t>Sensitive</w:t>
    </w:r>
  </w:p>
  <w:p w:rsidR="005F2FC7" w:rsidRPr="0046444F" w:rsidRDefault="005F2FC7" w:rsidP="0046444F">
    <w:pPr>
      <w:pStyle w:val="Header"/>
    </w:pPr>
    <w:r>
      <w:rPr>
        <w:noProof/>
        <w:lang w:eastAsia="en-AU"/>
      </w:rPr>
      <w:drawing>
        <wp:inline distT="0" distB="0" distL="0" distR="0" wp14:anchorId="0A8C954C" wp14:editId="4E484559">
          <wp:extent cx="2696845" cy="572135"/>
          <wp:effectExtent l="0" t="0" r="8255" b="0"/>
          <wp:docPr id="21" name="Picture 21"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7" w:rsidRDefault="005F2FC7">
    <w:pPr>
      <w:pStyle w:val="Header"/>
    </w:pPr>
    <w:r>
      <w:rPr>
        <w:noProof/>
        <w:lang w:eastAsia="en-AU"/>
      </w:rPr>
      <mc:AlternateContent>
        <mc:Choice Requires="wps">
          <w:drawing>
            <wp:anchor distT="0" distB="0" distL="114300" distR="114300" simplePos="0" relativeHeight="251693056" behindDoc="1" locked="1" layoutInCell="1" allowOverlap="1" wp14:anchorId="790D0EE8" wp14:editId="0501E5E0">
              <wp:simplePos x="0" y="0"/>
              <wp:positionH relativeFrom="page">
                <wp:align>center</wp:align>
              </wp:positionH>
              <wp:positionV relativeFrom="page">
                <wp:align>center</wp:align>
              </wp:positionV>
              <wp:extent cx="7560000" cy="1796400"/>
              <wp:effectExtent l="0" t="0" r="0" b="0"/>
              <wp:wrapNone/>
              <wp:docPr id="2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C7" w:rsidRPr="0001226A" w:rsidRDefault="005F2FC7"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95.3pt;height:141.45pt;z-index:-2516234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j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NMBK0gx49stGgOzmiKIxt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yU5+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E9cIKO6AgAA&#10;xAUAAA4AAAAAAAAAAAAAAAAALgIAAGRycy9lMm9Eb2MueG1sUEsBAi0AFAAGAAgAAAAhADTFRM7b&#10;AAAABgEAAA8AAAAAAAAAAAAAAAAAFAUAAGRycy9kb3ducmV2LnhtbFBLBQYAAAAABAAEAPMAAAAc&#10;BgAAAAA=&#10;" filled="f" stroked="f">
              <v:textbox>
                <w:txbxContent>
                  <w:p w:rsidR="005F2FC7" w:rsidRPr="0001226A" w:rsidRDefault="005F2FC7"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7" w:rsidRDefault="005F2FC7" w:rsidP="0046444F">
    <w:pPr>
      <w:pStyle w:val="Header"/>
      <w:jc w:val="right"/>
      <w:rPr>
        <w:b/>
        <w:color w:val="FF0000"/>
        <w:sz w:val="28"/>
        <w:szCs w:val="28"/>
      </w:rPr>
    </w:pPr>
    <w:r w:rsidRPr="0092572B">
      <w:rPr>
        <w:b/>
        <w:color w:val="FF0000"/>
        <w:sz w:val="28"/>
        <w:szCs w:val="28"/>
      </w:rPr>
      <w:t>Sensitive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EE76CDFE"/>
    <w:name w:val="Bullets"/>
    <w:lvl w:ilvl="0">
      <w:start w:val="1"/>
      <w:numFmt w:val="bullet"/>
      <w:pStyle w:val="ListBullet"/>
      <w:lvlText w:val="•"/>
      <w:lvlJc w:val="left"/>
      <w:pPr>
        <w:tabs>
          <w:tab w:val="num" w:pos="454"/>
        </w:tabs>
        <w:ind w:left="284" w:hanging="28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E3A3256"/>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E0A6CF32"/>
    <w:name w:val="TableFootnotes"/>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8">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79EA63D9"/>
    <w:multiLevelType w:val="hybridMultilevel"/>
    <w:tmpl w:val="92E4AE7E"/>
    <w:lvl w:ilvl="0" w:tplc="CC7AE5C8">
      <w:start w:val="1"/>
      <w:numFmt w:val="lowerLetter"/>
      <w:pStyle w:val="Footnotes"/>
      <w:lvlText w:val="(%1)"/>
      <w:lvlJc w:val="left"/>
      <w:pPr>
        <w:ind w:left="360" w:hanging="360"/>
      </w:pPr>
      <w:rPr>
        <w:rFonts w:asciiTheme="minorHAnsi" w:hAnsiTheme="minorHAnsi" w:hint="default"/>
      </w:rPr>
    </w:lvl>
    <w:lvl w:ilvl="1" w:tplc="0C090019">
      <w:start w:val="1"/>
      <w:numFmt w:val="lowerLetter"/>
      <w:lvlText w:val="%2."/>
      <w:lvlJc w:val="left"/>
      <w:pPr>
        <w:ind w:left="967" w:hanging="360"/>
      </w:pPr>
    </w:lvl>
    <w:lvl w:ilvl="2" w:tplc="0C09001B">
      <w:start w:val="1"/>
      <w:numFmt w:val="lowerRoman"/>
      <w:lvlText w:val="%3."/>
      <w:lvlJc w:val="right"/>
      <w:pPr>
        <w:ind w:left="1687" w:hanging="180"/>
      </w:pPr>
    </w:lvl>
    <w:lvl w:ilvl="3" w:tplc="0C09000F">
      <w:start w:val="1"/>
      <w:numFmt w:val="decimal"/>
      <w:lvlText w:val="%4."/>
      <w:lvlJc w:val="left"/>
      <w:pPr>
        <w:ind w:left="2407" w:hanging="360"/>
      </w:pPr>
    </w:lvl>
    <w:lvl w:ilvl="4" w:tplc="0C090019">
      <w:start w:val="1"/>
      <w:numFmt w:val="lowerLetter"/>
      <w:lvlText w:val="%5."/>
      <w:lvlJc w:val="left"/>
      <w:pPr>
        <w:ind w:left="3127" w:hanging="360"/>
      </w:pPr>
    </w:lvl>
    <w:lvl w:ilvl="5" w:tplc="0C09001B">
      <w:start w:val="1"/>
      <w:numFmt w:val="lowerRoman"/>
      <w:lvlText w:val="%6."/>
      <w:lvlJc w:val="right"/>
      <w:pPr>
        <w:ind w:left="3847" w:hanging="180"/>
      </w:pPr>
    </w:lvl>
    <w:lvl w:ilvl="6" w:tplc="0C09000F">
      <w:start w:val="1"/>
      <w:numFmt w:val="decimal"/>
      <w:lvlText w:val="%7."/>
      <w:lvlJc w:val="left"/>
      <w:pPr>
        <w:ind w:left="4567" w:hanging="360"/>
      </w:pPr>
    </w:lvl>
    <w:lvl w:ilvl="7" w:tplc="0C090019">
      <w:start w:val="1"/>
      <w:numFmt w:val="lowerLetter"/>
      <w:lvlText w:val="%8."/>
      <w:lvlJc w:val="left"/>
      <w:pPr>
        <w:ind w:left="5287" w:hanging="360"/>
      </w:pPr>
    </w:lvl>
    <w:lvl w:ilvl="8" w:tplc="0C09001B">
      <w:start w:val="1"/>
      <w:numFmt w:val="lowerRoman"/>
      <w:lvlText w:val="%9."/>
      <w:lvlJc w:val="right"/>
      <w:pPr>
        <w:ind w:left="6007" w:hanging="180"/>
      </w:pPr>
    </w:lvl>
  </w:abstractNum>
  <w:num w:numId="1">
    <w:abstractNumId w:val="7"/>
  </w:num>
  <w:num w:numId="2">
    <w:abstractNumId w:val="0"/>
  </w:num>
  <w:num w:numId="3">
    <w:abstractNumId w:val="10"/>
  </w:num>
  <w:num w:numId="4">
    <w:abstractNumId w:val="6"/>
  </w:num>
  <w:num w:numId="5">
    <w:abstractNumId w:val="5"/>
  </w:num>
  <w:num w:numId="6">
    <w:abstractNumId w:val="9"/>
  </w:num>
  <w:num w:numId="7">
    <w:abstractNumId w:val="2"/>
  </w:num>
  <w:num w:numId="8">
    <w:abstractNumId w:val="3"/>
  </w:num>
  <w:num w:numId="9">
    <w:abstractNumId w:val="8"/>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4C20A1"/>
    <w:rsid w:val="0000071C"/>
    <w:rsid w:val="0000322C"/>
    <w:rsid w:val="00003CDD"/>
    <w:rsid w:val="0001406F"/>
    <w:rsid w:val="000168A7"/>
    <w:rsid w:val="00016D53"/>
    <w:rsid w:val="000278D0"/>
    <w:rsid w:val="00027E62"/>
    <w:rsid w:val="000307C8"/>
    <w:rsid w:val="00030F73"/>
    <w:rsid w:val="00031B78"/>
    <w:rsid w:val="00035ADE"/>
    <w:rsid w:val="0004224B"/>
    <w:rsid w:val="00046226"/>
    <w:rsid w:val="0005330D"/>
    <w:rsid w:val="000557A7"/>
    <w:rsid w:val="00055805"/>
    <w:rsid w:val="00056CB3"/>
    <w:rsid w:val="00066D54"/>
    <w:rsid w:val="00067A28"/>
    <w:rsid w:val="0007260F"/>
    <w:rsid w:val="000805D5"/>
    <w:rsid w:val="0008103B"/>
    <w:rsid w:val="00082CF7"/>
    <w:rsid w:val="00085F97"/>
    <w:rsid w:val="00092A33"/>
    <w:rsid w:val="000949D4"/>
    <w:rsid w:val="000973F9"/>
    <w:rsid w:val="000A00FC"/>
    <w:rsid w:val="000A2FEC"/>
    <w:rsid w:val="000A348F"/>
    <w:rsid w:val="000B6942"/>
    <w:rsid w:val="000C09FA"/>
    <w:rsid w:val="000C37A9"/>
    <w:rsid w:val="000C6728"/>
    <w:rsid w:val="000C702E"/>
    <w:rsid w:val="000D15E9"/>
    <w:rsid w:val="000D3182"/>
    <w:rsid w:val="000D45C4"/>
    <w:rsid w:val="000E18F3"/>
    <w:rsid w:val="000E266E"/>
    <w:rsid w:val="000E4C2D"/>
    <w:rsid w:val="000F1515"/>
    <w:rsid w:val="000F16B5"/>
    <w:rsid w:val="000F616E"/>
    <w:rsid w:val="00110D43"/>
    <w:rsid w:val="001159EA"/>
    <w:rsid w:val="00120A75"/>
    <w:rsid w:val="00125410"/>
    <w:rsid w:val="00125825"/>
    <w:rsid w:val="00130858"/>
    <w:rsid w:val="00136C26"/>
    <w:rsid w:val="0014059F"/>
    <w:rsid w:val="001407A5"/>
    <w:rsid w:val="00141551"/>
    <w:rsid w:val="001417CE"/>
    <w:rsid w:val="0014479F"/>
    <w:rsid w:val="00146EAD"/>
    <w:rsid w:val="00154DC5"/>
    <w:rsid w:val="00160C8D"/>
    <w:rsid w:val="001629C0"/>
    <w:rsid w:val="00165122"/>
    <w:rsid w:val="00165854"/>
    <w:rsid w:val="001738DB"/>
    <w:rsid w:val="00173DFD"/>
    <w:rsid w:val="00180FF9"/>
    <w:rsid w:val="00195228"/>
    <w:rsid w:val="00195696"/>
    <w:rsid w:val="00196532"/>
    <w:rsid w:val="001A1EFC"/>
    <w:rsid w:val="001A48EF"/>
    <w:rsid w:val="001A49CC"/>
    <w:rsid w:val="001A5553"/>
    <w:rsid w:val="001A716E"/>
    <w:rsid w:val="001B2C65"/>
    <w:rsid w:val="001B4255"/>
    <w:rsid w:val="001B7058"/>
    <w:rsid w:val="001C3A4F"/>
    <w:rsid w:val="001C4121"/>
    <w:rsid w:val="001C48DE"/>
    <w:rsid w:val="001D30C1"/>
    <w:rsid w:val="001D52E3"/>
    <w:rsid w:val="001D576F"/>
    <w:rsid w:val="001D7C29"/>
    <w:rsid w:val="001E0475"/>
    <w:rsid w:val="001E33C2"/>
    <w:rsid w:val="001F5C90"/>
    <w:rsid w:val="001F767C"/>
    <w:rsid w:val="00210FCF"/>
    <w:rsid w:val="00222EFF"/>
    <w:rsid w:val="002240D5"/>
    <w:rsid w:val="002261A7"/>
    <w:rsid w:val="00226AEC"/>
    <w:rsid w:val="00234EE5"/>
    <w:rsid w:val="002355D6"/>
    <w:rsid w:val="002545F3"/>
    <w:rsid w:val="0026344F"/>
    <w:rsid w:val="00266A17"/>
    <w:rsid w:val="00270372"/>
    <w:rsid w:val="00275534"/>
    <w:rsid w:val="00277075"/>
    <w:rsid w:val="002775D2"/>
    <w:rsid w:val="00281ADD"/>
    <w:rsid w:val="0028563E"/>
    <w:rsid w:val="00293E0D"/>
    <w:rsid w:val="00293E80"/>
    <w:rsid w:val="002973B0"/>
    <w:rsid w:val="00297C14"/>
    <w:rsid w:val="002A220F"/>
    <w:rsid w:val="002A24F1"/>
    <w:rsid w:val="002A5778"/>
    <w:rsid w:val="002A6E3B"/>
    <w:rsid w:val="002B1E84"/>
    <w:rsid w:val="002B2085"/>
    <w:rsid w:val="002B2D4F"/>
    <w:rsid w:val="002B3EC4"/>
    <w:rsid w:val="002C1C41"/>
    <w:rsid w:val="002C37D5"/>
    <w:rsid w:val="002C4DA6"/>
    <w:rsid w:val="002D2278"/>
    <w:rsid w:val="002D239A"/>
    <w:rsid w:val="002D34DB"/>
    <w:rsid w:val="002D4B11"/>
    <w:rsid w:val="002E471C"/>
    <w:rsid w:val="002E5633"/>
    <w:rsid w:val="002F1963"/>
    <w:rsid w:val="002F5B6E"/>
    <w:rsid w:val="002F61B5"/>
    <w:rsid w:val="00300066"/>
    <w:rsid w:val="0030209B"/>
    <w:rsid w:val="003127E4"/>
    <w:rsid w:val="00313215"/>
    <w:rsid w:val="003174C3"/>
    <w:rsid w:val="0032557A"/>
    <w:rsid w:val="003311C8"/>
    <w:rsid w:val="00340778"/>
    <w:rsid w:val="00344D2C"/>
    <w:rsid w:val="003458CE"/>
    <w:rsid w:val="00345A57"/>
    <w:rsid w:val="00346D90"/>
    <w:rsid w:val="00351F62"/>
    <w:rsid w:val="003568F9"/>
    <w:rsid w:val="003601F4"/>
    <w:rsid w:val="003671E2"/>
    <w:rsid w:val="00372AE6"/>
    <w:rsid w:val="00376C3A"/>
    <w:rsid w:val="003837E1"/>
    <w:rsid w:val="0038584D"/>
    <w:rsid w:val="0039257F"/>
    <w:rsid w:val="003931DE"/>
    <w:rsid w:val="003960DB"/>
    <w:rsid w:val="00397D1A"/>
    <w:rsid w:val="003A163C"/>
    <w:rsid w:val="003A2B4E"/>
    <w:rsid w:val="003A2FBB"/>
    <w:rsid w:val="003A3799"/>
    <w:rsid w:val="003A4913"/>
    <w:rsid w:val="003A54A9"/>
    <w:rsid w:val="003A553D"/>
    <w:rsid w:val="003A7083"/>
    <w:rsid w:val="003B3103"/>
    <w:rsid w:val="003B38B3"/>
    <w:rsid w:val="003B3A97"/>
    <w:rsid w:val="003B3D44"/>
    <w:rsid w:val="003B47BC"/>
    <w:rsid w:val="003B78FE"/>
    <w:rsid w:val="003C6BB5"/>
    <w:rsid w:val="003C7CC2"/>
    <w:rsid w:val="003D50B6"/>
    <w:rsid w:val="003E05DF"/>
    <w:rsid w:val="003E1562"/>
    <w:rsid w:val="003E6085"/>
    <w:rsid w:val="003E6CA3"/>
    <w:rsid w:val="003F3BC3"/>
    <w:rsid w:val="003F4C96"/>
    <w:rsid w:val="00401C49"/>
    <w:rsid w:val="00406002"/>
    <w:rsid w:val="00406AD3"/>
    <w:rsid w:val="00412E42"/>
    <w:rsid w:val="00425C05"/>
    <w:rsid w:val="00426356"/>
    <w:rsid w:val="00426929"/>
    <w:rsid w:val="00442C16"/>
    <w:rsid w:val="00445410"/>
    <w:rsid w:val="00446439"/>
    <w:rsid w:val="00450BDA"/>
    <w:rsid w:val="00453A3E"/>
    <w:rsid w:val="0045452F"/>
    <w:rsid w:val="0045766B"/>
    <w:rsid w:val="0046261B"/>
    <w:rsid w:val="0046444F"/>
    <w:rsid w:val="00474BB7"/>
    <w:rsid w:val="00476133"/>
    <w:rsid w:val="004816D7"/>
    <w:rsid w:val="0048342E"/>
    <w:rsid w:val="00487478"/>
    <w:rsid w:val="0048782D"/>
    <w:rsid w:val="00494DC1"/>
    <w:rsid w:val="004A3F56"/>
    <w:rsid w:val="004A5E21"/>
    <w:rsid w:val="004A666A"/>
    <w:rsid w:val="004A66FC"/>
    <w:rsid w:val="004B143F"/>
    <w:rsid w:val="004B3022"/>
    <w:rsid w:val="004B49A0"/>
    <w:rsid w:val="004C20A1"/>
    <w:rsid w:val="004C6306"/>
    <w:rsid w:val="004C6F5E"/>
    <w:rsid w:val="004C7E94"/>
    <w:rsid w:val="004D7CF8"/>
    <w:rsid w:val="004D7EDA"/>
    <w:rsid w:val="004E0E49"/>
    <w:rsid w:val="004E197A"/>
    <w:rsid w:val="004E5D52"/>
    <w:rsid w:val="004F07D7"/>
    <w:rsid w:val="004F1297"/>
    <w:rsid w:val="004F16DB"/>
    <w:rsid w:val="004F4D7E"/>
    <w:rsid w:val="004F5B16"/>
    <w:rsid w:val="004F5D9D"/>
    <w:rsid w:val="004F68E5"/>
    <w:rsid w:val="004F7037"/>
    <w:rsid w:val="004F741B"/>
    <w:rsid w:val="00503253"/>
    <w:rsid w:val="00503BB0"/>
    <w:rsid w:val="00503E03"/>
    <w:rsid w:val="00512226"/>
    <w:rsid w:val="005147C6"/>
    <w:rsid w:val="005159B1"/>
    <w:rsid w:val="00522502"/>
    <w:rsid w:val="005255A1"/>
    <w:rsid w:val="00525825"/>
    <w:rsid w:val="0052641C"/>
    <w:rsid w:val="0053795D"/>
    <w:rsid w:val="00544522"/>
    <w:rsid w:val="005468AB"/>
    <w:rsid w:val="005501A0"/>
    <w:rsid w:val="00550831"/>
    <w:rsid w:val="00554273"/>
    <w:rsid w:val="0056001A"/>
    <w:rsid w:val="005642B6"/>
    <w:rsid w:val="00566BDE"/>
    <w:rsid w:val="00571D5E"/>
    <w:rsid w:val="005823D0"/>
    <w:rsid w:val="005835D5"/>
    <w:rsid w:val="005A2748"/>
    <w:rsid w:val="005A443F"/>
    <w:rsid w:val="005A7C26"/>
    <w:rsid w:val="005B0970"/>
    <w:rsid w:val="005B58D4"/>
    <w:rsid w:val="005C07B3"/>
    <w:rsid w:val="005C284E"/>
    <w:rsid w:val="005C47D4"/>
    <w:rsid w:val="005D51D0"/>
    <w:rsid w:val="005D6F83"/>
    <w:rsid w:val="005D7877"/>
    <w:rsid w:val="005D7CCF"/>
    <w:rsid w:val="005E04CF"/>
    <w:rsid w:val="005E58C4"/>
    <w:rsid w:val="005E5D8F"/>
    <w:rsid w:val="005F2FC7"/>
    <w:rsid w:val="005F5A5C"/>
    <w:rsid w:val="005F5CD9"/>
    <w:rsid w:val="0061135C"/>
    <w:rsid w:val="006136DD"/>
    <w:rsid w:val="006149F0"/>
    <w:rsid w:val="006220A5"/>
    <w:rsid w:val="00622D86"/>
    <w:rsid w:val="00624AC8"/>
    <w:rsid w:val="00633812"/>
    <w:rsid w:val="00633C60"/>
    <w:rsid w:val="0064126D"/>
    <w:rsid w:val="006451B8"/>
    <w:rsid w:val="00645722"/>
    <w:rsid w:val="0064604D"/>
    <w:rsid w:val="00651450"/>
    <w:rsid w:val="00652432"/>
    <w:rsid w:val="00657840"/>
    <w:rsid w:val="0066003C"/>
    <w:rsid w:val="0066041E"/>
    <w:rsid w:val="00672C2F"/>
    <w:rsid w:val="00673CCC"/>
    <w:rsid w:val="00675C98"/>
    <w:rsid w:val="0069026B"/>
    <w:rsid w:val="006956EA"/>
    <w:rsid w:val="006A490C"/>
    <w:rsid w:val="006B4F7D"/>
    <w:rsid w:val="006C114C"/>
    <w:rsid w:val="006C3668"/>
    <w:rsid w:val="006C3864"/>
    <w:rsid w:val="006C5383"/>
    <w:rsid w:val="006C5E72"/>
    <w:rsid w:val="006D2AEC"/>
    <w:rsid w:val="006D4C8E"/>
    <w:rsid w:val="006E19D1"/>
    <w:rsid w:val="006E1CBB"/>
    <w:rsid w:val="006F100B"/>
    <w:rsid w:val="006F239A"/>
    <w:rsid w:val="006F2C9D"/>
    <w:rsid w:val="006F6B51"/>
    <w:rsid w:val="0070306A"/>
    <w:rsid w:val="0070637D"/>
    <w:rsid w:val="007071DD"/>
    <w:rsid w:val="0070771F"/>
    <w:rsid w:val="00712A14"/>
    <w:rsid w:val="00716C04"/>
    <w:rsid w:val="00717180"/>
    <w:rsid w:val="007179D2"/>
    <w:rsid w:val="00720750"/>
    <w:rsid w:val="0072549C"/>
    <w:rsid w:val="00725A80"/>
    <w:rsid w:val="00733970"/>
    <w:rsid w:val="00741D0B"/>
    <w:rsid w:val="00754C58"/>
    <w:rsid w:val="00776E78"/>
    <w:rsid w:val="0078138A"/>
    <w:rsid w:val="00783014"/>
    <w:rsid w:val="007834DC"/>
    <w:rsid w:val="007959D8"/>
    <w:rsid w:val="0079630F"/>
    <w:rsid w:val="007A04C2"/>
    <w:rsid w:val="007B146A"/>
    <w:rsid w:val="007B57C9"/>
    <w:rsid w:val="007C0E7C"/>
    <w:rsid w:val="007C0EAA"/>
    <w:rsid w:val="007C19C3"/>
    <w:rsid w:val="007C44B2"/>
    <w:rsid w:val="007C6496"/>
    <w:rsid w:val="007C745E"/>
    <w:rsid w:val="007D0ABE"/>
    <w:rsid w:val="007E356F"/>
    <w:rsid w:val="007E3F8C"/>
    <w:rsid w:val="007E48D7"/>
    <w:rsid w:val="007F2058"/>
    <w:rsid w:val="007F7685"/>
    <w:rsid w:val="0080011D"/>
    <w:rsid w:val="00800EA5"/>
    <w:rsid w:val="00801C01"/>
    <w:rsid w:val="008112CC"/>
    <w:rsid w:val="008130BB"/>
    <w:rsid w:val="00817406"/>
    <w:rsid w:val="008237FA"/>
    <w:rsid w:val="00825D37"/>
    <w:rsid w:val="008369B0"/>
    <w:rsid w:val="008372D1"/>
    <w:rsid w:val="0085732C"/>
    <w:rsid w:val="00860B45"/>
    <w:rsid w:val="00863860"/>
    <w:rsid w:val="008638B5"/>
    <w:rsid w:val="008734DB"/>
    <w:rsid w:val="0087390B"/>
    <w:rsid w:val="008745A1"/>
    <w:rsid w:val="008768E9"/>
    <w:rsid w:val="0087751B"/>
    <w:rsid w:val="00890995"/>
    <w:rsid w:val="008914FB"/>
    <w:rsid w:val="0089737A"/>
    <w:rsid w:val="00897E99"/>
    <w:rsid w:val="008A4829"/>
    <w:rsid w:val="008B2384"/>
    <w:rsid w:val="008B38D6"/>
    <w:rsid w:val="008B4802"/>
    <w:rsid w:val="008B69E3"/>
    <w:rsid w:val="008C1FD1"/>
    <w:rsid w:val="008C24A8"/>
    <w:rsid w:val="008C35EF"/>
    <w:rsid w:val="008C5996"/>
    <w:rsid w:val="008D5A11"/>
    <w:rsid w:val="008D5E23"/>
    <w:rsid w:val="008D77AF"/>
    <w:rsid w:val="008E6D59"/>
    <w:rsid w:val="008F30C7"/>
    <w:rsid w:val="008F5D66"/>
    <w:rsid w:val="009028AA"/>
    <w:rsid w:val="00903E3F"/>
    <w:rsid w:val="009049C3"/>
    <w:rsid w:val="009057D9"/>
    <w:rsid w:val="0090774A"/>
    <w:rsid w:val="00910D07"/>
    <w:rsid w:val="00914B2F"/>
    <w:rsid w:val="009150E6"/>
    <w:rsid w:val="00917F89"/>
    <w:rsid w:val="009255EE"/>
    <w:rsid w:val="00925603"/>
    <w:rsid w:val="00925F76"/>
    <w:rsid w:val="00932E89"/>
    <w:rsid w:val="0093359D"/>
    <w:rsid w:val="00933F2B"/>
    <w:rsid w:val="00942EEB"/>
    <w:rsid w:val="0094468E"/>
    <w:rsid w:val="00945261"/>
    <w:rsid w:val="009506A5"/>
    <w:rsid w:val="009534C6"/>
    <w:rsid w:val="009541CC"/>
    <w:rsid w:val="00956564"/>
    <w:rsid w:val="009567A6"/>
    <w:rsid w:val="00956D5A"/>
    <w:rsid w:val="00961B2C"/>
    <w:rsid w:val="00961DBB"/>
    <w:rsid w:val="0096618E"/>
    <w:rsid w:val="009740DC"/>
    <w:rsid w:val="00981433"/>
    <w:rsid w:val="0098222F"/>
    <w:rsid w:val="00985C07"/>
    <w:rsid w:val="00995B4F"/>
    <w:rsid w:val="00997582"/>
    <w:rsid w:val="009A2C21"/>
    <w:rsid w:val="009A3E58"/>
    <w:rsid w:val="009A5F02"/>
    <w:rsid w:val="009A7AB1"/>
    <w:rsid w:val="009C6DAA"/>
    <w:rsid w:val="009D0E74"/>
    <w:rsid w:val="009D1A96"/>
    <w:rsid w:val="009D370B"/>
    <w:rsid w:val="009E2087"/>
    <w:rsid w:val="009E252B"/>
    <w:rsid w:val="009E3265"/>
    <w:rsid w:val="009E3353"/>
    <w:rsid w:val="009E446D"/>
    <w:rsid w:val="009E7C09"/>
    <w:rsid w:val="009F0621"/>
    <w:rsid w:val="009F146D"/>
    <w:rsid w:val="009F4F1E"/>
    <w:rsid w:val="00A015E4"/>
    <w:rsid w:val="00A075BC"/>
    <w:rsid w:val="00A11222"/>
    <w:rsid w:val="00A12C39"/>
    <w:rsid w:val="00A134FB"/>
    <w:rsid w:val="00A20802"/>
    <w:rsid w:val="00A25B4F"/>
    <w:rsid w:val="00A27E8B"/>
    <w:rsid w:val="00A442BF"/>
    <w:rsid w:val="00A517D0"/>
    <w:rsid w:val="00A53716"/>
    <w:rsid w:val="00A55FDF"/>
    <w:rsid w:val="00A5629E"/>
    <w:rsid w:val="00A64832"/>
    <w:rsid w:val="00A671F8"/>
    <w:rsid w:val="00A732DB"/>
    <w:rsid w:val="00A838D2"/>
    <w:rsid w:val="00A86F04"/>
    <w:rsid w:val="00A946C4"/>
    <w:rsid w:val="00AC01F8"/>
    <w:rsid w:val="00AC059A"/>
    <w:rsid w:val="00AC41CF"/>
    <w:rsid w:val="00AD0308"/>
    <w:rsid w:val="00AD377A"/>
    <w:rsid w:val="00AD67BB"/>
    <w:rsid w:val="00AE1CC1"/>
    <w:rsid w:val="00AE3EA4"/>
    <w:rsid w:val="00AF1B02"/>
    <w:rsid w:val="00AF41E4"/>
    <w:rsid w:val="00AF568A"/>
    <w:rsid w:val="00B06A75"/>
    <w:rsid w:val="00B06BC3"/>
    <w:rsid w:val="00B14EF7"/>
    <w:rsid w:val="00B15A0F"/>
    <w:rsid w:val="00B20236"/>
    <w:rsid w:val="00B20937"/>
    <w:rsid w:val="00B220A0"/>
    <w:rsid w:val="00B22B64"/>
    <w:rsid w:val="00B22FEA"/>
    <w:rsid w:val="00B24321"/>
    <w:rsid w:val="00B30FEB"/>
    <w:rsid w:val="00B311BA"/>
    <w:rsid w:val="00B35B47"/>
    <w:rsid w:val="00B376E3"/>
    <w:rsid w:val="00B40AA3"/>
    <w:rsid w:val="00B44478"/>
    <w:rsid w:val="00B4609C"/>
    <w:rsid w:val="00B6002C"/>
    <w:rsid w:val="00B620EE"/>
    <w:rsid w:val="00B64E67"/>
    <w:rsid w:val="00B70DEC"/>
    <w:rsid w:val="00B85366"/>
    <w:rsid w:val="00B87F60"/>
    <w:rsid w:val="00B92CC9"/>
    <w:rsid w:val="00B93D3D"/>
    <w:rsid w:val="00BA1F61"/>
    <w:rsid w:val="00BA471F"/>
    <w:rsid w:val="00BB2FE6"/>
    <w:rsid w:val="00BB5013"/>
    <w:rsid w:val="00BB528E"/>
    <w:rsid w:val="00BB615A"/>
    <w:rsid w:val="00BC2600"/>
    <w:rsid w:val="00BC36F0"/>
    <w:rsid w:val="00BC3E99"/>
    <w:rsid w:val="00BC4FA7"/>
    <w:rsid w:val="00BC5E30"/>
    <w:rsid w:val="00BD02C5"/>
    <w:rsid w:val="00BD068D"/>
    <w:rsid w:val="00BE0D9A"/>
    <w:rsid w:val="00BE1A50"/>
    <w:rsid w:val="00BE2F0D"/>
    <w:rsid w:val="00BF0BD5"/>
    <w:rsid w:val="00BF55F8"/>
    <w:rsid w:val="00C051FD"/>
    <w:rsid w:val="00C20C7D"/>
    <w:rsid w:val="00C20DEF"/>
    <w:rsid w:val="00C24B25"/>
    <w:rsid w:val="00C24E89"/>
    <w:rsid w:val="00C32C2F"/>
    <w:rsid w:val="00C3738A"/>
    <w:rsid w:val="00C4315A"/>
    <w:rsid w:val="00C43F5E"/>
    <w:rsid w:val="00C44074"/>
    <w:rsid w:val="00C4651F"/>
    <w:rsid w:val="00C51D0B"/>
    <w:rsid w:val="00C52207"/>
    <w:rsid w:val="00C52A50"/>
    <w:rsid w:val="00C642D4"/>
    <w:rsid w:val="00C715AB"/>
    <w:rsid w:val="00C730F4"/>
    <w:rsid w:val="00C80200"/>
    <w:rsid w:val="00C80E0A"/>
    <w:rsid w:val="00C8270B"/>
    <w:rsid w:val="00C841A9"/>
    <w:rsid w:val="00C8728F"/>
    <w:rsid w:val="00C97FBC"/>
    <w:rsid w:val="00CA06C8"/>
    <w:rsid w:val="00CA0B7E"/>
    <w:rsid w:val="00CA4C28"/>
    <w:rsid w:val="00CA5598"/>
    <w:rsid w:val="00CA5EF8"/>
    <w:rsid w:val="00CB28A3"/>
    <w:rsid w:val="00CC00A0"/>
    <w:rsid w:val="00CC0FED"/>
    <w:rsid w:val="00CC3C34"/>
    <w:rsid w:val="00CC5455"/>
    <w:rsid w:val="00CC6C06"/>
    <w:rsid w:val="00CD1526"/>
    <w:rsid w:val="00CD5509"/>
    <w:rsid w:val="00CE1EB0"/>
    <w:rsid w:val="00CE3DF2"/>
    <w:rsid w:val="00CF0C0F"/>
    <w:rsid w:val="00CF1690"/>
    <w:rsid w:val="00CF1F2A"/>
    <w:rsid w:val="00CF5CE3"/>
    <w:rsid w:val="00CF7412"/>
    <w:rsid w:val="00D030F8"/>
    <w:rsid w:val="00D077B7"/>
    <w:rsid w:val="00D20297"/>
    <w:rsid w:val="00D21E6B"/>
    <w:rsid w:val="00D2336A"/>
    <w:rsid w:val="00D23634"/>
    <w:rsid w:val="00D23D27"/>
    <w:rsid w:val="00D2713F"/>
    <w:rsid w:val="00D34551"/>
    <w:rsid w:val="00D34912"/>
    <w:rsid w:val="00D457D6"/>
    <w:rsid w:val="00D56C6B"/>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A313F"/>
    <w:rsid w:val="00DB13AD"/>
    <w:rsid w:val="00DB23F9"/>
    <w:rsid w:val="00DB58BE"/>
    <w:rsid w:val="00DB6176"/>
    <w:rsid w:val="00DB6AA0"/>
    <w:rsid w:val="00DB7C3A"/>
    <w:rsid w:val="00DD32AB"/>
    <w:rsid w:val="00DD5BF6"/>
    <w:rsid w:val="00DE1865"/>
    <w:rsid w:val="00DE6CEF"/>
    <w:rsid w:val="00DF11C2"/>
    <w:rsid w:val="00DF2134"/>
    <w:rsid w:val="00DF4593"/>
    <w:rsid w:val="00E10D05"/>
    <w:rsid w:val="00E2223E"/>
    <w:rsid w:val="00E22D98"/>
    <w:rsid w:val="00E24623"/>
    <w:rsid w:val="00E24C27"/>
    <w:rsid w:val="00E252E3"/>
    <w:rsid w:val="00E40505"/>
    <w:rsid w:val="00E42A41"/>
    <w:rsid w:val="00E45766"/>
    <w:rsid w:val="00E567E5"/>
    <w:rsid w:val="00E64480"/>
    <w:rsid w:val="00E6708B"/>
    <w:rsid w:val="00E73A8C"/>
    <w:rsid w:val="00E75050"/>
    <w:rsid w:val="00E76F42"/>
    <w:rsid w:val="00E77D6D"/>
    <w:rsid w:val="00E86EA3"/>
    <w:rsid w:val="00E915E6"/>
    <w:rsid w:val="00EA3E11"/>
    <w:rsid w:val="00EA6EB3"/>
    <w:rsid w:val="00EB4A8E"/>
    <w:rsid w:val="00EB5EF3"/>
    <w:rsid w:val="00EB695D"/>
    <w:rsid w:val="00EC1688"/>
    <w:rsid w:val="00EC38F3"/>
    <w:rsid w:val="00ED39CE"/>
    <w:rsid w:val="00ED4134"/>
    <w:rsid w:val="00EE05F1"/>
    <w:rsid w:val="00EE471A"/>
    <w:rsid w:val="00EE5492"/>
    <w:rsid w:val="00EF0A00"/>
    <w:rsid w:val="00F07BD5"/>
    <w:rsid w:val="00F122D6"/>
    <w:rsid w:val="00F15BF4"/>
    <w:rsid w:val="00F17940"/>
    <w:rsid w:val="00F17DC0"/>
    <w:rsid w:val="00F2046C"/>
    <w:rsid w:val="00F20647"/>
    <w:rsid w:val="00F31392"/>
    <w:rsid w:val="00F348B5"/>
    <w:rsid w:val="00F3652B"/>
    <w:rsid w:val="00F377B9"/>
    <w:rsid w:val="00F45442"/>
    <w:rsid w:val="00F511E7"/>
    <w:rsid w:val="00F5145E"/>
    <w:rsid w:val="00F558EA"/>
    <w:rsid w:val="00F613CB"/>
    <w:rsid w:val="00F61F79"/>
    <w:rsid w:val="00F656A4"/>
    <w:rsid w:val="00F6665E"/>
    <w:rsid w:val="00F7075F"/>
    <w:rsid w:val="00F71D76"/>
    <w:rsid w:val="00F8349F"/>
    <w:rsid w:val="00F83FB7"/>
    <w:rsid w:val="00F85935"/>
    <w:rsid w:val="00F85D29"/>
    <w:rsid w:val="00F95CC4"/>
    <w:rsid w:val="00F969D3"/>
    <w:rsid w:val="00FA190E"/>
    <w:rsid w:val="00FA54D8"/>
    <w:rsid w:val="00FC4FB7"/>
    <w:rsid w:val="00FD1EE0"/>
    <w:rsid w:val="00FD2374"/>
    <w:rsid w:val="00FD357B"/>
    <w:rsid w:val="00FD38FC"/>
    <w:rsid w:val="00FD6119"/>
    <w:rsid w:val="00FD688E"/>
    <w:rsid w:val="00FD7C0C"/>
    <w:rsid w:val="00FE045C"/>
    <w:rsid w:val="00FE0C52"/>
    <w:rsid w:val="00FE1692"/>
    <w:rsid w:val="00FE3B13"/>
    <w:rsid w:val="00FE44C1"/>
    <w:rsid w:val="00FF0566"/>
    <w:rsid w:val="00FF6218"/>
    <w:rsid w:val="00FF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C41C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AC41C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6444F"/>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table" w:customStyle="1" w:styleId="LightGrid-Accent61">
    <w:name w:val="Light Grid - Accent 61"/>
    <w:basedOn w:val="TableNormal"/>
    <w:next w:val="LightGrid-Accent6"/>
    <w:uiPriority w:val="62"/>
    <w:rsid w:val="000E4C2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character" w:customStyle="1" w:styleId="FootnotesChar">
    <w:name w:val="Footnotes Char"/>
    <w:basedOn w:val="DefaultParagraphFont"/>
    <w:link w:val="Footnotes"/>
    <w:locked/>
    <w:rsid w:val="000A00FC"/>
  </w:style>
  <w:style w:type="paragraph" w:customStyle="1" w:styleId="Footnotes">
    <w:name w:val="Footnotes"/>
    <w:basedOn w:val="Normal"/>
    <w:link w:val="FootnotesChar"/>
    <w:rsid w:val="000A00FC"/>
    <w:pPr>
      <w:numPr>
        <w:numId w:val="14"/>
      </w:numPr>
      <w:spacing w:before="113" w:line="2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C41C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AC41C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ttachmentHeading3">
    <w:name w:val="Attachment Heading 3"/>
    <w:basedOn w:val="Normal"/>
    <w:next w:val="BodyText"/>
    <w:uiPriority w:val="34"/>
    <w:qForma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476133"/>
    <w:pPr>
      <w:keepLines/>
      <w:numPr>
        <w:numId w:val="2"/>
      </w:numPr>
      <w:spacing w:after="120"/>
    </w:pPr>
    <w:rPr>
      <w:spacing w:val="-1"/>
    </w:rPr>
  </w:style>
  <w:style w:type="paragraph" w:styleId="ListBullet2">
    <w:name w:val="List Bullet 2"/>
    <w:basedOn w:val="ListBullet"/>
    <w:uiPriority w:val="8"/>
    <w:qFormat/>
    <w:rsid w:val="00476133"/>
    <w:pPr>
      <w:numPr>
        <w:ilvl w:val="1"/>
      </w:numPr>
      <w:ind w:left="908" w:hanging="454"/>
    </w:pPr>
  </w:style>
  <w:style w:type="paragraph" w:styleId="ListBullet3">
    <w:name w:val="List Bullet 3"/>
    <w:basedOn w:val="ListBullet2"/>
    <w:uiPriority w:val="9"/>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6444F"/>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table" w:customStyle="1" w:styleId="LightGrid-Accent61">
    <w:name w:val="Light Grid - Accent 61"/>
    <w:basedOn w:val="TableNormal"/>
    <w:next w:val="LightGrid-Accent6"/>
    <w:uiPriority w:val="62"/>
    <w:rsid w:val="000E4C2D"/>
    <w:pPr>
      <w:spacing w:line="240" w:lineRule="auto"/>
    </w:pPr>
    <w:tblPr>
      <w:tblStyleRowBandSize w:val="1"/>
      <w:tblStyleColBandSize w:val="1"/>
      <w:tblBorders>
        <w:top w:val="single" w:sz="8" w:space="0" w:color="788184" w:themeColor="accent6"/>
        <w:left w:val="single" w:sz="8" w:space="0" w:color="788184" w:themeColor="accent6"/>
        <w:bottom w:val="single" w:sz="8" w:space="0" w:color="788184" w:themeColor="accent6"/>
        <w:right w:val="single" w:sz="8" w:space="0" w:color="788184" w:themeColor="accent6"/>
        <w:insideH w:val="single" w:sz="8" w:space="0" w:color="788184" w:themeColor="accent6"/>
        <w:insideV w:val="single" w:sz="8" w:space="0" w:color="7881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18" w:space="0" w:color="788184" w:themeColor="accent6"/>
          <w:right w:val="single" w:sz="8" w:space="0" w:color="788184" w:themeColor="accent6"/>
          <w:insideH w:val="nil"/>
          <w:insideV w:val="single" w:sz="8" w:space="0" w:color="7881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4" w:themeColor="accent6"/>
          <w:left w:val="single" w:sz="8" w:space="0" w:color="788184" w:themeColor="accent6"/>
          <w:bottom w:val="single" w:sz="8" w:space="0" w:color="788184" w:themeColor="accent6"/>
          <w:right w:val="single" w:sz="8" w:space="0" w:color="788184" w:themeColor="accent6"/>
          <w:insideH w:val="nil"/>
          <w:insideV w:val="single" w:sz="8" w:space="0" w:color="7881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tcPr>
    </w:tblStylePr>
    <w:tblStylePr w:type="band1Vert">
      <w:tblPr/>
      <w:tcPr>
        <w:tcBorders>
          <w:top w:val="single" w:sz="8" w:space="0" w:color="788184" w:themeColor="accent6"/>
          <w:left w:val="single" w:sz="8" w:space="0" w:color="788184" w:themeColor="accent6"/>
          <w:bottom w:val="single" w:sz="8" w:space="0" w:color="788184" w:themeColor="accent6"/>
          <w:right w:val="single" w:sz="8" w:space="0" w:color="788184" w:themeColor="accent6"/>
        </w:tcBorders>
        <w:shd w:val="clear" w:color="auto" w:fill="DDDFE0" w:themeFill="accent6" w:themeFillTint="3F"/>
      </w:tcPr>
    </w:tblStylePr>
    <w:tblStylePr w:type="band1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shd w:val="clear" w:color="auto" w:fill="DDDFE0" w:themeFill="accent6" w:themeFillTint="3F"/>
      </w:tcPr>
    </w:tblStylePr>
    <w:tblStylePr w:type="band2Horz">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tcPr>
    </w:tblStylePr>
  </w:style>
  <w:style w:type="character" w:customStyle="1" w:styleId="FootnotesChar">
    <w:name w:val="Footnotes Char"/>
    <w:basedOn w:val="DefaultParagraphFont"/>
    <w:link w:val="Footnotes"/>
    <w:locked/>
    <w:rsid w:val="000A00FC"/>
  </w:style>
  <w:style w:type="paragraph" w:customStyle="1" w:styleId="Footnotes">
    <w:name w:val="Footnotes"/>
    <w:basedOn w:val="Normal"/>
    <w:link w:val="FootnotesChar"/>
    <w:rsid w:val="000A00FC"/>
    <w:pPr>
      <w:numPr>
        <w:numId w:val="14"/>
      </w:numPr>
      <w:spacing w:before="113" w:line="2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1264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Com16</b:Tag>
    <b:SourceType>Report</b:SourceType>
    <b:Guid>{5B4EC681-07DE-47A5-8D75-A81C9B5C55A0}</b:Guid>
    <b:Author>
      <b:Author>
        <b:Corporate>Commonwealth of Australia</b:Corporate>
      </b:Author>
    </b:Author>
    <b:Title>2016-17 Budget</b:Title>
    <b:Year>2016</b:Year>
    <b:Publisher>Commonwealth of Australia</b:Publisher>
    <b:City>Canberra</b:City>
    <b:RefOrder>1</b:RefOrder>
  </b:Source>
</b:Sources>
</file>

<file path=customXml/itemProps1.xml><?xml version="1.0" encoding="utf-8"?>
<ds:datastoreItem xmlns:ds="http://schemas.openxmlformats.org/officeDocument/2006/customXml" ds:itemID="{67BDF9C4-4EBA-4803-90A4-BA4EA2EC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School education</vt:lpstr>
    </vt:vector>
  </TitlesOfParts>
  <Company>Parliament of Australia</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dc:title>
  <dc:creator>Parliamentary Budget Office</dc:creator>
  <cp:lastModifiedBy>Pratley, Lauren (PBO)</cp:lastModifiedBy>
  <cp:revision>5</cp:revision>
  <cp:lastPrinted>2016-09-13T04:13:00Z</cp:lastPrinted>
  <dcterms:created xsi:type="dcterms:W3CDTF">2017-08-25T00:26:00Z</dcterms:created>
  <dcterms:modified xsi:type="dcterms:W3CDTF">2017-09-01T05:46:00Z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