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8DB" w:rsidRPr="004716D0" w:rsidRDefault="00602664" w:rsidP="004716D0">
      <w:pPr>
        <w:pStyle w:val="Heading1spacebefore"/>
        <w:spacing w:before="680" w:after="340"/>
      </w:pPr>
      <w:r w:rsidRPr="00482F63">
        <w:t>Policy costing—outside the caretaker period</w:t>
      </w:r>
    </w:p>
    <w:tbl>
      <w:tblPr>
        <w:tblStyle w:val="LightGrid-Accent6"/>
        <w:tblW w:w="5000" w:type="pct"/>
        <w:tblLook w:val="0600" w:firstRow="0" w:lastRow="0" w:firstColumn="0" w:lastColumn="0" w:noHBand="1" w:noVBand="1"/>
      </w:tblPr>
      <w:tblGrid>
        <w:gridCol w:w="3085"/>
        <w:gridCol w:w="1276"/>
        <w:gridCol w:w="4167"/>
      </w:tblGrid>
      <w:tr w:rsidR="0098222F" w:rsidRPr="008D77AF" w:rsidTr="008112CC">
        <w:tc>
          <w:tcPr>
            <w:tcW w:w="1809" w:type="pct"/>
            <w:shd w:val="clear" w:color="auto" w:fill="D7DDE9" w:themeFill="accent3"/>
          </w:tcPr>
          <w:p w:rsidR="0098222F" w:rsidRPr="008D77AF" w:rsidRDefault="0098222F" w:rsidP="0098222F">
            <w:pPr>
              <w:pStyle w:val="PullOutBoxHeading"/>
            </w:pPr>
            <w:r w:rsidRPr="008D77AF">
              <w:t>Name of proposal:</w:t>
            </w:r>
          </w:p>
        </w:tc>
        <w:tc>
          <w:tcPr>
            <w:tcW w:w="3191" w:type="pct"/>
            <w:gridSpan w:val="2"/>
            <w:shd w:val="clear" w:color="auto" w:fill="D7DDE9" w:themeFill="accent3"/>
          </w:tcPr>
          <w:p w:rsidR="004B3022" w:rsidRPr="008D77AF" w:rsidRDefault="00FE1AF3" w:rsidP="00FE1AF3">
            <w:pPr>
              <w:pStyle w:val="PullOutBoxHeading"/>
            </w:pPr>
            <w:bookmarkStart w:id="0" w:name="_GoBack"/>
            <w:r>
              <w:t>Savings account</w:t>
            </w:r>
            <w:bookmarkEnd w:id="0"/>
          </w:p>
        </w:tc>
      </w:tr>
      <w:tr w:rsidR="0098222F" w:rsidRPr="008D77AF" w:rsidTr="008112CC">
        <w:tc>
          <w:tcPr>
            <w:tcW w:w="1809" w:type="pct"/>
          </w:tcPr>
          <w:p w:rsidR="0098222F" w:rsidRPr="008D77AF" w:rsidRDefault="0098222F" w:rsidP="0098222F">
            <w:pPr>
              <w:pStyle w:val="PullOutBoxBodyText"/>
            </w:pPr>
            <w:r w:rsidRPr="008D77AF">
              <w:t>Summary of proposal:</w:t>
            </w:r>
          </w:p>
        </w:tc>
        <w:tc>
          <w:tcPr>
            <w:tcW w:w="3191" w:type="pct"/>
            <w:gridSpan w:val="2"/>
          </w:tcPr>
          <w:p w:rsidR="00133A62" w:rsidRDefault="00133A62" w:rsidP="00B774B4">
            <w:pPr>
              <w:pStyle w:val="PullOutBoxBodyText"/>
            </w:pPr>
            <w:r>
              <w:t>This proposal has three components.</w:t>
            </w:r>
          </w:p>
          <w:p w:rsidR="00133A62" w:rsidRPr="00B036C2" w:rsidRDefault="00133A62" w:rsidP="00B774B4">
            <w:pPr>
              <w:pStyle w:val="PullOutBoxBodyText"/>
              <w:rPr>
                <w:u w:val="single"/>
              </w:rPr>
            </w:pPr>
            <w:r w:rsidRPr="00B036C2">
              <w:rPr>
                <w:u w:val="single"/>
              </w:rPr>
              <w:t xml:space="preserve">Component 1: </w:t>
            </w:r>
            <w:r w:rsidRPr="00133A62">
              <w:rPr>
                <w:u w:val="single"/>
              </w:rPr>
              <w:t xml:space="preserve">Superannuation </w:t>
            </w:r>
            <w:r>
              <w:rPr>
                <w:u w:val="single"/>
              </w:rPr>
              <w:t>t</w:t>
            </w:r>
            <w:r w:rsidRPr="00B036C2">
              <w:rPr>
                <w:u w:val="single"/>
              </w:rPr>
              <w:t xml:space="preserve">ax </w:t>
            </w:r>
            <w:r>
              <w:rPr>
                <w:u w:val="single"/>
              </w:rPr>
              <w:t>structure</w:t>
            </w:r>
          </w:p>
          <w:p w:rsidR="00B5385D" w:rsidRPr="00327359" w:rsidRDefault="00B5385D" w:rsidP="00B774B4">
            <w:pPr>
              <w:pStyle w:val="PullOutBoxBodyText"/>
            </w:pPr>
            <w:r w:rsidRPr="00327359">
              <w:t>Th</w:t>
            </w:r>
            <w:r w:rsidR="007B2302">
              <w:t>is component</w:t>
            </w:r>
            <w:r w:rsidRPr="00327359">
              <w:t xml:space="preserve"> would</w:t>
            </w:r>
            <w:r>
              <w:t xml:space="preserve"> </w:t>
            </w:r>
            <w:r w:rsidR="007B2302">
              <w:t xml:space="preserve">alter </w:t>
            </w:r>
            <w:r>
              <w:t>the taxation of superannuation by:</w:t>
            </w:r>
            <w:r w:rsidRPr="00327359">
              <w:t xml:space="preserve"> </w:t>
            </w:r>
          </w:p>
          <w:p w:rsidR="00B5385D" w:rsidRPr="00327359" w:rsidRDefault="00B5385D" w:rsidP="00B774B4">
            <w:pPr>
              <w:pStyle w:val="PullOutBoxBullet"/>
            </w:pPr>
            <w:r>
              <w:t>making</w:t>
            </w:r>
            <w:r w:rsidRPr="00327359">
              <w:t xml:space="preserve"> contributions to, and earnings in, superannuation accounts tax free</w:t>
            </w:r>
          </w:p>
          <w:p w:rsidR="00B5385D" w:rsidRDefault="00B5385D" w:rsidP="00B774B4">
            <w:pPr>
              <w:pStyle w:val="PullOutBoxBullet"/>
            </w:pPr>
            <w:r>
              <w:t>making all withdrawals from superannuation accounts taxable at the individual’s marginal income tax rate</w:t>
            </w:r>
          </w:p>
          <w:p w:rsidR="00B5385D" w:rsidRDefault="00B5385D" w:rsidP="00B774B4">
            <w:pPr>
              <w:pStyle w:val="PullOutBoxBullet2"/>
            </w:pPr>
            <w:r>
              <w:t>A tax credit would be available to offset tax on withdrawals equal to the</w:t>
            </w:r>
            <w:r w:rsidRPr="00B5385D">
              <w:t xml:space="preserve"> value of tax previously paid on contributions and earnings.</w:t>
            </w:r>
          </w:p>
          <w:p w:rsidR="00060C2B" w:rsidRDefault="00060C2B" w:rsidP="00B774B4">
            <w:pPr>
              <w:pStyle w:val="PullOutBoxBullet"/>
            </w:pPr>
            <w:proofErr w:type="gramStart"/>
            <w:r>
              <w:t>removing</w:t>
            </w:r>
            <w:proofErr w:type="gramEnd"/>
            <w:r>
              <w:t xml:space="preserve"> all caps that currently apply to superannuation contributions</w:t>
            </w:r>
            <w:r w:rsidR="00B036C2">
              <w:t>.</w:t>
            </w:r>
          </w:p>
          <w:p w:rsidR="00133A62" w:rsidRPr="00B036C2" w:rsidRDefault="00133A62" w:rsidP="00133A62">
            <w:pPr>
              <w:pStyle w:val="PullOutBoxBodyText"/>
              <w:rPr>
                <w:u w:val="single"/>
              </w:rPr>
            </w:pPr>
            <w:r w:rsidRPr="00B036C2">
              <w:rPr>
                <w:u w:val="single"/>
              </w:rPr>
              <w:t xml:space="preserve">Component 2: </w:t>
            </w:r>
            <w:r w:rsidR="00413FFF">
              <w:rPr>
                <w:u w:val="single"/>
              </w:rPr>
              <w:t>Tax</w:t>
            </w:r>
            <w:r w:rsidR="00413FFF">
              <w:rPr>
                <w:u w:val="single"/>
              </w:rPr>
              <w:noBreakHyphen/>
              <w:t>free withdrawals from</w:t>
            </w:r>
            <w:r>
              <w:rPr>
                <w:u w:val="single"/>
              </w:rPr>
              <w:t xml:space="preserve"> superannuation</w:t>
            </w:r>
          </w:p>
          <w:p w:rsidR="00152819" w:rsidRDefault="00152819" w:rsidP="0089737A">
            <w:pPr>
              <w:pStyle w:val="PullOutBoxBodyText"/>
            </w:pPr>
            <w:r>
              <w:t xml:space="preserve">This </w:t>
            </w:r>
            <w:r w:rsidR="007B2302">
              <w:t xml:space="preserve">component </w:t>
            </w:r>
            <w:r>
              <w:t>would also allow</w:t>
            </w:r>
            <w:r w:rsidR="00413FFF">
              <w:t xml:space="preserve"> pre</w:t>
            </w:r>
            <w:r w:rsidR="00413FFF">
              <w:noBreakHyphen/>
              <w:t>retirement access, and</w:t>
            </w:r>
            <w:r>
              <w:t xml:space="preserve"> tax-free withdrawals</w:t>
            </w:r>
            <w:r w:rsidR="00413FFF">
              <w:t>,</w:t>
            </w:r>
            <w:r>
              <w:t xml:space="preserve"> for:</w:t>
            </w:r>
          </w:p>
          <w:p w:rsidR="00152819" w:rsidRDefault="00152819" w:rsidP="00152819">
            <w:pPr>
              <w:pStyle w:val="PullOutBoxBullet"/>
            </w:pPr>
            <w:r>
              <w:t>medical expenses, including goods and services currently subsidised by the Government, goods and services provided in private hospitals that are also provided in public hospitals</w:t>
            </w:r>
            <w:r w:rsidR="00BB0E1F">
              <w:t>,</w:t>
            </w:r>
            <w:r>
              <w:t xml:space="preserve"> and health insurance premiums currently covered by the Private Health Insurance rebate</w:t>
            </w:r>
          </w:p>
          <w:p w:rsidR="00152819" w:rsidRDefault="00152819" w:rsidP="00152819">
            <w:pPr>
              <w:pStyle w:val="PullOutBoxBullet"/>
            </w:pPr>
            <w:r>
              <w:t>unemployed or disabled</w:t>
            </w:r>
            <w:r w:rsidR="00FD5562">
              <w:t xml:space="preserve"> individuals</w:t>
            </w:r>
            <w:r>
              <w:t>, up to the level of the median wage per unemployed or disabled person</w:t>
            </w:r>
          </w:p>
          <w:p w:rsidR="00152819" w:rsidRDefault="00152819" w:rsidP="00152819">
            <w:pPr>
              <w:pStyle w:val="PullOutBoxBullet"/>
            </w:pPr>
            <w:r>
              <w:t>in</w:t>
            </w:r>
            <w:r w:rsidR="00584033">
              <w:t>come insurance premiums</w:t>
            </w:r>
            <w:r w:rsidR="00D763A6">
              <w:t xml:space="preserve"> where an account holder or their dependants are unemployed or disabled, up to the greater of the person’s previous income and the median wage.</w:t>
            </w:r>
          </w:p>
          <w:p w:rsidR="00133A62" w:rsidRPr="00DD6C99" w:rsidRDefault="00133A62" w:rsidP="00133A62">
            <w:pPr>
              <w:pStyle w:val="PullOutBoxBodyText"/>
              <w:rPr>
                <w:u w:val="single"/>
              </w:rPr>
            </w:pPr>
            <w:r w:rsidRPr="00DD6C99">
              <w:rPr>
                <w:u w:val="single"/>
              </w:rPr>
              <w:t xml:space="preserve">Component </w:t>
            </w:r>
            <w:r>
              <w:rPr>
                <w:u w:val="single"/>
              </w:rPr>
              <w:t>3</w:t>
            </w:r>
            <w:r w:rsidRPr="00DD6C99">
              <w:rPr>
                <w:u w:val="single"/>
              </w:rPr>
              <w:t xml:space="preserve">: </w:t>
            </w:r>
            <w:r>
              <w:rPr>
                <w:u w:val="single"/>
              </w:rPr>
              <w:t xml:space="preserve"> </w:t>
            </w:r>
            <w:r w:rsidR="007B2302">
              <w:rPr>
                <w:u w:val="single"/>
              </w:rPr>
              <w:t xml:space="preserve">Government payment </w:t>
            </w:r>
            <w:r>
              <w:rPr>
                <w:u w:val="single"/>
              </w:rPr>
              <w:t>changes</w:t>
            </w:r>
          </w:p>
          <w:p w:rsidR="00133A62" w:rsidRDefault="00133A62" w:rsidP="00B036C2">
            <w:pPr>
              <w:pStyle w:val="PullOutBoxBullet"/>
              <w:numPr>
                <w:ilvl w:val="0"/>
                <w:numId w:val="0"/>
              </w:numPr>
              <w:ind w:left="57"/>
            </w:pPr>
            <w:r>
              <w:t xml:space="preserve">This </w:t>
            </w:r>
            <w:r w:rsidR="007B2302">
              <w:t xml:space="preserve">component </w:t>
            </w:r>
            <w:r>
              <w:t xml:space="preserve">would cease payments of Youth Allowance (Job Seeker), </w:t>
            </w:r>
            <w:proofErr w:type="spellStart"/>
            <w:r>
              <w:t>Newstart</w:t>
            </w:r>
            <w:proofErr w:type="spellEnd"/>
            <w:r>
              <w:t xml:space="preserve"> Allowance, and the Disability Support Pension, </w:t>
            </w:r>
            <w:r w:rsidR="001772E6" w:rsidRPr="001772E6">
              <w:t>for recipients with</w:t>
            </w:r>
            <w:r w:rsidRPr="001772E6">
              <w:t xml:space="preserve"> a positive superannuation balance</w:t>
            </w:r>
            <w:r>
              <w:t>.</w:t>
            </w:r>
          </w:p>
          <w:p w:rsidR="00D763A6" w:rsidRPr="008D77AF" w:rsidRDefault="00D763A6" w:rsidP="00D763A6">
            <w:pPr>
              <w:pStyle w:val="PullOutBoxBodyText"/>
            </w:pPr>
            <w:r>
              <w:lastRenderedPageBreak/>
              <w:t>This proposal would have effect from 1 July 2017.</w:t>
            </w:r>
          </w:p>
        </w:tc>
      </w:tr>
      <w:tr w:rsidR="0098222F" w:rsidRPr="008D77AF" w:rsidTr="008112CC">
        <w:tc>
          <w:tcPr>
            <w:tcW w:w="1809" w:type="pct"/>
          </w:tcPr>
          <w:p w:rsidR="0098222F" w:rsidRPr="008D77AF" w:rsidRDefault="0098222F" w:rsidP="0098222F">
            <w:pPr>
              <w:pStyle w:val="PullOutBoxBodyText"/>
            </w:pPr>
            <w:r w:rsidRPr="008D77AF">
              <w:lastRenderedPageBreak/>
              <w:t>Person/party requesting the costing:</w:t>
            </w:r>
          </w:p>
        </w:tc>
        <w:tc>
          <w:tcPr>
            <w:tcW w:w="3191" w:type="pct"/>
            <w:gridSpan w:val="2"/>
          </w:tcPr>
          <w:p w:rsidR="0098222F" w:rsidRPr="008D77AF" w:rsidRDefault="002C6008" w:rsidP="00FD1EE0">
            <w:pPr>
              <w:pStyle w:val="PullOutBoxBodyText"/>
            </w:pPr>
            <w:r>
              <w:t>Senator David Leyonhjelm, Liberal Democratic Party</w:t>
            </w:r>
          </w:p>
        </w:tc>
      </w:tr>
      <w:tr w:rsidR="008112CC" w:rsidRPr="008D77AF" w:rsidTr="008112CC">
        <w:tc>
          <w:tcPr>
            <w:tcW w:w="1809" w:type="pct"/>
          </w:tcPr>
          <w:p w:rsidR="008112CC" w:rsidRPr="008D77AF" w:rsidRDefault="008112CC" w:rsidP="0056001A">
            <w:pPr>
              <w:pStyle w:val="PullOutBoxBodyText"/>
            </w:pPr>
            <w:r w:rsidRPr="008D77AF">
              <w:t>Did the applicant request the costing be confidential:</w:t>
            </w:r>
          </w:p>
        </w:tc>
        <w:tc>
          <w:tcPr>
            <w:tcW w:w="748" w:type="pct"/>
            <w:tcBorders>
              <w:right w:val="nil"/>
            </w:tcBorders>
          </w:tcPr>
          <w:p w:rsidR="008112CC" w:rsidRPr="008D77AF" w:rsidRDefault="00690626" w:rsidP="0056001A">
            <w:pPr>
              <w:pStyle w:val="PullOutBoxBodyText"/>
            </w:pPr>
            <w:sdt>
              <w:sdtPr>
                <w:id w:val="330037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6008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8112CC" w:rsidRPr="008D77AF">
              <w:t xml:space="preserve"> Yes</w:t>
            </w:r>
          </w:p>
        </w:tc>
        <w:tc>
          <w:tcPr>
            <w:tcW w:w="2443" w:type="pct"/>
            <w:tcBorders>
              <w:left w:val="nil"/>
              <w:right w:val="single" w:sz="4" w:space="0" w:color="auto"/>
            </w:tcBorders>
          </w:tcPr>
          <w:p w:rsidR="008112CC" w:rsidRPr="008D77AF" w:rsidRDefault="00690626" w:rsidP="0056001A">
            <w:pPr>
              <w:pStyle w:val="PullOutBoxBodyText"/>
            </w:pPr>
            <w:sdt>
              <w:sdtPr>
                <w:id w:val="-86413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2CC" w:rsidRPr="008D7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12CC" w:rsidRPr="008D77AF">
              <w:t xml:space="preserve"> No</w:t>
            </w:r>
          </w:p>
        </w:tc>
      </w:tr>
      <w:tr w:rsidR="008112CC" w:rsidRPr="008D77AF" w:rsidTr="0056001A">
        <w:tc>
          <w:tcPr>
            <w:tcW w:w="1809" w:type="pct"/>
          </w:tcPr>
          <w:p w:rsidR="008112CC" w:rsidRPr="008D77AF" w:rsidRDefault="008112CC" w:rsidP="0056001A">
            <w:pPr>
              <w:pStyle w:val="PullOutBoxBodyText"/>
            </w:pPr>
            <w:r w:rsidRPr="008D77AF">
              <w:t>Date costing request received:</w:t>
            </w:r>
          </w:p>
        </w:tc>
        <w:tc>
          <w:tcPr>
            <w:tcW w:w="3191" w:type="pct"/>
            <w:gridSpan w:val="2"/>
          </w:tcPr>
          <w:p w:rsidR="008112CC" w:rsidRPr="008D77AF" w:rsidRDefault="00FE1AF3" w:rsidP="0056001A">
            <w:pPr>
              <w:pStyle w:val="PullOutBoxBodyText"/>
            </w:pPr>
            <w:r>
              <w:t>9 August 2016</w:t>
            </w:r>
          </w:p>
        </w:tc>
      </w:tr>
      <w:tr w:rsidR="008112CC" w:rsidRPr="008D77AF" w:rsidTr="008112CC">
        <w:tc>
          <w:tcPr>
            <w:tcW w:w="1809" w:type="pct"/>
          </w:tcPr>
          <w:p w:rsidR="008112CC" w:rsidRPr="008D77AF" w:rsidRDefault="008112CC" w:rsidP="0098222F">
            <w:pPr>
              <w:pStyle w:val="PullOutBoxBodyText"/>
            </w:pPr>
            <w:r w:rsidRPr="008D77AF">
              <w:t>Date costing completed:</w:t>
            </w:r>
          </w:p>
        </w:tc>
        <w:tc>
          <w:tcPr>
            <w:tcW w:w="3191" w:type="pct"/>
            <w:gridSpan w:val="2"/>
          </w:tcPr>
          <w:p w:rsidR="008112CC" w:rsidRPr="008D77AF" w:rsidRDefault="002F3CC4" w:rsidP="00506812">
            <w:pPr>
              <w:pStyle w:val="PullOutBoxBodyText"/>
            </w:pPr>
            <w:r>
              <w:t>2</w:t>
            </w:r>
            <w:r w:rsidR="00506812">
              <w:t>1</w:t>
            </w:r>
            <w:r w:rsidR="00D72DE1">
              <w:t xml:space="preserve"> </w:t>
            </w:r>
            <w:r w:rsidR="004D1214">
              <w:t>April</w:t>
            </w:r>
            <w:r w:rsidR="002C6008">
              <w:t xml:space="preserve"> 201</w:t>
            </w:r>
            <w:r w:rsidR="00AE67DB">
              <w:t>7</w:t>
            </w:r>
          </w:p>
        </w:tc>
      </w:tr>
      <w:tr w:rsidR="0098222F" w:rsidRPr="008D77AF" w:rsidTr="008112CC">
        <w:tc>
          <w:tcPr>
            <w:tcW w:w="1809" w:type="pct"/>
          </w:tcPr>
          <w:p w:rsidR="0098222F" w:rsidRPr="001738DB" w:rsidRDefault="0098222F" w:rsidP="0098222F">
            <w:pPr>
              <w:pStyle w:val="PullOutBoxBodyText"/>
              <w:rPr>
                <w:highlight w:val="green"/>
              </w:rPr>
            </w:pPr>
            <w:r w:rsidRPr="005B343D">
              <w:t>Additional information requested (including date):</w:t>
            </w:r>
          </w:p>
        </w:tc>
        <w:tc>
          <w:tcPr>
            <w:tcW w:w="3191" w:type="pct"/>
            <w:gridSpan w:val="2"/>
          </w:tcPr>
          <w:p w:rsidR="008112CC" w:rsidRPr="001738DB" w:rsidRDefault="005B343D" w:rsidP="007A6B7D">
            <w:pPr>
              <w:pStyle w:val="PullOutBoxBodyText"/>
            </w:pPr>
            <w:r>
              <w:t xml:space="preserve">On 7 December 2016, the </w:t>
            </w:r>
            <w:r w:rsidR="00796E91">
              <w:t>Parliamentary Budget Office (</w:t>
            </w:r>
            <w:r>
              <w:t>PBO</w:t>
            </w:r>
            <w:r w:rsidR="00796E91">
              <w:t>)</w:t>
            </w:r>
            <w:r>
              <w:t xml:space="preserve"> sought clarification of the </w:t>
            </w:r>
            <w:r w:rsidR="00060C2B">
              <w:t xml:space="preserve">tax treatment of superannuation under the </w:t>
            </w:r>
            <w:r>
              <w:t xml:space="preserve">proposal from the </w:t>
            </w:r>
            <w:r w:rsidR="007A6B7D">
              <w:t xml:space="preserve">office of </w:t>
            </w:r>
            <w:r>
              <w:t>Senator David Leyonhjelm</w:t>
            </w:r>
            <w:r w:rsidR="006A68E0">
              <w:t xml:space="preserve"> </w:t>
            </w:r>
            <w:r>
              <w:t>(the office).</w:t>
            </w:r>
          </w:p>
        </w:tc>
      </w:tr>
      <w:tr w:rsidR="001738DB" w:rsidRPr="008D77AF" w:rsidTr="008112CC">
        <w:tc>
          <w:tcPr>
            <w:tcW w:w="1809" w:type="pct"/>
          </w:tcPr>
          <w:p w:rsidR="001738DB" w:rsidRPr="001738DB" w:rsidRDefault="001738DB" w:rsidP="0098222F">
            <w:pPr>
              <w:pStyle w:val="PullOutBoxBodyText"/>
              <w:rPr>
                <w:highlight w:val="green"/>
              </w:rPr>
            </w:pPr>
            <w:r w:rsidRPr="005B343D">
              <w:t>Additional info</w:t>
            </w:r>
            <w:r w:rsidR="00BC3E99" w:rsidRPr="005B343D">
              <w:t>rmation received (including dat</w:t>
            </w:r>
            <w:r w:rsidRPr="005B343D">
              <w:t>e):</w:t>
            </w:r>
          </w:p>
        </w:tc>
        <w:tc>
          <w:tcPr>
            <w:tcW w:w="3191" w:type="pct"/>
            <w:gridSpan w:val="2"/>
          </w:tcPr>
          <w:p w:rsidR="00152819" w:rsidRDefault="005B343D" w:rsidP="00B774B4">
            <w:pPr>
              <w:pStyle w:val="PullOutBoxBodyText"/>
            </w:pPr>
            <w:r>
              <w:t xml:space="preserve">On 7 December 2016, the office confirmed the </w:t>
            </w:r>
            <w:r w:rsidR="00060C2B">
              <w:t>policy specification outlined above.</w:t>
            </w:r>
          </w:p>
        </w:tc>
      </w:tr>
      <w:tr w:rsidR="008112CC" w:rsidRPr="008D77AF" w:rsidTr="008112CC">
        <w:tc>
          <w:tcPr>
            <w:tcW w:w="1809" w:type="pct"/>
          </w:tcPr>
          <w:p w:rsidR="008112CC" w:rsidRPr="008D77AF" w:rsidRDefault="008112CC" w:rsidP="0098222F">
            <w:pPr>
              <w:pStyle w:val="PullOutBoxBodyText"/>
            </w:pPr>
            <w:r w:rsidRPr="008D77AF">
              <w:t>Expiry date of the costing:</w:t>
            </w:r>
          </w:p>
        </w:tc>
        <w:tc>
          <w:tcPr>
            <w:tcW w:w="3191" w:type="pct"/>
            <w:gridSpan w:val="2"/>
          </w:tcPr>
          <w:p w:rsidR="008112CC" w:rsidRPr="008D77AF" w:rsidRDefault="008112CC" w:rsidP="0098222F">
            <w:pPr>
              <w:pStyle w:val="PullOutBoxBodyText"/>
            </w:pPr>
            <w:r w:rsidRPr="008D77AF">
              <w:t>Release of the next economic and fiscal outlook report.</w:t>
            </w:r>
          </w:p>
        </w:tc>
      </w:tr>
    </w:tbl>
    <w:p w:rsidR="0046444F" w:rsidRPr="008D77AF" w:rsidRDefault="0046444F" w:rsidP="0046444F">
      <w:pPr>
        <w:pStyle w:val="Heading1"/>
      </w:pPr>
      <w:r w:rsidRPr="008D77AF">
        <w:t>Costing overview</w:t>
      </w:r>
    </w:p>
    <w:p w:rsidR="00CE123C" w:rsidRDefault="00CE123C" w:rsidP="00CE123C">
      <w:pPr>
        <w:pStyle w:val="BodyText"/>
      </w:pPr>
      <w:r w:rsidRPr="00FA31D7">
        <w:t xml:space="preserve">This proposal would be </w:t>
      </w:r>
      <w:r w:rsidRPr="00B774B4">
        <w:t>expected to decrease the</w:t>
      </w:r>
      <w:r w:rsidRPr="00FA31D7">
        <w:t xml:space="preserve"> fiscal and underlying </w:t>
      </w:r>
      <w:r w:rsidR="00BB0E1F">
        <w:t xml:space="preserve">cash </w:t>
      </w:r>
      <w:r w:rsidRPr="00FA31D7">
        <w:t>balance</w:t>
      </w:r>
      <w:r w:rsidR="00BB0E1F">
        <w:t>s</w:t>
      </w:r>
      <w:r w:rsidRPr="00FA31D7">
        <w:t xml:space="preserve"> by </w:t>
      </w:r>
      <w:r w:rsidRPr="00B774B4">
        <w:t>$</w:t>
      </w:r>
      <w:r w:rsidR="002F3CC4">
        <w:t>33</w:t>
      </w:r>
      <w:r w:rsidRPr="00B774B4">
        <w:t>,</w:t>
      </w:r>
      <w:r w:rsidR="00E057AD">
        <w:t>3</w:t>
      </w:r>
      <w:r w:rsidR="004500E5">
        <w:t>3</w:t>
      </w:r>
      <w:r w:rsidRPr="00B774B4">
        <w:t>0 million over the 2016</w:t>
      </w:r>
      <w:r w:rsidRPr="00B774B4">
        <w:noBreakHyphen/>
        <w:t xml:space="preserve">17 Budget forward estimates period.  This impact reflects a </w:t>
      </w:r>
      <w:r>
        <w:t xml:space="preserve">net </w:t>
      </w:r>
      <w:r w:rsidRPr="00B774B4">
        <w:t>decrease in revenue of $</w:t>
      </w:r>
      <w:r w:rsidR="000507B5">
        <w:t>66</w:t>
      </w:r>
      <w:r w:rsidRPr="00B774B4">
        <w:t>,</w:t>
      </w:r>
      <w:r w:rsidR="00E057AD">
        <w:t>3</w:t>
      </w:r>
      <w:r w:rsidRPr="00B774B4">
        <w:t>00 million</w:t>
      </w:r>
      <w:r w:rsidR="004500E5">
        <w:t xml:space="preserve"> and a net increase in departmental expenses of $30 million</w:t>
      </w:r>
      <w:r w:rsidRPr="00B774B4">
        <w:t xml:space="preserve">, </w:t>
      </w:r>
      <w:r>
        <w:t>partially</w:t>
      </w:r>
      <w:r w:rsidRPr="00B774B4">
        <w:t xml:space="preserve"> offset by a </w:t>
      </w:r>
      <w:r>
        <w:t xml:space="preserve">net </w:t>
      </w:r>
      <w:r w:rsidRPr="00B774B4">
        <w:t>decrease in administered expenses of $</w:t>
      </w:r>
      <w:r w:rsidR="002F3CC4">
        <w:t>33</w:t>
      </w:r>
      <w:r w:rsidRPr="00B774B4">
        <w:t>,000 million over this period.</w:t>
      </w:r>
    </w:p>
    <w:p w:rsidR="00133A62" w:rsidRDefault="00133A62" w:rsidP="00133A62">
      <w:pPr>
        <w:pStyle w:val="BodyText"/>
      </w:pPr>
      <w:r w:rsidRPr="00286DC3">
        <w:t xml:space="preserve">This proposal would be expected to have an ongoing impact that </w:t>
      </w:r>
      <w:r w:rsidR="00D56806">
        <w:t xml:space="preserve">would </w:t>
      </w:r>
      <w:r w:rsidR="00845ACD">
        <w:t>continue to increase</w:t>
      </w:r>
      <w:r w:rsidRPr="00286DC3">
        <w:t xml:space="preserve"> beyond the 2016</w:t>
      </w:r>
      <w:r w:rsidRPr="00286DC3">
        <w:noBreakHyphen/>
        <w:t>17</w:t>
      </w:r>
      <w:r>
        <w:t> </w:t>
      </w:r>
      <w:r w:rsidRPr="00286DC3">
        <w:t>Budget forward estimates period.</w:t>
      </w:r>
    </w:p>
    <w:p w:rsidR="00845ACD" w:rsidRDefault="00133A62" w:rsidP="00845ACD">
      <w:pPr>
        <w:pStyle w:val="ListBullet"/>
      </w:pPr>
      <w:r>
        <w:t xml:space="preserve">The cost </w:t>
      </w:r>
      <w:r w:rsidR="007B2302">
        <w:t xml:space="preserve">to revenue </w:t>
      </w:r>
      <w:r>
        <w:t xml:space="preserve">of </w:t>
      </w:r>
      <w:r w:rsidR="007B2302">
        <w:t>C</w:t>
      </w:r>
      <w:r>
        <w:t xml:space="preserve">omponent 1 (superannuation tax structure) </w:t>
      </w:r>
      <w:r w:rsidR="00D56806">
        <w:t xml:space="preserve">would </w:t>
      </w:r>
      <w:r>
        <w:t>increase beyond the f</w:t>
      </w:r>
      <w:r w:rsidR="00845ACD">
        <w:t>orward estimates period, reflecting:</w:t>
      </w:r>
    </w:p>
    <w:p w:rsidR="00845ACD" w:rsidRDefault="00845ACD" w:rsidP="00845ACD">
      <w:pPr>
        <w:pStyle w:val="ListBullet2"/>
      </w:pPr>
      <w:r>
        <w:t>the growth of superannuation (contribution and earning) taxes in the baseline</w:t>
      </w:r>
    </w:p>
    <w:p w:rsidR="00845ACD" w:rsidRDefault="00BB0E1F" w:rsidP="00845ACD">
      <w:pPr>
        <w:pStyle w:val="ListBullet2"/>
      </w:pPr>
      <w:proofErr w:type="gramStart"/>
      <w:r>
        <w:t>for</w:t>
      </w:r>
      <w:r w:rsidR="00845ACD">
        <w:t>gone</w:t>
      </w:r>
      <w:proofErr w:type="gramEnd"/>
      <w:r w:rsidR="00845ACD">
        <w:t xml:space="preserve"> personal tax revenue (due to the abolition of contribution caps)</w:t>
      </w:r>
      <w:r w:rsidR="00FB3BB0">
        <w:t>.</w:t>
      </w:r>
    </w:p>
    <w:p w:rsidR="00845ACD" w:rsidRDefault="00845ACD" w:rsidP="00845ACD">
      <w:pPr>
        <w:pStyle w:val="ListBullet2"/>
        <w:numPr>
          <w:ilvl w:val="0"/>
          <w:numId w:val="0"/>
        </w:numPr>
        <w:ind w:left="454"/>
      </w:pPr>
      <w:r>
        <w:t>The offsetting net increase in withdrawal taxes would be relatively small, reflecting:</w:t>
      </w:r>
    </w:p>
    <w:p w:rsidR="00845ACD" w:rsidRDefault="00845ACD" w:rsidP="00845ACD">
      <w:pPr>
        <w:pStyle w:val="ListBullet2"/>
      </w:pPr>
      <w:r>
        <w:t>the credit provided fo</w:t>
      </w:r>
      <w:r w:rsidR="00BB0E1F">
        <w:t>r past superannuation taxes</w:t>
      </w:r>
    </w:p>
    <w:p w:rsidR="00845ACD" w:rsidRDefault="00845ACD" w:rsidP="00845ACD">
      <w:pPr>
        <w:pStyle w:val="ListBullet2"/>
      </w:pPr>
      <w:proofErr w:type="gramStart"/>
      <w:r>
        <w:t>the</w:t>
      </w:r>
      <w:proofErr w:type="gramEnd"/>
      <w:r>
        <w:t xml:space="preserve"> relatively low marginal tax of retirees.</w:t>
      </w:r>
    </w:p>
    <w:p w:rsidR="0043238E" w:rsidRDefault="0043238E" w:rsidP="00613356">
      <w:pPr>
        <w:pStyle w:val="ListBullet"/>
      </w:pPr>
      <w:r>
        <w:t xml:space="preserve">The cost </w:t>
      </w:r>
      <w:r w:rsidR="007B2302">
        <w:t xml:space="preserve">to revenue </w:t>
      </w:r>
      <w:r>
        <w:t xml:space="preserve">of </w:t>
      </w:r>
      <w:r w:rsidR="007B2302">
        <w:t>C</w:t>
      </w:r>
      <w:r>
        <w:t>omponent 2 (</w:t>
      </w:r>
      <w:r w:rsidR="00FB3BB0">
        <w:t>tax-free withdrawals from</w:t>
      </w:r>
      <w:r>
        <w:t xml:space="preserve"> superannuation)</w:t>
      </w:r>
      <w:r w:rsidR="00495C69">
        <w:t xml:space="preserve"> reflects the loss of revenue that would be collected under current arrangements on pre</w:t>
      </w:r>
      <w:r w:rsidR="0095566A">
        <w:noBreakHyphen/>
      </w:r>
      <w:r w:rsidR="00495C69">
        <w:t>retirement superannuation drawdowns and</w:t>
      </w:r>
      <w:r>
        <w:t xml:space="preserve"> is expected to </w:t>
      </w:r>
      <w:r w:rsidR="0016434F">
        <w:t>grow in line with the level of superannuation assets</w:t>
      </w:r>
      <w:r w:rsidR="00495C69">
        <w:t xml:space="preserve"> under current arrangements</w:t>
      </w:r>
      <w:r w:rsidR="000507B5">
        <w:t>.</w:t>
      </w:r>
    </w:p>
    <w:p w:rsidR="00845ACD" w:rsidRDefault="00845ACD" w:rsidP="00845ACD">
      <w:pPr>
        <w:pStyle w:val="ListBullet"/>
      </w:pPr>
      <w:r>
        <w:lastRenderedPageBreak/>
        <w:t xml:space="preserve">The </w:t>
      </w:r>
      <w:r w:rsidR="007B2302">
        <w:t xml:space="preserve">reduction in expenses </w:t>
      </w:r>
      <w:r>
        <w:t xml:space="preserve">from </w:t>
      </w:r>
      <w:r w:rsidR="007B2302">
        <w:t>C</w:t>
      </w:r>
      <w:r>
        <w:t>omponent 3 (</w:t>
      </w:r>
      <w:r w:rsidR="0009327D">
        <w:t>Government payment</w:t>
      </w:r>
      <w:r>
        <w:t xml:space="preserve"> changes) </w:t>
      </w:r>
      <w:r w:rsidR="00506812">
        <w:t xml:space="preserve">would peak in </w:t>
      </w:r>
      <w:r>
        <w:t>2017</w:t>
      </w:r>
      <w:r>
        <w:noBreakHyphen/>
        <w:t>18, as current recipients of these payments draw down on their existing superannuation balances.</w:t>
      </w:r>
      <w:r w:rsidR="00506812">
        <w:t xml:space="preserve">  The saving from this component wo</w:t>
      </w:r>
      <w:r w:rsidR="00BB0E1F">
        <w:t>uld decline in subsequent years</w:t>
      </w:r>
      <w:r w:rsidR="00506812">
        <w:t xml:space="preserve"> as superannuation balances of current payment recipients are depleted, reaching maturity in 2021</w:t>
      </w:r>
      <w:r w:rsidR="00506812">
        <w:noBreakHyphen/>
        <w:t>22.</w:t>
      </w:r>
    </w:p>
    <w:p w:rsidR="00133A62" w:rsidRDefault="00133A62" w:rsidP="00133A62">
      <w:pPr>
        <w:pStyle w:val="BodyText"/>
      </w:pPr>
      <w:r>
        <w:t>The d</w:t>
      </w:r>
      <w:r w:rsidRPr="00C90B0E">
        <w:t>etailed financial implications of the proposal</w:t>
      </w:r>
      <w:r>
        <w:t xml:space="preserve"> over the period </w:t>
      </w:r>
      <w:r w:rsidRPr="00C90B0E">
        <w:t>to 2026</w:t>
      </w:r>
      <w:r w:rsidRPr="00C90B0E">
        <w:noBreakHyphen/>
        <w:t xml:space="preserve">27 are </w:t>
      </w:r>
      <w:r>
        <w:t xml:space="preserve">presented </w:t>
      </w:r>
      <w:r w:rsidRPr="00C90B0E">
        <w:t xml:space="preserve">at </w:t>
      </w:r>
      <w:r w:rsidRPr="00C90B0E">
        <w:rPr>
          <w:u w:val="single"/>
        </w:rPr>
        <w:t>Attachment A</w:t>
      </w:r>
      <w:r w:rsidRPr="00C90B0E">
        <w:t>.</w:t>
      </w:r>
    </w:p>
    <w:p w:rsidR="003B018B" w:rsidRDefault="0043238E" w:rsidP="006C3668">
      <w:pPr>
        <w:pStyle w:val="BodyText"/>
      </w:pPr>
      <w:r>
        <w:t xml:space="preserve">The proposal would involve </w:t>
      </w:r>
      <w:r w:rsidR="009961B4">
        <w:t xml:space="preserve">departmental expenses </w:t>
      </w:r>
      <w:r>
        <w:t>of $</w:t>
      </w:r>
      <w:r w:rsidR="003A3EC4">
        <w:t>2</w:t>
      </w:r>
      <w:r>
        <w:t xml:space="preserve">0 million in </w:t>
      </w:r>
      <w:r w:rsidR="00205EC6">
        <w:t>2017-18</w:t>
      </w:r>
      <w:r w:rsidR="00BD2AE2">
        <w:t xml:space="preserve"> and </w:t>
      </w:r>
      <w:r>
        <w:t>$</w:t>
      </w:r>
      <w:r w:rsidR="003A3EC4">
        <w:t>1</w:t>
      </w:r>
      <w:r>
        <w:t xml:space="preserve">0 million in </w:t>
      </w:r>
      <w:r w:rsidR="00BD2AE2">
        <w:t>2018</w:t>
      </w:r>
      <w:r w:rsidR="00BD2AE2">
        <w:noBreakHyphen/>
        <w:t>19</w:t>
      </w:r>
      <w:r w:rsidR="00205EC6">
        <w:t xml:space="preserve"> </w:t>
      </w:r>
      <w:r>
        <w:t>reflecting systems changes and information campaigns</w:t>
      </w:r>
      <w:r w:rsidR="003B018B">
        <w:t xml:space="preserve"> by</w:t>
      </w:r>
      <w:r w:rsidR="00205EC6">
        <w:t xml:space="preserve"> the Australian Taxation Office (ATO) </w:t>
      </w:r>
      <w:r w:rsidR="00BD2AE2">
        <w:t>and the Dep</w:t>
      </w:r>
      <w:r w:rsidR="003B018B">
        <w:t>artment of Human Services (DHS)</w:t>
      </w:r>
      <w:r w:rsidR="009961B4">
        <w:t xml:space="preserve">. </w:t>
      </w:r>
      <w:r w:rsidR="00205EC6">
        <w:t xml:space="preserve"> </w:t>
      </w:r>
      <w:r w:rsidR="003B018B">
        <w:t>The proposal is not expected to have a material ongoing impact on departmental expenses.</w:t>
      </w:r>
    </w:p>
    <w:p w:rsidR="006C3668" w:rsidRDefault="003B018B" w:rsidP="006C3668">
      <w:pPr>
        <w:pStyle w:val="BodyText"/>
      </w:pPr>
      <w:r>
        <w:t>T</w:t>
      </w:r>
      <w:r w:rsidR="005C29FA">
        <w:t>here is substantial uncertainty around</w:t>
      </w:r>
      <w:r>
        <w:t xml:space="preserve"> the estimated financial impact of this proposal.  T</w:t>
      </w:r>
      <w:r w:rsidR="00A36A7E">
        <w:t xml:space="preserve">he estimates </w:t>
      </w:r>
      <w:r w:rsidR="00C0147B">
        <w:t>are</w:t>
      </w:r>
      <w:r w:rsidR="00A36A7E">
        <w:t xml:space="preserve"> </w:t>
      </w:r>
      <w:r w:rsidR="006418BA">
        <w:t xml:space="preserve">sensitive to </w:t>
      </w:r>
      <w:r w:rsidR="00A36A7E">
        <w:t xml:space="preserve">changes in </w:t>
      </w:r>
      <w:r w:rsidR="006418BA">
        <w:t xml:space="preserve">a </w:t>
      </w:r>
      <w:r w:rsidR="00C0147B">
        <w:t xml:space="preserve">number </w:t>
      </w:r>
      <w:r w:rsidR="006418BA">
        <w:t xml:space="preserve">of </w:t>
      </w:r>
      <w:r w:rsidR="00C0147B">
        <w:t>assumptions</w:t>
      </w:r>
      <w:r w:rsidR="00A36A7E">
        <w:t xml:space="preserve">, including </w:t>
      </w:r>
      <w:r>
        <w:t xml:space="preserve">the magnitude and timing of behavioural responses (particularly in response </w:t>
      </w:r>
      <w:r w:rsidR="00BB0E1F">
        <w:t xml:space="preserve">to </w:t>
      </w:r>
      <w:r>
        <w:t xml:space="preserve">the abolition of contribution caps), </w:t>
      </w:r>
      <w:r w:rsidR="00F60D92">
        <w:t>the extent</w:t>
      </w:r>
      <w:r w:rsidR="00F8310B">
        <w:t xml:space="preserve"> of superannuation </w:t>
      </w:r>
      <w:r w:rsidR="00F60D92">
        <w:t>tax</w:t>
      </w:r>
      <w:r w:rsidR="00F60D92">
        <w:noBreakHyphen/>
        <w:t xml:space="preserve">free </w:t>
      </w:r>
      <w:r w:rsidR="00F8310B">
        <w:t>withdrawals</w:t>
      </w:r>
      <w:r w:rsidR="00A36A7E">
        <w:t xml:space="preserve"> </w:t>
      </w:r>
      <w:r w:rsidR="00F8310B">
        <w:t xml:space="preserve">under the proposal </w:t>
      </w:r>
      <w:r w:rsidR="00A36A7E">
        <w:t xml:space="preserve">and the </w:t>
      </w:r>
      <w:r>
        <w:t xml:space="preserve">level of superannuation assets of </w:t>
      </w:r>
      <w:r w:rsidR="0009327D">
        <w:t xml:space="preserve">certain Government payment </w:t>
      </w:r>
      <w:r>
        <w:t>recipients</w:t>
      </w:r>
      <w:r w:rsidR="00A83834">
        <w:t>.</w:t>
      </w:r>
    </w:p>
    <w:p w:rsidR="005B0970" w:rsidRPr="009961B4" w:rsidRDefault="008112CC" w:rsidP="009961B4">
      <w:pPr>
        <w:pStyle w:val="Caption"/>
      </w:pPr>
      <w:r w:rsidRPr="008112CC">
        <w:t xml:space="preserve">Table </w:t>
      </w:r>
      <w:r w:rsidR="00690626">
        <w:fldChar w:fldCharType="begin"/>
      </w:r>
      <w:r w:rsidR="00690626">
        <w:instrText xml:space="preserve"> SEQ Table \* ARABIC \s 1 </w:instrText>
      </w:r>
      <w:r w:rsidR="00690626">
        <w:fldChar w:fldCharType="separate"/>
      </w:r>
      <w:r w:rsidR="007A6B7D">
        <w:rPr>
          <w:noProof/>
        </w:rPr>
        <w:t>1</w:t>
      </w:r>
      <w:r w:rsidR="00690626">
        <w:rPr>
          <w:noProof/>
        </w:rPr>
        <w:fldChar w:fldCharType="end"/>
      </w:r>
      <w:r w:rsidRPr="008112CC">
        <w:t xml:space="preserve">: </w:t>
      </w:r>
      <w:r>
        <w:t>Financial implications (outturn prices</w:t>
      </w:r>
      <w:proofErr w:type="gramStart"/>
      <w:r>
        <w:t>)</w:t>
      </w:r>
      <w:r w:rsidRPr="008112CC">
        <w:rPr>
          <w:vertAlign w:val="superscript"/>
        </w:rPr>
        <w:t>(</w:t>
      </w:r>
      <w:proofErr w:type="gramEnd"/>
      <w:r w:rsidRPr="008112CC">
        <w:rPr>
          <w:vertAlign w:val="superscript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518"/>
        <w:gridCol w:w="1203"/>
        <w:gridCol w:w="1202"/>
        <w:gridCol w:w="1202"/>
        <w:gridCol w:w="1202"/>
        <w:gridCol w:w="1201"/>
      </w:tblGrid>
      <w:tr w:rsidR="005B0970" w:rsidTr="005B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"/>
            </w:pPr>
            <w:r w:rsidRPr="005B0970">
              <w:t>Impact on ($m)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2016–17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2017–18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2018–19</w:t>
            </w:r>
          </w:p>
        </w:tc>
        <w:tc>
          <w:tcPr>
            <w:tcW w:w="705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5B0970">
              <w:rPr>
                <w:b w:val="0"/>
              </w:rPr>
              <w:t>2019–20</w:t>
            </w:r>
          </w:p>
        </w:tc>
        <w:tc>
          <w:tcPr>
            <w:tcW w:w="704" w:type="pct"/>
            <w:shd w:val="clear" w:color="auto" w:fill="D7DDE9" w:themeFill="accent3"/>
            <w:vAlign w:val="center"/>
          </w:tcPr>
          <w:p w:rsidR="005B0970" w:rsidRPr="005B0970" w:rsidRDefault="005B0970" w:rsidP="005B0970">
            <w:pPr>
              <w:pStyle w:val="TableHeading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0970">
              <w:t>Total to 2019–20</w:t>
            </w:r>
          </w:p>
        </w:tc>
      </w:tr>
      <w:tr w:rsidR="005B0970" w:rsidTr="005B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5B0970" w:rsidRPr="005B0970" w:rsidRDefault="005B0970" w:rsidP="005B0970">
            <w:pPr>
              <w:pStyle w:val="TableHeading"/>
              <w:rPr>
                <w:rFonts w:asciiTheme="majorHAnsi" w:hAnsiTheme="majorHAnsi"/>
              </w:rPr>
            </w:pPr>
            <w:r w:rsidRPr="005B0970">
              <w:t>Fiscal balance</w:t>
            </w:r>
          </w:p>
        </w:tc>
        <w:tc>
          <w:tcPr>
            <w:tcW w:w="705" w:type="pct"/>
            <w:vAlign w:val="center"/>
          </w:tcPr>
          <w:p w:rsidR="005B0970" w:rsidRPr="008D77AF" w:rsidRDefault="00B774B4" w:rsidP="008D77A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705" w:type="pct"/>
            <w:vAlign w:val="center"/>
          </w:tcPr>
          <w:p w:rsidR="005B0970" w:rsidRPr="008D77AF" w:rsidRDefault="00B774B4" w:rsidP="005B097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F3CC4">
              <w:t>4</w:t>
            </w:r>
            <w:r>
              <w:t>,</w:t>
            </w:r>
            <w:r w:rsidR="002F3CC4">
              <w:t>4</w:t>
            </w:r>
            <w:r w:rsidR="004500E5">
              <w:t>2</w:t>
            </w:r>
            <w:r>
              <w:t>0</w:t>
            </w:r>
          </w:p>
        </w:tc>
        <w:tc>
          <w:tcPr>
            <w:tcW w:w="705" w:type="pct"/>
            <w:vAlign w:val="center"/>
          </w:tcPr>
          <w:p w:rsidR="005B0970" w:rsidRPr="008D77AF" w:rsidRDefault="00B774B4" w:rsidP="005B097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</w:t>
            </w:r>
            <w:r w:rsidR="002F3CC4">
              <w:t>1</w:t>
            </w:r>
            <w:r>
              <w:t>,</w:t>
            </w:r>
            <w:r w:rsidR="002F3CC4">
              <w:t>9</w:t>
            </w:r>
            <w:r w:rsidR="004500E5">
              <w:t>1</w:t>
            </w:r>
            <w:r>
              <w:t>0</w:t>
            </w:r>
          </w:p>
        </w:tc>
        <w:tc>
          <w:tcPr>
            <w:tcW w:w="705" w:type="pct"/>
            <w:vAlign w:val="center"/>
          </w:tcPr>
          <w:p w:rsidR="005B0970" w:rsidRPr="008D77AF" w:rsidRDefault="00B774B4" w:rsidP="005B097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F3CC4">
              <w:t>17</w:t>
            </w:r>
            <w:r>
              <w:t>,</w:t>
            </w:r>
            <w:r w:rsidR="000507B5">
              <w:t>0</w:t>
            </w:r>
            <w:r>
              <w:t>00</w:t>
            </w:r>
          </w:p>
        </w:tc>
        <w:tc>
          <w:tcPr>
            <w:tcW w:w="704" w:type="pct"/>
            <w:vAlign w:val="center"/>
          </w:tcPr>
          <w:p w:rsidR="005B0970" w:rsidRPr="008D77AF" w:rsidRDefault="00B774B4" w:rsidP="00BD2AE2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F3CC4">
              <w:t>33</w:t>
            </w:r>
            <w:r>
              <w:t>,</w:t>
            </w:r>
            <w:r w:rsidR="00E057AD">
              <w:t>3</w:t>
            </w:r>
            <w:r w:rsidR="004500E5">
              <w:t>3</w:t>
            </w:r>
            <w:r>
              <w:t>0</w:t>
            </w:r>
          </w:p>
        </w:tc>
      </w:tr>
      <w:tr w:rsidR="005B0970" w:rsidTr="005B09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5B0970" w:rsidRPr="005B0970" w:rsidRDefault="005B0970" w:rsidP="005B0970">
            <w:pPr>
              <w:pStyle w:val="TableHeading"/>
            </w:pPr>
            <w:r w:rsidRPr="005B0970">
              <w:t>Underlying cash balance</w:t>
            </w:r>
          </w:p>
        </w:tc>
        <w:tc>
          <w:tcPr>
            <w:tcW w:w="705" w:type="pct"/>
            <w:vAlign w:val="center"/>
          </w:tcPr>
          <w:p w:rsidR="005B0970" w:rsidRPr="008D77AF" w:rsidRDefault="00B774B4" w:rsidP="005B097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</w:p>
        </w:tc>
        <w:tc>
          <w:tcPr>
            <w:tcW w:w="705" w:type="pct"/>
            <w:vAlign w:val="center"/>
          </w:tcPr>
          <w:p w:rsidR="005B0970" w:rsidRPr="008D77AF" w:rsidRDefault="00B774B4" w:rsidP="005B097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F3CC4">
              <w:t>4</w:t>
            </w:r>
            <w:r>
              <w:t>,</w:t>
            </w:r>
            <w:r w:rsidR="002F3CC4">
              <w:t>4</w:t>
            </w:r>
            <w:r w:rsidR="004500E5">
              <w:t>2</w:t>
            </w:r>
            <w:r>
              <w:t>0</w:t>
            </w:r>
          </w:p>
        </w:tc>
        <w:tc>
          <w:tcPr>
            <w:tcW w:w="705" w:type="pct"/>
            <w:vAlign w:val="center"/>
          </w:tcPr>
          <w:p w:rsidR="005B0970" w:rsidRPr="008D77AF" w:rsidRDefault="00B774B4" w:rsidP="005B0970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-1</w:t>
            </w:r>
            <w:r w:rsidR="002F3CC4">
              <w:t>1</w:t>
            </w:r>
            <w:r>
              <w:t>,</w:t>
            </w:r>
            <w:r w:rsidR="002F3CC4">
              <w:t>9</w:t>
            </w:r>
            <w:r w:rsidR="004500E5">
              <w:t>1</w:t>
            </w:r>
            <w:r>
              <w:t>0</w:t>
            </w:r>
          </w:p>
        </w:tc>
        <w:tc>
          <w:tcPr>
            <w:tcW w:w="705" w:type="pct"/>
            <w:vAlign w:val="center"/>
          </w:tcPr>
          <w:p w:rsidR="005B0970" w:rsidRPr="008D77AF" w:rsidRDefault="00B774B4" w:rsidP="00120A75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F3CC4">
              <w:t>17</w:t>
            </w:r>
            <w:r>
              <w:t>,</w:t>
            </w:r>
            <w:r w:rsidR="000507B5">
              <w:t>0</w:t>
            </w:r>
            <w:r>
              <w:t>00</w:t>
            </w:r>
          </w:p>
        </w:tc>
        <w:tc>
          <w:tcPr>
            <w:tcW w:w="705" w:type="pct"/>
            <w:vAlign w:val="center"/>
          </w:tcPr>
          <w:p w:rsidR="005B0970" w:rsidRPr="008D77AF" w:rsidRDefault="00B774B4" w:rsidP="00066D54">
            <w:pPr>
              <w:pStyle w:val="TableTextRightBol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2F3CC4">
              <w:t>33</w:t>
            </w:r>
            <w:r>
              <w:t>,</w:t>
            </w:r>
            <w:r w:rsidR="00E057AD">
              <w:t>3</w:t>
            </w:r>
            <w:r w:rsidR="004500E5">
              <w:t>3</w:t>
            </w:r>
            <w:r>
              <w:t>0</w:t>
            </w:r>
          </w:p>
        </w:tc>
      </w:tr>
    </w:tbl>
    <w:p w:rsidR="008112CC" w:rsidRDefault="005B0970" w:rsidP="00171816">
      <w:pPr>
        <w:pStyle w:val="TableFootnotes"/>
        <w:ind w:left="284" w:hanging="284"/>
      </w:pPr>
      <w:r>
        <w:t xml:space="preserve">A positive number represents an increase in the relevant budget </w:t>
      </w:r>
      <w:proofErr w:type="gramStart"/>
      <w:r>
        <w:t>balance,</w:t>
      </w:r>
      <w:proofErr w:type="gramEnd"/>
      <w:r>
        <w:t xml:space="preserve"> a negative number represents a decrease.</w:t>
      </w:r>
    </w:p>
    <w:p w:rsidR="005B0970" w:rsidRDefault="005B0970" w:rsidP="00171816">
      <w:pPr>
        <w:pStyle w:val="TableFootnotes"/>
        <w:ind w:left="284" w:hanging="284"/>
      </w:pPr>
      <w:r>
        <w:t>Figures may not sum to totals due to rounding.</w:t>
      </w:r>
    </w:p>
    <w:p w:rsidR="005B0970" w:rsidRDefault="005B0970" w:rsidP="002D239A">
      <w:pPr>
        <w:pStyle w:val="TableFootnotes"/>
        <w:keepNext/>
        <w:numPr>
          <w:ilvl w:val="0"/>
          <w:numId w:val="44"/>
        </w:numPr>
        <w:ind w:left="284" w:hanging="284"/>
      </w:pPr>
      <w:r>
        <w:t>Indicates nil.</w:t>
      </w:r>
    </w:p>
    <w:p w:rsidR="00FE3B13" w:rsidRPr="00CA06C8" w:rsidRDefault="00FE3B13" w:rsidP="00CA06C8">
      <w:pPr>
        <w:pStyle w:val="Heading1"/>
      </w:pPr>
      <w:r w:rsidRPr="00CA06C8">
        <w:t>Key assumptions</w:t>
      </w:r>
    </w:p>
    <w:p w:rsidR="00FD421B" w:rsidRDefault="00413FFF" w:rsidP="00FD421B">
      <w:pPr>
        <w:pStyle w:val="Heading2"/>
      </w:pPr>
      <w:r>
        <w:t xml:space="preserve">Component 1: </w:t>
      </w:r>
      <w:r w:rsidR="00FD421B">
        <w:t xml:space="preserve">Superannuation </w:t>
      </w:r>
      <w:r w:rsidR="003B018B">
        <w:t>tax structure</w:t>
      </w:r>
    </w:p>
    <w:p w:rsidR="00FD421B" w:rsidRDefault="00FD421B" w:rsidP="00FD421B">
      <w:pPr>
        <w:pStyle w:val="ListBullet"/>
      </w:pPr>
      <w:r>
        <w:t xml:space="preserve">The </w:t>
      </w:r>
      <w:r w:rsidR="00C71FBE">
        <w:t>amount of</w:t>
      </w:r>
      <w:r>
        <w:t xml:space="preserve"> contributions and earnings </w:t>
      </w:r>
      <w:r w:rsidR="00C71FBE">
        <w:t xml:space="preserve">tax previously paid and </w:t>
      </w:r>
      <w:r>
        <w:t xml:space="preserve">available to be used as a tax credit is </w:t>
      </w:r>
      <w:r w:rsidR="00C71FBE">
        <w:t>based on</w:t>
      </w:r>
      <w:r>
        <w:t xml:space="preserve"> the effective superannuation tax rate</w:t>
      </w:r>
      <w:r w:rsidR="00ED424C">
        <w:t xml:space="preserve"> after offsets</w:t>
      </w:r>
      <w:r w:rsidR="003B018B">
        <w:t>, including franking credits</w:t>
      </w:r>
      <w:r w:rsidR="00C71FBE">
        <w:t>.</w:t>
      </w:r>
    </w:p>
    <w:p w:rsidR="0055245F" w:rsidRDefault="0055245F" w:rsidP="00454539">
      <w:pPr>
        <w:pStyle w:val="ListBullet"/>
      </w:pPr>
      <w:r>
        <w:t>Individuals are assumed to contribute more to superannuation in the absence of the caps on contributions.</w:t>
      </w:r>
    </w:p>
    <w:p w:rsidR="00454539" w:rsidRDefault="00454539" w:rsidP="00454539">
      <w:pPr>
        <w:pStyle w:val="ListBullet"/>
      </w:pPr>
      <w:r>
        <w:t>The p</w:t>
      </w:r>
      <w:r w:rsidR="00A975C5">
        <w:t xml:space="preserve">roportion of withdrawals that </w:t>
      </w:r>
      <w:r w:rsidR="00540ED9">
        <w:t xml:space="preserve">are eligible for </w:t>
      </w:r>
      <w:r w:rsidR="00A975C5">
        <w:t>a tax credit</w:t>
      </w:r>
      <w:r>
        <w:t xml:space="preserve"> </w:t>
      </w:r>
      <w:r w:rsidR="003B018B">
        <w:t xml:space="preserve">is assumed to </w:t>
      </w:r>
      <w:r>
        <w:t xml:space="preserve">fall </w:t>
      </w:r>
      <w:r w:rsidR="00540ED9">
        <w:t>as the policy approaches maturity</w:t>
      </w:r>
      <w:r>
        <w:t>.</w:t>
      </w:r>
    </w:p>
    <w:p w:rsidR="00FD421B" w:rsidRDefault="00FD421B" w:rsidP="00FD421B">
      <w:pPr>
        <w:pStyle w:val="ListBullet"/>
      </w:pPr>
      <w:r>
        <w:t xml:space="preserve">The average marginal tax rate for </w:t>
      </w:r>
      <w:r w:rsidR="003B018B">
        <w:t xml:space="preserve">future </w:t>
      </w:r>
      <w:r>
        <w:t>superannuation withdrawals i</w:t>
      </w:r>
      <w:r w:rsidR="001D170D">
        <w:t>s equal to the current average</w:t>
      </w:r>
      <w:r>
        <w:t xml:space="preserve"> marginal</w:t>
      </w:r>
      <w:r w:rsidR="001D170D">
        <w:t xml:space="preserve"> personal income</w:t>
      </w:r>
      <w:r>
        <w:t xml:space="preserve"> tax rate for individuals aged 65 and over.</w:t>
      </w:r>
    </w:p>
    <w:p w:rsidR="003B018B" w:rsidRPr="00FF7186" w:rsidRDefault="00413FFF" w:rsidP="00FD421B">
      <w:pPr>
        <w:pStyle w:val="Heading2"/>
      </w:pPr>
      <w:r w:rsidRPr="00613356">
        <w:lastRenderedPageBreak/>
        <w:t>Component 2: Tax</w:t>
      </w:r>
      <w:r w:rsidRPr="00613356">
        <w:noBreakHyphen/>
        <w:t>free withdrawals from</w:t>
      </w:r>
      <w:r w:rsidR="003B018B" w:rsidRPr="00613356">
        <w:t xml:space="preserve"> superannuation</w:t>
      </w:r>
    </w:p>
    <w:p w:rsidR="00A71A91" w:rsidRDefault="00E30066">
      <w:pPr>
        <w:pStyle w:val="ListBullet"/>
      </w:pPr>
      <w:r>
        <w:t xml:space="preserve">Superannuation withdrawals by those under </w:t>
      </w:r>
      <w:r w:rsidR="003266B7">
        <w:t xml:space="preserve">preservation </w:t>
      </w:r>
      <w:r>
        <w:t>age, other than those due to permanent departure from Australia, are assumed to be eligible for tax</w:t>
      </w:r>
      <w:r>
        <w:noBreakHyphen/>
        <w:t>free withdrawals under this component.</w:t>
      </w:r>
      <w:r w:rsidDel="00E30066">
        <w:t xml:space="preserve"> </w:t>
      </w:r>
    </w:p>
    <w:p w:rsidR="00484299" w:rsidRPr="00413FFF" w:rsidRDefault="000507B5" w:rsidP="00484299">
      <w:pPr>
        <w:pStyle w:val="ListBullet"/>
      </w:pPr>
      <w:r>
        <w:t>W</w:t>
      </w:r>
      <w:r w:rsidR="00FF7186">
        <w:t>hile there are potential interactions between Components 1 and 2, they are not expected to be material to the overall costing.</w:t>
      </w:r>
    </w:p>
    <w:p w:rsidR="00413FFF" w:rsidRPr="00FF7186" w:rsidRDefault="00413FFF" w:rsidP="00455ECB">
      <w:pPr>
        <w:pStyle w:val="Heading2"/>
      </w:pPr>
      <w:r w:rsidRPr="00613356">
        <w:t xml:space="preserve">Component 3: </w:t>
      </w:r>
      <w:r w:rsidR="00455ECB" w:rsidRPr="00455ECB">
        <w:t>Government payment changes</w:t>
      </w:r>
    </w:p>
    <w:p w:rsidR="004C498D" w:rsidRDefault="0009327D" w:rsidP="004C498D">
      <w:pPr>
        <w:pStyle w:val="ListBullet"/>
      </w:pPr>
      <w:r>
        <w:t xml:space="preserve">Government payment </w:t>
      </w:r>
      <w:r w:rsidR="004C498D">
        <w:t>recipients affected by this proposal are assumed to draw down on their superannuation assets to maintain at least the same level of disposable income</w:t>
      </w:r>
      <w:r w:rsidR="00FB3373">
        <w:t xml:space="preserve"> as they would have </w:t>
      </w:r>
      <w:r w:rsidR="009C55B0">
        <w:t xml:space="preserve">received </w:t>
      </w:r>
      <w:r w:rsidR="00FB3373">
        <w:t xml:space="preserve">under the relevant </w:t>
      </w:r>
      <w:r>
        <w:t>Government payment</w:t>
      </w:r>
      <w:r w:rsidR="004C498D" w:rsidRPr="00413FFF">
        <w:t>.</w:t>
      </w:r>
    </w:p>
    <w:p w:rsidR="003B018B" w:rsidRPr="003A3EC4" w:rsidRDefault="003B018B" w:rsidP="003B018B">
      <w:pPr>
        <w:pStyle w:val="ListBullet"/>
      </w:pPr>
      <w:r w:rsidRPr="00413FFF">
        <w:t>This response does not account for the potential broader macroeconomic implications of this proposal.</w:t>
      </w:r>
      <w:r w:rsidR="00413FFF">
        <w:t xml:space="preserve">  In particular, the costing does not take into account any change in the labour supply in response to the proposal to restrict certain </w:t>
      </w:r>
      <w:r w:rsidR="0009327D">
        <w:t xml:space="preserve">Government </w:t>
      </w:r>
      <w:r w:rsidR="00413FFF">
        <w:t>payments to individuals with no superannuation balances.</w:t>
      </w:r>
    </w:p>
    <w:p w:rsidR="00FE3B13" w:rsidRDefault="00FE3B13" w:rsidP="0056001A">
      <w:pPr>
        <w:pStyle w:val="Heading1"/>
      </w:pPr>
      <w:r>
        <w:t>Methodology</w:t>
      </w:r>
    </w:p>
    <w:p w:rsidR="00413FFF" w:rsidRDefault="00413FFF" w:rsidP="00413FFF">
      <w:pPr>
        <w:pStyle w:val="Heading2"/>
      </w:pPr>
      <w:r>
        <w:t>Component 1: Superannuation tax structure</w:t>
      </w:r>
    </w:p>
    <w:p w:rsidR="00781FA0" w:rsidRDefault="00781FA0" w:rsidP="00781FA0">
      <w:pPr>
        <w:pStyle w:val="ListBullet"/>
      </w:pPr>
      <w:r>
        <w:t xml:space="preserve">The </w:t>
      </w:r>
      <w:r w:rsidR="00E551DB">
        <w:t xml:space="preserve">net </w:t>
      </w:r>
      <w:r>
        <w:t xml:space="preserve">cost of this component is equal to the amount of </w:t>
      </w:r>
      <w:r w:rsidR="000953A8">
        <w:t xml:space="preserve">revenue </w:t>
      </w:r>
      <w:r>
        <w:t xml:space="preserve">under the proposed policy </w:t>
      </w:r>
      <w:r w:rsidR="00E551DB">
        <w:t>after allowing for the a</w:t>
      </w:r>
      <w:r w:rsidR="00413FFF">
        <w:t>ssumed</w:t>
      </w:r>
      <w:r w:rsidR="00E551DB">
        <w:t xml:space="preserve"> behavioural response</w:t>
      </w:r>
      <w:r w:rsidR="00413FFF">
        <w:t>,</w:t>
      </w:r>
      <w:r w:rsidR="00E551DB">
        <w:t xml:space="preserve"> </w:t>
      </w:r>
      <w:r>
        <w:t xml:space="preserve">less </w:t>
      </w:r>
      <w:r w:rsidR="00E551DB">
        <w:t xml:space="preserve">revenue </w:t>
      </w:r>
      <w:r w:rsidR="0089229A">
        <w:t xml:space="preserve">under </w:t>
      </w:r>
      <w:r>
        <w:t>current policy settings.</w:t>
      </w:r>
    </w:p>
    <w:p w:rsidR="00C77926" w:rsidRDefault="00413FFF" w:rsidP="00454539">
      <w:pPr>
        <w:pStyle w:val="ListBullet"/>
      </w:pPr>
      <w:r>
        <w:t>The level of w</w:t>
      </w:r>
      <w:r w:rsidR="00454539">
        <w:t xml:space="preserve">ithdrawals from superannuation funds </w:t>
      </w:r>
      <w:r w:rsidR="00BB0E1F">
        <w:t>was</w:t>
      </w:r>
      <w:r>
        <w:t xml:space="preserve"> estimated based on</w:t>
      </w:r>
      <w:r w:rsidR="00E7591A">
        <w:t xml:space="preserve"> personal income tax and superannuation return data</w:t>
      </w:r>
      <w:r w:rsidR="00454539">
        <w:t>.</w:t>
      </w:r>
    </w:p>
    <w:p w:rsidR="00413FFF" w:rsidRPr="00FF7186" w:rsidRDefault="00413FFF" w:rsidP="00413FFF">
      <w:pPr>
        <w:pStyle w:val="Heading2"/>
      </w:pPr>
      <w:r w:rsidRPr="00613356">
        <w:t>Component 2: Tax</w:t>
      </w:r>
      <w:r w:rsidRPr="00613356">
        <w:noBreakHyphen/>
        <w:t>free withdrawals from superannuation</w:t>
      </w:r>
    </w:p>
    <w:p w:rsidR="00E30066" w:rsidRDefault="00E30066" w:rsidP="00E30066">
      <w:pPr>
        <w:pStyle w:val="ListBullet"/>
      </w:pPr>
      <w:r>
        <w:t>The cost of this propo</w:t>
      </w:r>
      <w:r w:rsidR="00BB0E1F">
        <w:t>sal is equal to the revenue for</w:t>
      </w:r>
      <w:r>
        <w:t>gone on superannuation withdrawals that are currently subject to tax that would be tax</w:t>
      </w:r>
      <w:r>
        <w:noBreakHyphen/>
        <w:t>free under this component.</w:t>
      </w:r>
    </w:p>
    <w:p w:rsidR="00413FFF" w:rsidRPr="00FF7186" w:rsidRDefault="00413FFF" w:rsidP="00455ECB">
      <w:pPr>
        <w:pStyle w:val="Heading2"/>
      </w:pPr>
      <w:r w:rsidRPr="00613356">
        <w:t xml:space="preserve">Component 3: </w:t>
      </w:r>
      <w:r w:rsidR="00455ECB" w:rsidRPr="00455ECB">
        <w:t>Government payment changes</w:t>
      </w:r>
    </w:p>
    <w:p w:rsidR="00413FFF" w:rsidRDefault="00413FFF" w:rsidP="00413FFF">
      <w:pPr>
        <w:pStyle w:val="ListBullet"/>
      </w:pPr>
      <w:r>
        <w:t xml:space="preserve">The total value of Youth Allowance (Job Seeker), </w:t>
      </w:r>
      <w:proofErr w:type="spellStart"/>
      <w:r>
        <w:t>Newstart</w:t>
      </w:r>
      <w:proofErr w:type="spellEnd"/>
      <w:r>
        <w:t xml:space="preserve"> Allowance, and the Disability Support Pension</w:t>
      </w:r>
      <w:r w:rsidDel="00B72667">
        <w:t xml:space="preserve"> </w:t>
      </w:r>
      <w:r>
        <w:t>are taken from the D</w:t>
      </w:r>
      <w:r w:rsidR="007B2302">
        <w:t xml:space="preserve">epartment of </w:t>
      </w:r>
      <w:r>
        <w:t>S</w:t>
      </w:r>
      <w:r w:rsidR="007B2302">
        <w:t xml:space="preserve">ocial </w:t>
      </w:r>
      <w:r>
        <w:t>S</w:t>
      </w:r>
      <w:r w:rsidR="007B2302">
        <w:t>ervices (DSS)</w:t>
      </w:r>
      <w:r>
        <w:t xml:space="preserve"> Portfolio Budget Statements over the 2016</w:t>
      </w:r>
      <w:r>
        <w:noBreakHyphen/>
        <w:t>17 Budget forward estimates</w:t>
      </w:r>
      <w:r w:rsidR="00882F52">
        <w:t>.  Medium term estimates for these payments were estimate</w:t>
      </w:r>
      <w:r w:rsidR="007B2302">
        <w:t>d</w:t>
      </w:r>
      <w:r w:rsidR="00882F52">
        <w:t xml:space="preserve"> using </w:t>
      </w:r>
      <w:r w:rsidR="00E30066">
        <w:t xml:space="preserve">the methodology set out in </w:t>
      </w:r>
      <w:r w:rsidR="00DA2EE7">
        <w:t>PBO</w:t>
      </w:r>
      <w:r w:rsidR="007C4D27">
        <w:t> </w:t>
      </w:r>
      <w:r w:rsidR="00DA2EE7">
        <w:t>Report 02/2015 (</w:t>
      </w:r>
      <w:r w:rsidR="00DA2EE7">
        <w:rPr>
          <w:i/>
        </w:rPr>
        <w:t>2015</w:t>
      </w:r>
      <w:r w:rsidR="00DA2EE7">
        <w:rPr>
          <w:i/>
        </w:rPr>
        <w:noBreakHyphen/>
        <w:t>16 Budget: medium</w:t>
      </w:r>
      <w:r w:rsidR="00DA2EE7">
        <w:rPr>
          <w:i/>
        </w:rPr>
        <w:noBreakHyphen/>
        <w:t xml:space="preserve">term </w:t>
      </w:r>
      <w:r w:rsidR="00DA2EE7" w:rsidRPr="00613356">
        <w:t>projections</w:t>
      </w:r>
      <w:r w:rsidR="00DA2EE7">
        <w:t>)</w:t>
      </w:r>
      <w:r w:rsidR="00882F52">
        <w:t>.</w:t>
      </w:r>
      <w:r>
        <w:t xml:space="preserve"> </w:t>
      </w:r>
    </w:p>
    <w:p w:rsidR="00413FFF" w:rsidRDefault="00413FFF" w:rsidP="00413FFF">
      <w:pPr>
        <w:pStyle w:val="ListBullet"/>
      </w:pPr>
      <w:r>
        <w:t>Information on payment duration of affected individuals was obtained from DSS Payment Demographic Data.</w:t>
      </w:r>
    </w:p>
    <w:p w:rsidR="00413FFF" w:rsidRDefault="00413FFF" w:rsidP="00413FFF">
      <w:pPr>
        <w:pStyle w:val="ListBullet"/>
      </w:pPr>
      <w:r>
        <w:lastRenderedPageBreak/>
        <w:t>Superannuation balance amounts and wage and salary information for affected individuals are derived from personal income tax returns.</w:t>
      </w:r>
    </w:p>
    <w:p w:rsidR="003E545E" w:rsidRDefault="003E545E" w:rsidP="00413FFF">
      <w:pPr>
        <w:pStyle w:val="ListBullet"/>
      </w:pPr>
      <w:r>
        <w:t xml:space="preserve">Information on the tax liability of </w:t>
      </w:r>
      <w:r w:rsidR="0009327D">
        <w:t xml:space="preserve">certain Government payment </w:t>
      </w:r>
      <w:r>
        <w:t>recipients was obtained by using the Policy Evaluation Model (</w:t>
      </w:r>
      <w:proofErr w:type="spellStart"/>
      <w:r>
        <w:t>PoEM</w:t>
      </w:r>
      <w:proofErr w:type="spellEnd"/>
      <w:r>
        <w:t>) of the Australian personal income tax and transfer system, a micro-simulation model based on Australian Government administrative data updated for population projections and other parameters as at the 2016</w:t>
      </w:r>
      <w:r>
        <w:noBreakHyphen/>
        <w:t>17 Mid</w:t>
      </w:r>
      <w:r>
        <w:noBreakHyphen/>
        <w:t>Year Ec</w:t>
      </w:r>
      <w:r w:rsidR="00BB0E1F">
        <w:t>onomic and Fiscal Outlook</w:t>
      </w:r>
      <w:r>
        <w:t>.</w:t>
      </w:r>
    </w:p>
    <w:p w:rsidR="00286DC3" w:rsidRDefault="00286DC3" w:rsidP="00286DC3">
      <w:pPr>
        <w:pStyle w:val="Heading2"/>
      </w:pPr>
      <w:r>
        <w:t>General methodology</w:t>
      </w:r>
    </w:p>
    <w:p w:rsidR="0001070D" w:rsidRDefault="0001070D" w:rsidP="0001070D">
      <w:pPr>
        <w:pStyle w:val="ListBullet"/>
      </w:pPr>
      <w:r>
        <w:t>2013</w:t>
      </w:r>
      <w:r>
        <w:noBreakHyphen/>
        <w:t>14 superannuation balances are grown in line with the growth in superannuation assets in the</w:t>
      </w:r>
      <w:r w:rsidR="003E6DE4">
        <w:t xml:space="preserve"> budget baseline and</w:t>
      </w:r>
      <w:r>
        <w:t xml:space="preserve"> 2015 Intergenerational Report.</w:t>
      </w:r>
    </w:p>
    <w:p w:rsidR="002D5A45" w:rsidRDefault="002D5A45" w:rsidP="00286DC3">
      <w:pPr>
        <w:pStyle w:val="ListBullet"/>
      </w:pPr>
      <w:r>
        <w:t>This costing takes account of the timing of tax collections.</w:t>
      </w:r>
    </w:p>
    <w:p w:rsidR="00286DC3" w:rsidRDefault="00286DC3" w:rsidP="00286DC3">
      <w:pPr>
        <w:pStyle w:val="ListBullet"/>
      </w:pPr>
      <w:r>
        <w:t>Departmental expenses were estimated based on an analysis of previous</w:t>
      </w:r>
      <w:r w:rsidR="00A408B6">
        <w:t xml:space="preserve"> systems changes and information campaigns</w:t>
      </w:r>
      <w:r w:rsidR="00BD2AE2">
        <w:t>.</w:t>
      </w:r>
    </w:p>
    <w:p w:rsidR="002D5A45" w:rsidRDefault="002D5A45" w:rsidP="00286DC3">
      <w:pPr>
        <w:pStyle w:val="ListBullet"/>
      </w:pPr>
      <w:r>
        <w:t xml:space="preserve">Estimates of revenue </w:t>
      </w:r>
      <w:r w:rsidR="00FB3BB0">
        <w:t xml:space="preserve">from Component 1 </w:t>
      </w:r>
      <w:r>
        <w:t>have been rounded to the nearest $1 billion.</w:t>
      </w:r>
    </w:p>
    <w:p w:rsidR="00FB3BB0" w:rsidRDefault="00FB3BB0" w:rsidP="00FB3BB0">
      <w:pPr>
        <w:pStyle w:val="ListBullet"/>
      </w:pPr>
      <w:r>
        <w:t>Estimates of revenue from Component 2 have been rounded to the nearest $100 million.</w:t>
      </w:r>
    </w:p>
    <w:p w:rsidR="00286DC3" w:rsidRDefault="002D5A45" w:rsidP="00286DC3">
      <w:pPr>
        <w:pStyle w:val="ListBullet"/>
      </w:pPr>
      <w:r>
        <w:t xml:space="preserve">Estimates of </w:t>
      </w:r>
      <w:r w:rsidR="00286DC3">
        <w:t>administered expenses have been rounded to the nearest $500 million.</w:t>
      </w:r>
    </w:p>
    <w:p w:rsidR="00286DC3" w:rsidRPr="00286DC3" w:rsidRDefault="00286DC3" w:rsidP="00286DC3">
      <w:pPr>
        <w:pStyle w:val="ListBullet"/>
      </w:pPr>
      <w:r>
        <w:t>Departmental expenses have been rounded to the nearest $10 million.</w:t>
      </w:r>
    </w:p>
    <w:p w:rsidR="00066D54" w:rsidRPr="00F57194" w:rsidRDefault="00FE3B13" w:rsidP="00F57194">
      <w:pPr>
        <w:pStyle w:val="Heading1"/>
      </w:pPr>
      <w:r>
        <w:t>Data sources</w:t>
      </w:r>
    </w:p>
    <w:p w:rsidR="00F57194" w:rsidRDefault="00F57194" w:rsidP="00F57194">
      <w:pPr>
        <w:pStyle w:val="ListBullet"/>
      </w:pPr>
      <w:r>
        <w:t xml:space="preserve">The ATO provided </w:t>
      </w:r>
      <w:r w:rsidR="00BB0E1F">
        <w:t xml:space="preserve">de-identified </w:t>
      </w:r>
      <w:r>
        <w:t>2013-14 personal income tax and superannuation return data.</w:t>
      </w:r>
    </w:p>
    <w:p w:rsidR="00F57194" w:rsidRDefault="00FD5562" w:rsidP="00F57194">
      <w:pPr>
        <w:pStyle w:val="ListBullet"/>
      </w:pPr>
      <w:r>
        <w:t xml:space="preserve">ATO, 2013-14 </w:t>
      </w:r>
      <w:r w:rsidR="00F57194">
        <w:t>Taxation Statistics.</w:t>
      </w:r>
    </w:p>
    <w:p w:rsidR="00F57194" w:rsidRDefault="009439E7" w:rsidP="00F57194">
      <w:pPr>
        <w:pStyle w:val="ListBullet"/>
      </w:pPr>
      <w:r>
        <w:t>S</w:t>
      </w:r>
      <w:r w:rsidR="00F57194">
        <w:t xml:space="preserve">uperannuation </w:t>
      </w:r>
      <w:r>
        <w:t xml:space="preserve">contributions and earnings </w:t>
      </w:r>
      <w:r w:rsidR="004500E5">
        <w:t xml:space="preserve">tax </w:t>
      </w:r>
      <w:r w:rsidR="00FD5562">
        <w:t>revenue as at</w:t>
      </w:r>
      <w:r w:rsidR="00F57194">
        <w:t xml:space="preserve"> the 2016</w:t>
      </w:r>
      <w:r w:rsidR="00F57194">
        <w:noBreakHyphen/>
        <w:t>17 Mid-Year Economic and Fiscal Outlook.</w:t>
      </w:r>
    </w:p>
    <w:p w:rsidR="003E545E" w:rsidRDefault="00C444FC" w:rsidP="00F57194">
      <w:pPr>
        <w:pStyle w:val="ListBullet"/>
      </w:pPr>
      <w:r>
        <w:t>The DSS provided the Policy Evaluation Model.</w:t>
      </w:r>
    </w:p>
    <w:p w:rsidR="00CC4989" w:rsidRDefault="00CC4989" w:rsidP="00F57194">
      <w:pPr>
        <w:pStyle w:val="ListBullet"/>
      </w:pPr>
      <w:r>
        <w:t>The Treasury, 2015 Intergenerational Report, Australia.</w:t>
      </w:r>
    </w:p>
    <w:p w:rsidR="00F57194" w:rsidRDefault="00F57194" w:rsidP="00F57194">
      <w:pPr>
        <w:pStyle w:val="ListBullet"/>
      </w:pPr>
      <w:r>
        <w:t>DSS, Payment Demographic Data September 2016, Australia.</w:t>
      </w:r>
    </w:p>
    <w:p w:rsidR="00F57194" w:rsidRDefault="00F57194" w:rsidP="00F57194">
      <w:pPr>
        <w:pStyle w:val="ListBullet"/>
      </w:pPr>
      <w:r>
        <w:t>DSS, Portfolio Budget Statements 2016-17.</w:t>
      </w:r>
    </w:p>
    <w:p w:rsidR="007D0ABE" w:rsidRPr="0046444F" w:rsidRDefault="007D0ABE" w:rsidP="00B311BA">
      <w:pPr>
        <w:pStyle w:val="BodyText"/>
      </w:pPr>
    </w:p>
    <w:p w:rsidR="0046444F" w:rsidRDefault="0046444F" w:rsidP="00B311BA">
      <w:pPr>
        <w:pStyle w:val="BodyText"/>
        <w:sectPr w:rsidR="0046444F" w:rsidSect="00CF6DC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361" w:right="1797" w:bottom="1474" w:left="1797" w:header="284" w:footer="454" w:gutter="0"/>
          <w:pgNumType w:start="1"/>
          <w:cols w:space="708"/>
          <w:formProt w:val="0"/>
          <w:titlePg/>
          <w:docGrid w:linePitch="360"/>
        </w:sectPr>
      </w:pPr>
    </w:p>
    <w:p w:rsidR="00016D53" w:rsidRPr="002D239A" w:rsidRDefault="00016D53" w:rsidP="00482F63">
      <w:pPr>
        <w:pStyle w:val="Heading8"/>
      </w:pPr>
      <w:r w:rsidRPr="002D239A">
        <w:lastRenderedPageBreak/>
        <w:t xml:space="preserve">– </w:t>
      </w:r>
      <w:r w:rsidR="009961B4">
        <w:t>Savings account</w:t>
      </w:r>
      <w:r w:rsidRPr="002D239A">
        <w:t>—</w:t>
      </w:r>
      <w:r w:rsidRPr="00482F63">
        <w:t>financial</w:t>
      </w:r>
      <w:r w:rsidRPr="002D239A">
        <w:t> implications</w:t>
      </w:r>
    </w:p>
    <w:p w:rsidR="00120A75" w:rsidRPr="009961B4" w:rsidRDefault="003E1562" w:rsidP="009961B4">
      <w:pPr>
        <w:pStyle w:val="Caption"/>
        <w:keepLines/>
        <w:rPr>
          <w:vertAlign w:val="superscript"/>
        </w:rPr>
      </w:pPr>
      <w:r w:rsidRPr="002D239A">
        <w:t xml:space="preserve">Table </w:t>
      </w:r>
      <w:r w:rsidR="00690626">
        <w:fldChar w:fldCharType="begin"/>
      </w:r>
      <w:r w:rsidR="00690626">
        <w:instrText xml:space="preserve"> STYLEREF 8 \s </w:instrText>
      </w:r>
      <w:r w:rsidR="00690626">
        <w:fldChar w:fldCharType="separate"/>
      </w:r>
      <w:r w:rsidR="007A6B7D">
        <w:rPr>
          <w:noProof/>
        </w:rPr>
        <w:t>A</w:t>
      </w:r>
      <w:r w:rsidR="00690626">
        <w:rPr>
          <w:noProof/>
        </w:rPr>
        <w:fldChar w:fldCharType="end"/>
      </w:r>
      <w:r w:rsidR="009961B4">
        <w:t>1</w:t>
      </w:r>
      <w:r w:rsidRPr="002D239A">
        <w:t xml:space="preserve">: </w:t>
      </w:r>
      <w:r w:rsidR="009961B4">
        <w:t>Savings account</w:t>
      </w:r>
      <w:r>
        <w:t>—Financial implications (outturn prices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0" w:type="pct"/>
        <w:tblLayout w:type="fixed"/>
        <w:tblLook w:val="0680" w:firstRow="0" w:lastRow="0" w:firstColumn="1" w:lastColumn="0" w:noHBand="1" w:noVBand="1"/>
      </w:tblPr>
      <w:tblGrid>
        <w:gridCol w:w="1386"/>
        <w:gridCol w:w="982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1061"/>
      </w:tblGrid>
      <w:tr w:rsidR="00CC6E9A" w:rsidTr="00177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"/>
              <w:ind w:left="-57" w:right="-57"/>
            </w:pPr>
            <w:r>
              <w:t>($</w:t>
            </w:r>
            <w:r w:rsidR="00A838D2">
              <w:t>m</w:t>
            </w:r>
            <w:r>
              <w:t>)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2016–17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2017–18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2018–19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2019–20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2D239A" w:rsidRDefault="001E33C2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2019–20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2020–21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2021–22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2022–23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2023–24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2024–25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2025–26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1E33C2" w:rsidRPr="007B57C9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2026–27</w:t>
            </w:r>
          </w:p>
        </w:tc>
        <w:tc>
          <w:tcPr>
            <w:tcW w:w="377" w:type="pct"/>
            <w:shd w:val="clear" w:color="auto" w:fill="D7DDE9" w:themeFill="accent3"/>
            <w:vAlign w:val="center"/>
          </w:tcPr>
          <w:p w:rsidR="001E33C2" w:rsidRPr="002D239A" w:rsidRDefault="007B57C9" w:rsidP="007B57C9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2026–27</w:t>
            </w:r>
          </w:p>
        </w:tc>
      </w:tr>
      <w:tr w:rsidR="00CC6E9A" w:rsidTr="00177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4C666A" w:rsidRPr="004C666A" w:rsidRDefault="004C666A" w:rsidP="0028563E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 w:rsidRPr="004C666A">
              <w:rPr>
                <w:b w:val="0"/>
              </w:rPr>
              <w:t>Revenue</w:t>
            </w:r>
          </w:p>
        </w:tc>
        <w:tc>
          <w:tcPr>
            <w:tcW w:w="345" w:type="pct"/>
            <w:vAlign w:val="center"/>
          </w:tcPr>
          <w:p w:rsidR="004C666A" w:rsidRPr="004C666A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</w:t>
            </w:r>
          </w:p>
        </w:tc>
        <w:tc>
          <w:tcPr>
            <w:tcW w:w="345" w:type="pct"/>
            <w:vAlign w:val="center"/>
          </w:tcPr>
          <w:p w:rsidR="004C666A" w:rsidRPr="004C666A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</w:t>
            </w:r>
            <w:r w:rsidR="00CC6E9A">
              <w:t>19</w:t>
            </w:r>
            <w:r w:rsidRPr="004C666A">
              <w:t>,</w:t>
            </w:r>
            <w:r w:rsidR="00CC6E9A">
              <w:t>4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4C666A" w:rsidRPr="004C666A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-2</w:t>
            </w:r>
            <w:r w:rsidR="00CC6E9A">
              <w:t>2</w:t>
            </w:r>
            <w:r w:rsidRPr="004C666A">
              <w:t>,</w:t>
            </w:r>
            <w:r w:rsidR="00E057AD">
              <w:t>4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4C666A" w:rsidRPr="004C666A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-2</w:t>
            </w:r>
            <w:r w:rsidR="00FB3BB0">
              <w:t>4</w:t>
            </w:r>
            <w:r w:rsidRPr="004C666A">
              <w:t>,</w:t>
            </w:r>
            <w:r w:rsidR="00CC6E9A">
              <w:t>5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4C666A" w:rsidRPr="00EB54D9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54D9">
              <w:rPr>
                <w:b/>
              </w:rPr>
              <w:t>-</w:t>
            </w:r>
            <w:r w:rsidR="00CC6E9A">
              <w:rPr>
                <w:b/>
              </w:rPr>
              <w:t>66</w:t>
            </w:r>
            <w:r w:rsidRPr="00EB54D9">
              <w:rPr>
                <w:b/>
              </w:rPr>
              <w:t>,</w:t>
            </w:r>
            <w:r w:rsidR="003E545E">
              <w:rPr>
                <w:b/>
              </w:rPr>
              <w:t>3</w:t>
            </w:r>
            <w:r w:rsidRPr="00EB54D9">
              <w:rPr>
                <w:b/>
              </w:rPr>
              <w:t>00</w:t>
            </w:r>
          </w:p>
        </w:tc>
        <w:tc>
          <w:tcPr>
            <w:tcW w:w="345" w:type="pct"/>
            <w:vAlign w:val="center"/>
          </w:tcPr>
          <w:p w:rsidR="004C666A" w:rsidRPr="004C666A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-2</w:t>
            </w:r>
            <w:r w:rsidR="00FC1359">
              <w:t>5</w:t>
            </w:r>
            <w:r w:rsidRPr="004C666A">
              <w:t>,</w:t>
            </w:r>
            <w:r w:rsidR="00CC6E9A">
              <w:t>5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4C666A" w:rsidRPr="004C666A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-2</w:t>
            </w:r>
            <w:r w:rsidR="00FC1359">
              <w:t>7</w:t>
            </w:r>
            <w:r w:rsidRPr="004C666A">
              <w:t>,</w:t>
            </w:r>
            <w:r w:rsidR="00E057AD">
              <w:t>5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4C666A" w:rsidRPr="004C666A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-2</w:t>
            </w:r>
            <w:r w:rsidR="00FB3BB0">
              <w:t>8</w:t>
            </w:r>
            <w:r w:rsidRPr="004C666A">
              <w:t>,</w:t>
            </w:r>
            <w:r w:rsidR="00CC6E9A">
              <w:t>6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4C666A" w:rsidRPr="004C666A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</w:t>
            </w:r>
            <w:r w:rsidR="00FC1359">
              <w:t>3</w:t>
            </w:r>
            <w:r w:rsidR="00FB3BB0">
              <w:t>0</w:t>
            </w:r>
            <w:r w:rsidRPr="004C666A">
              <w:t>,</w:t>
            </w:r>
            <w:r w:rsidR="00CC6E9A">
              <w:t>6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4C666A" w:rsidRPr="004C666A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C666A">
              <w:t>-</w:t>
            </w:r>
            <w:r w:rsidR="00FC1359">
              <w:t>3</w:t>
            </w:r>
            <w:r w:rsidR="00FB3BB0">
              <w:t>2</w:t>
            </w:r>
            <w:r w:rsidRPr="004C666A">
              <w:t>,</w:t>
            </w:r>
            <w:r w:rsidR="00E057AD">
              <w:t>6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4C666A" w:rsidRPr="004C666A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-3</w:t>
            </w:r>
            <w:r w:rsidR="00FB3BB0">
              <w:t>5</w:t>
            </w:r>
            <w:r w:rsidRPr="004C666A">
              <w:t>,</w:t>
            </w:r>
            <w:r w:rsidR="00CC6E9A">
              <w:t>7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4C666A" w:rsidRPr="004C666A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-3</w:t>
            </w:r>
            <w:r w:rsidR="00CC6E9A">
              <w:t>7</w:t>
            </w:r>
            <w:r w:rsidRPr="004C666A">
              <w:t>,</w:t>
            </w:r>
            <w:r w:rsidR="00CC6E9A">
              <w:t>7</w:t>
            </w:r>
            <w:r w:rsidRPr="004C666A">
              <w:t>00</w:t>
            </w:r>
          </w:p>
        </w:tc>
        <w:tc>
          <w:tcPr>
            <w:tcW w:w="377" w:type="pct"/>
            <w:vAlign w:val="center"/>
          </w:tcPr>
          <w:p w:rsidR="004C666A" w:rsidRPr="00EB54D9" w:rsidRDefault="004C666A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54D9">
              <w:rPr>
                <w:b/>
              </w:rPr>
              <w:t>-</w:t>
            </w:r>
            <w:r w:rsidR="00AA07FD" w:rsidRPr="00EB54D9">
              <w:rPr>
                <w:b/>
              </w:rPr>
              <w:t>2</w:t>
            </w:r>
            <w:r w:rsidR="00CC6E9A">
              <w:rPr>
                <w:b/>
              </w:rPr>
              <w:t>84</w:t>
            </w:r>
            <w:r w:rsidR="00AA07FD" w:rsidRPr="00EB54D9">
              <w:rPr>
                <w:b/>
              </w:rPr>
              <w:t>,</w:t>
            </w:r>
            <w:r w:rsidR="00E057AD">
              <w:rPr>
                <w:b/>
              </w:rPr>
              <w:t>5</w:t>
            </w:r>
            <w:r w:rsidRPr="00EB54D9">
              <w:rPr>
                <w:b/>
              </w:rPr>
              <w:t>00</w:t>
            </w:r>
          </w:p>
        </w:tc>
      </w:tr>
      <w:tr w:rsidR="00CC6E9A" w:rsidTr="00177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8D77AF" w:rsidRPr="004C666A" w:rsidRDefault="004C666A" w:rsidP="007B57C9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 w:rsidRPr="004C666A">
              <w:rPr>
                <w:b w:val="0"/>
              </w:rPr>
              <w:t>Administered</w:t>
            </w:r>
            <w:r w:rsidR="00F96258">
              <w:rPr>
                <w:b w:val="0"/>
              </w:rPr>
              <w:t xml:space="preserve"> expenses</w:t>
            </w:r>
            <w:r w:rsidRPr="004C666A">
              <w:rPr>
                <w:b w:val="0"/>
              </w:rPr>
              <w:t xml:space="preserve"> </w:t>
            </w:r>
            <w:r w:rsidR="00CC6E9A">
              <w:rPr>
                <w:b w:val="0"/>
              </w:rPr>
              <w:t xml:space="preserve">- </w:t>
            </w:r>
            <w:r w:rsidRPr="004C666A">
              <w:rPr>
                <w:b w:val="0"/>
              </w:rPr>
              <w:t>DSS</w:t>
            </w:r>
          </w:p>
        </w:tc>
        <w:tc>
          <w:tcPr>
            <w:tcW w:w="345" w:type="pct"/>
            <w:vAlign w:val="center"/>
          </w:tcPr>
          <w:p w:rsidR="008D77AF" w:rsidRPr="006C3668" w:rsidRDefault="002D5A45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2D5A45">
              <w:t>-</w:t>
            </w:r>
          </w:p>
        </w:tc>
        <w:tc>
          <w:tcPr>
            <w:tcW w:w="345" w:type="pct"/>
            <w:vAlign w:val="center"/>
          </w:tcPr>
          <w:p w:rsidR="008D77AF" w:rsidRPr="002D5A45" w:rsidRDefault="003E545E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B8339E">
              <w:t>,</w:t>
            </w:r>
            <w:r>
              <w:t>0</w:t>
            </w:r>
            <w:r w:rsidR="002D5A45" w:rsidRPr="002D5A45">
              <w:t>00</w:t>
            </w:r>
          </w:p>
        </w:tc>
        <w:tc>
          <w:tcPr>
            <w:tcW w:w="345" w:type="pct"/>
            <w:vAlign w:val="center"/>
          </w:tcPr>
          <w:p w:rsidR="008D77AF" w:rsidRPr="002D5A45" w:rsidRDefault="002D5A45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5A45">
              <w:t>10,</w:t>
            </w:r>
            <w:r w:rsidR="003E545E">
              <w:t>5</w:t>
            </w:r>
            <w:r w:rsidRPr="002D5A45">
              <w:t>00</w:t>
            </w:r>
          </w:p>
        </w:tc>
        <w:tc>
          <w:tcPr>
            <w:tcW w:w="345" w:type="pct"/>
            <w:vAlign w:val="center"/>
          </w:tcPr>
          <w:p w:rsidR="008D77AF" w:rsidRPr="002D5A45" w:rsidRDefault="003E545E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2D5A45" w:rsidRPr="002D5A45">
              <w:t>,500</w:t>
            </w:r>
          </w:p>
        </w:tc>
        <w:tc>
          <w:tcPr>
            <w:tcW w:w="345" w:type="pct"/>
            <w:vAlign w:val="center"/>
          </w:tcPr>
          <w:p w:rsidR="008D77AF" w:rsidRPr="00EB54D9" w:rsidRDefault="003E545E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33</w:t>
            </w:r>
            <w:r w:rsidR="002D5A45" w:rsidRPr="00EB54D9">
              <w:rPr>
                <w:b/>
              </w:rPr>
              <w:t>,000</w:t>
            </w:r>
          </w:p>
        </w:tc>
        <w:tc>
          <w:tcPr>
            <w:tcW w:w="345" w:type="pct"/>
            <w:vAlign w:val="center"/>
          </w:tcPr>
          <w:p w:rsidR="008D77AF" w:rsidRPr="002D5A45" w:rsidRDefault="003E545E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2D5A45" w:rsidRPr="002D5A45">
              <w:t>,</w:t>
            </w:r>
            <w:r>
              <w:t>0</w:t>
            </w:r>
            <w:r w:rsidR="002D5A45" w:rsidRPr="002D5A45">
              <w:t>00</w:t>
            </w:r>
          </w:p>
        </w:tc>
        <w:tc>
          <w:tcPr>
            <w:tcW w:w="345" w:type="pct"/>
            <w:vAlign w:val="center"/>
          </w:tcPr>
          <w:p w:rsidR="008D77AF" w:rsidRPr="002D5A45" w:rsidRDefault="003E545E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2D5A45" w:rsidRPr="002D5A45">
              <w:t>,</w:t>
            </w:r>
            <w:r>
              <w:t>0</w:t>
            </w:r>
            <w:r w:rsidR="002D5A45" w:rsidRPr="002D5A45">
              <w:t>00</w:t>
            </w:r>
          </w:p>
        </w:tc>
        <w:tc>
          <w:tcPr>
            <w:tcW w:w="345" w:type="pct"/>
            <w:vAlign w:val="center"/>
          </w:tcPr>
          <w:p w:rsidR="008D77AF" w:rsidRPr="002D5A45" w:rsidRDefault="003E545E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2D5A45" w:rsidRPr="002D5A45">
              <w:t>,</w:t>
            </w:r>
            <w:r>
              <w:t>5</w:t>
            </w:r>
            <w:r w:rsidR="002D5A45" w:rsidRPr="002D5A45">
              <w:t>00</w:t>
            </w:r>
          </w:p>
        </w:tc>
        <w:tc>
          <w:tcPr>
            <w:tcW w:w="345" w:type="pct"/>
            <w:vAlign w:val="center"/>
          </w:tcPr>
          <w:p w:rsidR="008D77AF" w:rsidRPr="002D5A45" w:rsidRDefault="003E545E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2D5A45" w:rsidRPr="002D5A45">
              <w:t>,</w:t>
            </w:r>
            <w:r>
              <w:t>5</w:t>
            </w:r>
            <w:r w:rsidR="002D5A45" w:rsidRPr="002D5A45">
              <w:t>00</w:t>
            </w:r>
          </w:p>
        </w:tc>
        <w:tc>
          <w:tcPr>
            <w:tcW w:w="345" w:type="pct"/>
            <w:vAlign w:val="center"/>
          </w:tcPr>
          <w:p w:rsidR="008D77AF" w:rsidRPr="002D5A45" w:rsidRDefault="003E545E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6</w:t>
            </w:r>
            <w:r w:rsidR="002D5A45" w:rsidRPr="002D5A45">
              <w:t>,</w:t>
            </w:r>
            <w:r w:rsidR="004656E4">
              <w:t>0</w:t>
            </w:r>
            <w:r w:rsidR="002D5A45" w:rsidRPr="002D5A45">
              <w:t>00</w:t>
            </w:r>
          </w:p>
        </w:tc>
        <w:tc>
          <w:tcPr>
            <w:tcW w:w="345" w:type="pct"/>
            <w:vAlign w:val="center"/>
          </w:tcPr>
          <w:p w:rsidR="008D77AF" w:rsidRPr="002D5A45" w:rsidRDefault="003E545E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2D5A45" w:rsidRPr="002D5A45">
              <w:t>,</w:t>
            </w:r>
            <w:r>
              <w:t>0</w:t>
            </w:r>
            <w:r w:rsidR="002D5A45" w:rsidRPr="002D5A45">
              <w:t>00</w:t>
            </w:r>
          </w:p>
        </w:tc>
        <w:tc>
          <w:tcPr>
            <w:tcW w:w="345" w:type="pct"/>
            <w:vAlign w:val="center"/>
          </w:tcPr>
          <w:p w:rsidR="008D77AF" w:rsidRPr="002D5A45" w:rsidRDefault="003E545E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2D5A45" w:rsidRPr="002D5A45">
              <w:t>,</w:t>
            </w:r>
            <w:r w:rsidR="00FC1359">
              <w:t>5</w:t>
            </w:r>
            <w:r w:rsidR="002D5A45" w:rsidRPr="002D5A45">
              <w:t>00</w:t>
            </w:r>
          </w:p>
        </w:tc>
        <w:tc>
          <w:tcPr>
            <w:tcW w:w="377" w:type="pct"/>
            <w:vAlign w:val="center"/>
          </w:tcPr>
          <w:p w:rsidR="008D77AF" w:rsidRPr="00EB54D9" w:rsidRDefault="003E545E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  <w:r w:rsidR="004656E4">
              <w:rPr>
                <w:b/>
              </w:rPr>
              <w:t>3</w:t>
            </w:r>
            <w:r w:rsidR="002D5A45" w:rsidRPr="00EB54D9">
              <w:rPr>
                <w:b/>
              </w:rPr>
              <w:t>,</w:t>
            </w:r>
            <w:r>
              <w:rPr>
                <w:b/>
              </w:rPr>
              <w:t>5</w:t>
            </w:r>
            <w:r w:rsidR="002D5A45" w:rsidRPr="00EB54D9">
              <w:rPr>
                <w:b/>
              </w:rPr>
              <w:t>00</w:t>
            </w:r>
          </w:p>
        </w:tc>
      </w:tr>
      <w:tr w:rsidR="00CC6E9A" w:rsidTr="00177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4C666A" w:rsidRPr="004C666A" w:rsidRDefault="004C666A" w:rsidP="007B57C9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>
              <w:rPr>
                <w:b w:val="0"/>
              </w:rPr>
              <w:t xml:space="preserve">Departmental </w:t>
            </w:r>
            <w:r w:rsidR="00F96258">
              <w:rPr>
                <w:b w:val="0"/>
              </w:rPr>
              <w:t xml:space="preserve">expenses </w:t>
            </w:r>
            <w:r>
              <w:rPr>
                <w:b w:val="0"/>
              </w:rPr>
              <w:t>- ATO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-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-10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EB54D9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54D9">
              <w:rPr>
                <w:b/>
              </w:rPr>
              <w:t>-10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77" w:type="pct"/>
            <w:vAlign w:val="center"/>
          </w:tcPr>
          <w:p w:rsidR="004C666A" w:rsidRPr="00EB54D9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54D9">
              <w:rPr>
                <w:b/>
              </w:rPr>
              <w:t>-10</w:t>
            </w:r>
          </w:p>
        </w:tc>
      </w:tr>
      <w:tr w:rsidR="00CC6E9A" w:rsidTr="00177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4C666A" w:rsidRPr="004C666A" w:rsidRDefault="004C666A" w:rsidP="007B57C9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>
              <w:rPr>
                <w:b w:val="0"/>
              </w:rPr>
              <w:t xml:space="preserve">Departmental </w:t>
            </w:r>
            <w:r w:rsidR="00F96258">
              <w:rPr>
                <w:b w:val="0"/>
              </w:rPr>
              <w:t xml:space="preserve">expenses </w:t>
            </w:r>
            <w:r>
              <w:rPr>
                <w:b w:val="0"/>
              </w:rPr>
              <w:t>- D</w:t>
            </w:r>
            <w:r w:rsidR="00FB4A6D">
              <w:rPr>
                <w:b w:val="0"/>
              </w:rPr>
              <w:t>H</w:t>
            </w:r>
            <w:r>
              <w:rPr>
                <w:b w:val="0"/>
              </w:rPr>
              <w:t>S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-</w:t>
            </w:r>
          </w:p>
        </w:tc>
        <w:tc>
          <w:tcPr>
            <w:tcW w:w="345" w:type="pct"/>
            <w:vAlign w:val="center"/>
          </w:tcPr>
          <w:p w:rsidR="004C666A" w:rsidRPr="00AA07FD" w:rsidRDefault="004500E5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A07FD" w:rsidRPr="00AA07FD">
              <w:t>10</w:t>
            </w:r>
          </w:p>
        </w:tc>
        <w:tc>
          <w:tcPr>
            <w:tcW w:w="345" w:type="pct"/>
            <w:vAlign w:val="center"/>
          </w:tcPr>
          <w:p w:rsidR="004C666A" w:rsidRPr="00AA07FD" w:rsidRDefault="004500E5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="00AA07FD" w:rsidRPr="00AA07FD">
              <w:t>10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EB54D9" w:rsidRDefault="004500E5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AA07FD" w:rsidRPr="00EB54D9">
              <w:rPr>
                <w:b/>
              </w:rPr>
              <w:t>20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4C666A" w:rsidRPr="00AA07FD" w:rsidRDefault="00AA07FD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77" w:type="pct"/>
            <w:vAlign w:val="center"/>
          </w:tcPr>
          <w:p w:rsidR="004C666A" w:rsidRPr="00EB54D9" w:rsidRDefault="004500E5" w:rsidP="00A71A91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AA07FD" w:rsidRPr="00EB54D9">
              <w:rPr>
                <w:b/>
              </w:rPr>
              <w:t>20</w:t>
            </w:r>
          </w:p>
        </w:tc>
      </w:tr>
      <w:tr w:rsidR="00CC6E9A" w:rsidTr="001772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shd w:val="clear" w:color="auto" w:fill="D7DDE9" w:themeFill="accent3"/>
            <w:vAlign w:val="center"/>
          </w:tcPr>
          <w:p w:rsidR="008D77AF" w:rsidRPr="002D239A" w:rsidRDefault="008D77AF" w:rsidP="007B57C9">
            <w:pPr>
              <w:pStyle w:val="TableText"/>
              <w:keepNext/>
              <w:keepLines/>
              <w:ind w:left="-57" w:right="-57"/>
            </w:pPr>
            <w:r>
              <w:t>Total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3E545E">
              <w:rPr>
                <w:b/>
              </w:rPr>
              <w:t>4</w:t>
            </w:r>
            <w:r>
              <w:rPr>
                <w:b/>
              </w:rPr>
              <w:t>,</w:t>
            </w:r>
            <w:r w:rsidR="003E545E">
              <w:rPr>
                <w:b/>
              </w:rPr>
              <w:t>4</w:t>
            </w:r>
            <w:r w:rsidR="004500E5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</w:t>
            </w:r>
            <w:r w:rsidR="003E545E">
              <w:rPr>
                <w:b/>
              </w:rPr>
              <w:t>1</w:t>
            </w:r>
            <w:r w:rsidR="004500E5">
              <w:rPr>
                <w:b/>
              </w:rPr>
              <w:t>,</w:t>
            </w:r>
            <w:r w:rsidR="003E545E">
              <w:rPr>
                <w:b/>
              </w:rPr>
              <w:t>9</w:t>
            </w:r>
            <w:r w:rsidR="004500E5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3E545E">
              <w:rPr>
                <w:b/>
              </w:rPr>
              <w:t>17</w:t>
            </w:r>
            <w:r>
              <w:rPr>
                <w:b/>
              </w:rPr>
              <w:t>,</w:t>
            </w:r>
            <w:r w:rsidR="00A71A91">
              <w:rPr>
                <w:b/>
              </w:rPr>
              <w:t>0</w:t>
            </w:r>
            <w:r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3E545E">
              <w:rPr>
                <w:b/>
              </w:rPr>
              <w:t>33</w:t>
            </w:r>
            <w:r>
              <w:rPr>
                <w:b/>
              </w:rPr>
              <w:t>,</w:t>
            </w:r>
            <w:r w:rsidR="00071F2C">
              <w:rPr>
                <w:b/>
              </w:rPr>
              <w:t>3</w:t>
            </w:r>
            <w:r w:rsidR="004500E5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3E545E">
              <w:rPr>
                <w:b/>
              </w:rPr>
              <w:t>19</w:t>
            </w:r>
            <w:r>
              <w:rPr>
                <w:b/>
              </w:rPr>
              <w:t>,</w:t>
            </w:r>
            <w:r w:rsidR="003E545E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FC1359">
              <w:rPr>
                <w:b/>
              </w:rPr>
              <w:t>2</w:t>
            </w:r>
            <w:r w:rsidR="003E545E">
              <w:rPr>
                <w:b/>
              </w:rPr>
              <w:t>2</w:t>
            </w:r>
            <w:r>
              <w:rPr>
                <w:b/>
              </w:rPr>
              <w:t>,</w:t>
            </w:r>
            <w:r w:rsidR="003E545E">
              <w:rPr>
                <w:b/>
              </w:rPr>
              <w:t>5</w:t>
            </w:r>
            <w:r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</w:t>
            </w:r>
            <w:r w:rsidR="003E545E">
              <w:rPr>
                <w:b/>
              </w:rPr>
              <w:t>3</w:t>
            </w:r>
            <w:r>
              <w:rPr>
                <w:b/>
              </w:rPr>
              <w:t>,</w:t>
            </w:r>
            <w:r w:rsidR="003E545E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</w:t>
            </w:r>
            <w:r w:rsidR="003E545E">
              <w:rPr>
                <w:b/>
              </w:rPr>
              <w:t>5</w:t>
            </w:r>
            <w:r>
              <w:rPr>
                <w:b/>
              </w:rPr>
              <w:t>,</w:t>
            </w:r>
            <w:r w:rsidR="003E545E">
              <w:rPr>
                <w:b/>
              </w:rPr>
              <w:t>1</w:t>
            </w:r>
            <w:r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A71A91">
              <w:rPr>
                <w:b/>
              </w:rPr>
              <w:t>2</w:t>
            </w:r>
            <w:r w:rsidR="003E545E">
              <w:rPr>
                <w:b/>
              </w:rPr>
              <w:t>6</w:t>
            </w:r>
            <w:r>
              <w:rPr>
                <w:b/>
              </w:rPr>
              <w:t>,</w:t>
            </w:r>
            <w:r w:rsidR="00071F2C">
              <w:rPr>
                <w:b/>
              </w:rPr>
              <w:t>6</w:t>
            </w:r>
            <w:r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3E545E">
              <w:rPr>
                <w:b/>
              </w:rPr>
              <w:t>29</w:t>
            </w:r>
            <w:r>
              <w:rPr>
                <w:b/>
              </w:rPr>
              <w:t>,</w:t>
            </w:r>
            <w:r w:rsidR="003E545E">
              <w:rPr>
                <w:b/>
              </w:rPr>
              <w:t>7</w:t>
            </w:r>
            <w:r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FC1359">
              <w:rPr>
                <w:b/>
              </w:rPr>
              <w:t>3</w:t>
            </w:r>
            <w:r w:rsidR="003E545E">
              <w:rPr>
                <w:b/>
              </w:rPr>
              <w:t>1</w:t>
            </w:r>
            <w:r>
              <w:rPr>
                <w:b/>
              </w:rPr>
              <w:t>,</w:t>
            </w:r>
            <w:r w:rsidR="00A71A91">
              <w:rPr>
                <w:b/>
              </w:rPr>
              <w:t>2</w:t>
            </w:r>
            <w:r>
              <w:rPr>
                <w:b/>
              </w:rPr>
              <w:t>00</w:t>
            </w:r>
          </w:p>
        </w:tc>
        <w:tc>
          <w:tcPr>
            <w:tcW w:w="377" w:type="pct"/>
            <w:shd w:val="clear" w:color="auto" w:fill="D7DDE9" w:themeFill="accent3"/>
            <w:vAlign w:val="center"/>
          </w:tcPr>
          <w:p w:rsidR="008D77AF" w:rsidRPr="008D77AF" w:rsidRDefault="00AA07FD" w:rsidP="00A71A91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="00FC1359">
              <w:rPr>
                <w:b/>
              </w:rPr>
              <w:t>2</w:t>
            </w:r>
            <w:r w:rsidR="003E545E">
              <w:rPr>
                <w:b/>
              </w:rPr>
              <w:t>1</w:t>
            </w:r>
            <w:r w:rsidR="00A71A91">
              <w:rPr>
                <w:b/>
              </w:rPr>
              <w:t>1</w:t>
            </w:r>
            <w:r>
              <w:rPr>
                <w:b/>
              </w:rPr>
              <w:t>,</w:t>
            </w:r>
            <w:r w:rsidR="003E545E">
              <w:rPr>
                <w:b/>
              </w:rPr>
              <w:t>0</w:t>
            </w:r>
            <w:r w:rsidR="004500E5">
              <w:rPr>
                <w:b/>
              </w:rPr>
              <w:t>3</w:t>
            </w:r>
            <w:r>
              <w:rPr>
                <w:b/>
              </w:rPr>
              <w:t>0</w:t>
            </w:r>
          </w:p>
        </w:tc>
      </w:tr>
    </w:tbl>
    <w:p w:rsidR="003E1562" w:rsidRDefault="00EB54D9" w:rsidP="00171816">
      <w:pPr>
        <w:pStyle w:val="TableFootnotes"/>
        <w:keepNext/>
        <w:numPr>
          <w:ilvl w:val="0"/>
          <w:numId w:val="53"/>
        </w:numPr>
        <w:ind w:left="284" w:hanging="284"/>
      </w:pPr>
      <w:r>
        <w:t>A positive number indicates an increase in revenue or decrease in expenses or net capital investment in accrual and cash terms.  A negative number indicates a decrease in revenue or an increase in expenses or net capital investment in accrual and cash terms.</w:t>
      </w:r>
    </w:p>
    <w:p w:rsidR="003E1562" w:rsidRPr="002D239A" w:rsidRDefault="003E1562" w:rsidP="00171816">
      <w:pPr>
        <w:pStyle w:val="TableFootnotes"/>
        <w:keepNext/>
        <w:ind w:left="284" w:hanging="284"/>
      </w:pPr>
      <w:r>
        <w:t>Figures may not sum to totals due to rounding.</w:t>
      </w:r>
    </w:p>
    <w:p w:rsidR="003E1562" w:rsidRDefault="003E1562" w:rsidP="003E1562">
      <w:pPr>
        <w:pStyle w:val="TableFootnotes"/>
        <w:keepNext/>
        <w:numPr>
          <w:ilvl w:val="0"/>
          <w:numId w:val="0"/>
        </w:numPr>
        <w:ind w:left="284" w:hanging="284"/>
      </w:pPr>
      <w:r>
        <w:t>..</w:t>
      </w:r>
      <w:r>
        <w:tab/>
        <w:t>Not zero but rounded to zero.</w:t>
      </w:r>
    </w:p>
    <w:p w:rsidR="002D239A" w:rsidRDefault="003E1562" w:rsidP="002D239A">
      <w:pPr>
        <w:pStyle w:val="TableFootnotes"/>
        <w:keepLines w:val="0"/>
        <w:numPr>
          <w:ilvl w:val="0"/>
          <w:numId w:val="44"/>
        </w:numPr>
        <w:ind w:left="284" w:hanging="284"/>
      </w:pPr>
      <w:r>
        <w:t>Indicates nil.</w:t>
      </w:r>
    </w:p>
    <w:p w:rsidR="00071F2C" w:rsidRPr="009961B4" w:rsidRDefault="00071F2C" w:rsidP="00071F2C">
      <w:pPr>
        <w:pStyle w:val="Caption"/>
        <w:keepLines/>
        <w:rPr>
          <w:vertAlign w:val="superscript"/>
        </w:rPr>
      </w:pPr>
      <w:r w:rsidRPr="002D239A">
        <w:lastRenderedPageBreak/>
        <w:t xml:space="preserve">Table </w:t>
      </w:r>
      <w:r w:rsidR="00690626">
        <w:fldChar w:fldCharType="begin"/>
      </w:r>
      <w:r w:rsidR="00690626">
        <w:instrText xml:space="preserve"> STYLEREF 8 \s </w:instrText>
      </w:r>
      <w:r w:rsidR="00690626">
        <w:fldChar w:fldCharType="separate"/>
      </w:r>
      <w:r w:rsidR="007A6B7D">
        <w:rPr>
          <w:noProof/>
        </w:rPr>
        <w:t>A</w:t>
      </w:r>
      <w:r w:rsidR="00690626">
        <w:rPr>
          <w:noProof/>
        </w:rPr>
        <w:fldChar w:fldCharType="end"/>
      </w:r>
      <w:r w:rsidR="003266B7">
        <w:rPr>
          <w:noProof/>
        </w:rPr>
        <w:t>2</w:t>
      </w:r>
      <w:r w:rsidRPr="002D239A">
        <w:t xml:space="preserve">: </w:t>
      </w:r>
      <w:r>
        <w:t>Savings account – Component 1</w:t>
      </w:r>
      <w:r w:rsidR="00AA24ED">
        <w:t xml:space="preserve"> (</w:t>
      </w:r>
      <w:r w:rsidR="00AA24ED" w:rsidRPr="006A68E0">
        <w:t>Superannuation tax structure</w:t>
      </w:r>
      <w:r w:rsidR="00AA24ED">
        <w:t>)</w:t>
      </w:r>
      <w:r>
        <w:t>—Financial implications (outturn prices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0" w:type="pct"/>
        <w:tblLayout w:type="fixed"/>
        <w:tblLook w:val="0680" w:firstRow="0" w:lastRow="0" w:firstColumn="1" w:lastColumn="0" w:noHBand="1" w:noVBand="1"/>
      </w:tblPr>
      <w:tblGrid>
        <w:gridCol w:w="1386"/>
        <w:gridCol w:w="982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1061"/>
      </w:tblGrid>
      <w:tr w:rsidR="00071F2C" w:rsidTr="0016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"/>
              <w:ind w:left="-57" w:right="-57"/>
            </w:pPr>
            <w:r>
              <w:t>($m)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2016–17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2017–18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2018–19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2019–20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2019–20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2020–21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2021–22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2022–23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2023–24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2024–25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2025–26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2026–27</w:t>
            </w:r>
          </w:p>
        </w:tc>
        <w:tc>
          <w:tcPr>
            <w:tcW w:w="373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2026–27</w:t>
            </w:r>
          </w:p>
        </w:tc>
      </w:tr>
      <w:tr w:rsidR="00071F2C" w:rsidTr="0016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071F2C" w:rsidRPr="004C666A" w:rsidRDefault="00071F2C" w:rsidP="0016434F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>
              <w:rPr>
                <w:b w:val="0"/>
              </w:rPr>
              <w:t>Revenue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</w:t>
            </w:r>
            <w:r>
              <w:t>19</w:t>
            </w:r>
            <w:r w:rsidRPr="004C666A">
              <w:t>,</w:t>
            </w:r>
            <w:r>
              <w:t>00</w:t>
            </w:r>
            <w:r w:rsidRPr="004C666A">
              <w:t>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-2</w:t>
            </w:r>
            <w:r>
              <w:t>2</w:t>
            </w:r>
            <w:r w:rsidRPr="004C666A">
              <w:t>,</w:t>
            </w:r>
            <w:r>
              <w:t>0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-2</w:t>
            </w:r>
            <w:r>
              <w:t>4</w:t>
            </w:r>
            <w:r w:rsidRPr="004C666A">
              <w:t>,</w:t>
            </w:r>
            <w:r>
              <w:t>0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071F2C" w:rsidRPr="00EB54D9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54D9">
              <w:rPr>
                <w:b/>
              </w:rPr>
              <w:t>-</w:t>
            </w:r>
            <w:r>
              <w:rPr>
                <w:b/>
              </w:rPr>
              <w:t>65</w:t>
            </w:r>
            <w:r w:rsidRPr="00EB54D9">
              <w:rPr>
                <w:b/>
              </w:rPr>
              <w:t>,</w:t>
            </w:r>
            <w:r>
              <w:rPr>
                <w:b/>
              </w:rPr>
              <w:t>00</w:t>
            </w:r>
            <w:r w:rsidRPr="00EB54D9">
              <w:rPr>
                <w:b/>
              </w:rPr>
              <w:t>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-2</w:t>
            </w:r>
            <w:r>
              <w:t>5</w:t>
            </w:r>
            <w:r w:rsidRPr="004C666A">
              <w:t>,</w:t>
            </w:r>
            <w:r>
              <w:t>0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-2</w:t>
            </w:r>
            <w:r>
              <w:t>7</w:t>
            </w:r>
            <w:r w:rsidRPr="004C666A">
              <w:t>,</w:t>
            </w:r>
            <w:r>
              <w:t>0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-2</w:t>
            </w:r>
            <w:r>
              <w:t>8</w:t>
            </w:r>
            <w:r w:rsidRPr="004C666A">
              <w:t>,</w:t>
            </w:r>
            <w:r>
              <w:t>0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</w:t>
            </w:r>
            <w:r>
              <w:t>30</w:t>
            </w:r>
            <w:r w:rsidRPr="004C666A">
              <w:t>,</w:t>
            </w:r>
            <w:r>
              <w:t>0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C666A">
              <w:t>-</w:t>
            </w:r>
            <w:r>
              <w:t>32</w:t>
            </w:r>
            <w:r w:rsidRPr="004C666A">
              <w:t>,</w:t>
            </w:r>
            <w:r>
              <w:t>0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-3</w:t>
            </w:r>
            <w:r>
              <w:t>5</w:t>
            </w:r>
            <w:r w:rsidRPr="004C666A">
              <w:t>,</w:t>
            </w:r>
            <w:r>
              <w:t>0</w:t>
            </w:r>
            <w:r w:rsidRPr="004C666A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666A">
              <w:t>-3</w:t>
            </w:r>
            <w:r>
              <w:t>7</w:t>
            </w:r>
            <w:r w:rsidRPr="004C666A">
              <w:t>,</w:t>
            </w:r>
            <w:r>
              <w:t>0</w:t>
            </w:r>
            <w:r w:rsidRPr="004C666A">
              <w:t>00</w:t>
            </w:r>
          </w:p>
        </w:tc>
        <w:tc>
          <w:tcPr>
            <w:tcW w:w="373" w:type="pct"/>
            <w:vAlign w:val="center"/>
          </w:tcPr>
          <w:p w:rsidR="00071F2C" w:rsidRPr="00EB54D9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54D9">
              <w:rPr>
                <w:b/>
              </w:rPr>
              <w:t>-2</w:t>
            </w:r>
            <w:r>
              <w:rPr>
                <w:b/>
              </w:rPr>
              <w:t>79</w:t>
            </w:r>
            <w:r w:rsidRPr="00EB54D9">
              <w:rPr>
                <w:b/>
              </w:rPr>
              <w:t>,</w:t>
            </w:r>
            <w:r>
              <w:rPr>
                <w:b/>
              </w:rPr>
              <w:t>00</w:t>
            </w:r>
            <w:r w:rsidRPr="00EB54D9">
              <w:rPr>
                <w:b/>
              </w:rPr>
              <w:t>0</w:t>
            </w:r>
          </w:p>
        </w:tc>
      </w:tr>
      <w:tr w:rsidR="00071F2C" w:rsidTr="0016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071F2C" w:rsidRPr="004C666A" w:rsidRDefault="00071F2C" w:rsidP="0016434F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>
              <w:rPr>
                <w:b w:val="0"/>
              </w:rPr>
              <w:t>Departmental expenses - ATO</w:t>
            </w:r>
          </w:p>
        </w:tc>
        <w:tc>
          <w:tcPr>
            <w:tcW w:w="345" w:type="pct"/>
            <w:vAlign w:val="center"/>
          </w:tcPr>
          <w:p w:rsidR="00071F2C" w:rsidRPr="006C3668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AA07FD">
              <w:t>-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-10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EB54D9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54D9">
              <w:rPr>
                <w:b/>
              </w:rPr>
              <w:t>-10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73" w:type="pct"/>
            <w:vAlign w:val="center"/>
          </w:tcPr>
          <w:p w:rsidR="00071F2C" w:rsidRPr="00EB54D9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54D9">
              <w:rPr>
                <w:b/>
              </w:rPr>
              <w:t>-10</w:t>
            </w:r>
          </w:p>
        </w:tc>
      </w:tr>
      <w:tr w:rsidR="00071F2C" w:rsidTr="0016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Text"/>
              <w:keepNext/>
              <w:keepLines/>
              <w:ind w:left="-57" w:right="-57"/>
            </w:pPr>
            <w:r>
              <w:t>Total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-19,010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-22,000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-24,000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-65,010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-25,000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-27,000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-28,000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-30,000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-32,000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-35,000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-37,000</w:t>
            </w:r>
          </w:p>
        </w:tc>
        <w:tc>
          <w:tcPr>
            <w:tcW w:w="373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-279,010</w:t>
            </w:r>
          </w:p>
        </w:tc>
      </w:tr>
    </w:tbl>
    <w:p w:rsidR="00071F2C" w:rsidRDefault="00071F2C" w:rsidP="00171816">
      <w:pPr>
        <w:pStyle w:val="TableFootnotes"/>
        <w:keepNext/>
        <w:numPr>
          <w:ilvl w:val="0"/>
          <w:numId w:val="55"/>
        </w:numPr>
        <w:ind w:left="284" w:hanging="284"/>
      </w:pPr>
      <w:r>
        <w:t>A positive number indicates an increase in revenue or decrease in expenses or net capital investment in accrual and cash terms.  A negative number indicates a decrease in revenue or an increase in expenses or net capital investment in accrual and cash terms.</w:t>
      </w:r>
    </w:p>
    <w:p w:rsidR="00071F2C" w:rsidRPr="002D239A" w:rsidRDefault="00071F2C" w:rsidP="00171816">
      <w:pPr>
        <w:pStyle w:val="TableFootnotes"/>
        <w:keepNext/>
        <w:ind w:left="284" w:hanging="284"/>
      </w:pPr>
      <w:r>
        <w:t>Figures may not sum to totals due to rounding.</w:t>
      </w:r>
    </w:p>
    <w:p w:rsidR="00071F2C" w:rsidRDefault="00071F2C" w:rsidP="00071F2C">
      <w:pPr>
        <w:pStyle w:val="TableFootnotes"/>
        <w:keepNext/>
        <w:numPr>
          <w:ilvl w:val="0"/>
          <w:numId w:val="0"/>
        </w:numPr>
        <w:ind w:left="284" w:hanging="284"/>
      </w:pPr>
      <w:r>
        <w:t>..</w:t>
      </w:r>
      <w:r>
        <w:tab/>
        <w:t>Not zero but rounded to zero.</w:t>
      </w:r>
    </w:p>
    <w:p w:rsidR="00071F2C" w:rsidRDefault="00071F2C" w:rsidP="00071F2C">
      <w:pPr>
        <w:pStyle w:val="TableFootnotes"/>
        <w:keepLines w:val="0"/>
        <w:numPr>
          <w:ilvl w:val="0"/>
          <w:numId w:val="44"/>
        </w:numPr>
        <w:ind w:left="284" w:hanging="284"/>
      </w:pPr>
      <w:r>
        <w:t>Indicates nil.</w:t>
      </w:r>
    </w:p>
    <w:p w:rsidR="00071F2C" w:rsidRPr="009961B4" w:rsidRDefault="00071F2C" w:rsidP="00071F2C">
      <w:pPr>
        <w:pStyle w:val="Caption"/>
        <w:keepLines/>
        <w:rPr>
          <w:vertAlign w:val="superscript"/>
        </w:rPr>
      </w:pPr>
      <w:r w:rsidRPr="002D239A">
        <w:t xml:space="preserve">Table </w:t>
      </w:r>
      <w:r w:rsidR="00690626">
        <w:fldChar w:fldCharType="begin"/>
      </w:r>
      <w:r w:rsidR="00690626">
        <w:instrText xml:space="preserve"> STYLEREF 8 \s </w:instrText>
      </w:r>
      <w:r w:rsidR="00690626">
        <w:fldChar w:fldCharType="separate"/>
      </w:r>
      <w:r w:rsidR="007A6B7D">
        <w:rPr>
          <w:noProof/>
        </w:rPr>
        <w:t>A</w:t>
      </w:r>
      <w:r w:rsidR="00690626">
        <w:rPr>
          <w:noProof/>
        </w:rPr>
        <w:fldChar w:fldCharType="end"/>
      </w:r>
      <w:r w:rsidR="003266B7">
        <w:rPr>
          <w:noProof/>
        </w:rPr>
        <w:t>3</w:t>
      </w:r>
      <w:r w:rsidRPr="002D239A">
        <w:t xml:space="preserve">: </w:t>
      </w:r>
      <w:r>
        <w:t>Savings account – Component 2</w:t>
      </w:r>
      <w:r w:rsidR="00AA24ED">
        <w:t xml:space="preserve"> (</w:t>
      </w:r>
      <w:r w:rsidR="00BB0E1F">
        <w:t>Tax-</w:t>
      </w:r>
      <w:r w:rsidR="00AA24ED" w:rsidRPr="00AA24ED">
        <w:t>free withdrawals from superannuation</w:t>
      </w:r>
      <w:r w:rsidR="00AA24ED">
        <w:t>)</w:t>
      </w:r>
      <w:r>
        <w:t>—Financial implications (outturn prices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0" w:type="pct"/>
        <w:tblLayout w:type="fixed"/>
        <w:tblLook w:val="0680" w:firstRow="0" w:lastRow="0" w:firstColumn="1" w:lastColumn="0" w:noHBand="1" w:noVBand="1"/>
      </w:tblPr>
      <w:tblGrid>
        <w:gridCol w:w="1386"/>
        <w:gridCol w:w="982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1061"/>
      </w:tblGrid>
      <w:tr w:rsidR="00071F2C" w:rsidTr="0016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"/>
              <w:ind w:left="-57" w:right="-57"/>
            </w:pPr>
            <w:r>
              <w:t>($m)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2016–17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2017–18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2018–19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2019–20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2019–20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2020–21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2021–22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2022–23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2023–24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2024–25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2025–26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2026–27</w:t>
            </w:r>
          </w:p>
        </w:tc>
        <w:tc>
          <w:tcPr>
            <w:tcW w:w="373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2026–27</w:t>
            </w:r>
          </w:p>
        </w:tc>
      </w:tr>
      <w:tr w:rsidR="00071F2C" w:rsidTr="0016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071F2C" w:rsidRPr="004C666A" w:rsidRDefault="00071F2C" w:rsidP="0016434F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>
              <w:rPr>
                <w:b w:val="0"/>
              </w:rPr>
              <w:t>Revenue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5A45">
              <w:t>-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-400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-4</w:t>
            </w:r>
            <w:r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Pr="002D5A45">
              <w:t>500</w:t>
            </w:r>
          </w:p>
        </w:tc>
        <w:tc>
          <w:tcPr>
            <w:tcW w:w="345" w:type="pct"/>
            <w:vAlign w:val="center"/>
          </w:tcPr>
          <w:p w:rsidR="00071F2C" w:rsidRPr="00EB54D9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-1,3</w:t>
            </w:r>
            <w:r w:rsidRPr="00EB54D9">
              <w:rPr>
                <w:b/>
              </w:rPr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-5</w:t>
            </w:r>
            <w:r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-5</w:t>
            </w:r>
            <w:r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-6</w:t>
            </w:r>
            <w:r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-6</w:t>
            </w:r>
            <w:r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-6</w:t>
            </w:r>
            <w:r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-7</w:t>
            </w:r>
            <w:r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-7</w:t>
            </w:r>
            <w:r w:rsidRPr="002D5A45">
              <w:t>00</w:t>
            </w:r>
          </w:p>
        </w:tc>
        <w:tc>
          <w:tcPr>
            <w:tcW w:w="373" w:type="pct"/>
            <w:vAlign w:val="center"/>
          </w:tcPr>
          <w:p w:rsidR="00071F2C" w:rsidRPr="00EB54D9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-5,5</w:t>
            </w:r>
            <w:r w:rsidRPr="00EB54D9">
              <w:rPr>
                <w:b/>
              </w:rPr>
              <w:t>00</w:t>
            </w:r>
          </w:p>
        </w:tc>
      </w:tr>
      <w:tr w:rsidR="00071F2C" w:rsidTr="0016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Text"/>
              <w:keepNext/>
              <w:keepLines/>
              <w:ind w:left="-57" w:right="-57"/>
            </w:pPr>
            <w:r>
              <w:t>Total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-400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-400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-500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-1,300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-500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-500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-600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-600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-600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-700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-700</w:t>
            </w:r>
          </w:p>
        </w:tc>
        <w:tc>
          <w:tcPr>
            <w:tcW w:w="373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-5,500</w:t>
            </w:r>
          </w:p>
        </w:tc>
      </w:tr>
    </w:tbl>
    <w:p w:rsidR="00071F2C" w:rsidRDefault="00071F2C" w:rsidP="00171816">
      <w:pPr>
        <w:pStyle w:val="TableFootnotes"/>
        <w:keepNext/>
        <w:numPr>
          <w:ilvl w:val="0"/>
          <w:numId w:val="52"/>
        </w:numPr>
        <w:ind w:left="284" w:hanging="284"/>
      </w:pPr>
      <w:r>
        <w:t>A positive number indicates an increase in revenue or decrease in expenses or net capital investment in accrual and cash terms.  A negative number indicates a decrease in revenue or an increase in expenses or net capital investment in accrual and cash terms.</w:t>
      </w:r>
    </w:p>
    <w:p w:rsidR="00071F2C" w:rsidRPr="002D239A" w:rsidRDefault="00071F2C" w:rsidP="00171816">
      <w:pPr>
        <w:pStyle w:val="TableFootnotes"/>
        <w:keepNext/>
        <w:ind w:left="284" w:hanging="284"/>
      </w:pPr>
      <w:r>
        <w:t>Figures may not sum to totals due to rounding.</w:t>
      </w:r>
    </w:p>
    <w:p w:rsidR="00071F2C" w:rsidRDefault="00071F2C" w:rsidP="00071F2C">
      <w:pPr>
        <w:pStyle w:val="TableFootnotes"/>
        <w:keepLines w:val="0"/>
        <w:numPr>
          <w:ilvl w:val="0"/>
          <w:numId w:val="44"/>
        </w:numPr>
        <w:ind w:left="284" w:hanging="284"/>
      </w:pPr>
      <w:r>
        <w:t>Indicates nil.</w:t>
      </w:r>
    </w:p>
    <w:p w:rsidR="001772E6" w:rsidRDefault="001772E6" w:rsidP="00171816">
      <w:pPr>
        <w:pStyle w:val="TableFootnotes"/>
        <w:keepLines w:val="0"/>
        <w:numPr>
          <w:ilvl w:val="0"/>
          <w:numId w:val="0"/>
        </w:numPr>
        <w:ind w:left="284"/>
      </w:pPr>
    </w:p>
    <w:p w:rsidR="00071F2C" w:rsidRPr="009961B4" w:rsidRDefault="00071F2C" w:rsidP="00071F2C">
      <w:pPr>
        <w:pStyle w:val="Caption"/>
        <w:keepLines/>
        <w:rPr>
          <w:vertAlign w:val="superscript"/>
        </w:rPr>
      </w:pPr>
      <w:r w:rsidRPr="002D239A">
        <w:lastRenderedPageBreak/>
        <w:t xml:space="preserve">Table </w:t>
      </w:r>
      <w:r w:rsidR="00690626">
        <w:fldChar w:fldCharType="begin"/>
      </w:r>
      <w:r w:rsidR="00690626">
        <w:instrText xml:space="preserve"> STYLEREF 8 \s </w:instrText>
      </w:r>
      <w:r w:rsidR="00690626">
        <w:fldChar w:fldCharType="separate"/>
      </w:r>
      <w:r w:rsidR="007A6B7D">
        <w:rPr>
          <w:noProof/>
        </w:rPr>
        <w:t>A</w:t>
      </w:r>
      <w:r w:rsidR="00690626">
        <w:rPr>
          <w:noProof/>
        </w:rPr>
        <w:fldChar w:fldCharType="end"/>
      </w:r>
      <w:r w:rsidR="003266B7">
        <w:rPr>
          <w:noProof/>
        </w:rPr>
        <w:t>4</w:t>
      </w:r>
      <w:r w:rsidRPr="002D239A">
        <w:t xml:space="preserve">: </w:t>
      </w:r>
      <w:r>
        <w:t>Savings account – Component 3</w:t>
      </w:r>
      <w:r w:rsidR="00AA24ED">
        <w:t xml:space="preserve"> (</w:t>
      </w:r>
      <w:r w:rsidR="00AA24ED" w:rsidRPr="00AA24ED">
        <w:t>Government payment changes</w:t>
      </w:r>
      <w:r w:rsidR="00AA24ED">
        <w:t>)</w:t>
      </w:r>
      <w:r>
        <w:t>—Financial implications (outturn prices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0" w:type="pct"/>
        <w:tblLayout w:type="fixed"/>
        <w:tblLook w:val="0680" w:firstRow="0" w:lastRow="0" w:firstColumn="1" w:lastColumn="0" w:noHBand="1" w:noVBand="1"/>
      </w:tblPr>
      <w:tblGrid>
        <w:gridCol w:w="1386"/>
        <w:gridCol w:w="982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1061"/>
      </w:tblGrid>
      <w:tr w:rsidR="00071F2C" w:rsidTr="0016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"/>
              <w:ind w:left="-57" w:right="-57"/>
            </w:pPr>
            <w:r>
              <w:t>($m)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2016–17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2017–18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2018–19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2019–20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2019–20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2020–21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2021–22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2022–23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2023–24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2024–25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2025–26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7B57C9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2026–27</w:t>
            </w:r>
          </w:p>
        </w:tc>
        <w:tc>
          <w:tcPr>
            <w:tcW w:w="373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HeadingRight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to 2026–27</w:t>
            </w:r>
          </w:p>
        </w:tc>
      </w:tr>
      <w:tr w:rsidR="00071F2C" w:rsidTr="0016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071F2C" w:rsidRPr="004C666A" w:rsidRDefault="00071F2C" w:rsidP="0016434F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>
              <w:rPr>
                <w:b w:val="0"/>
              </w:rPr>
              <w:t>Administered expenses - DSS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5A45">
              <w:t>-</w:t>
            </w:r>
          </w:p>
        </w:tc>
        <w:tc>
          <w:tcPr>
            <w:tcW w:w="345" w:type="pct"/>
            <w:vAlign w:val="center"/>
          </w:tcPr>
          <w:p w:rsidR="00071F2C" w:rsidRPr="004C666A" w:rsidRDefault="00951CC9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</w:t>
            </w:r>
            <w:r w:rsidR="00071F2C">
              <w:t>,</w:t>
            </w:r>
            <w:r>
              <w:t>0</w:t>
            </w:r>
            <w:r w:rsidR="00071F2C"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D5A45">
              <w:t>10,</w:t>
            </w:r>
            <w:r w:rsidR="00951CC9">
              <w:t>5</w:t>
            </w:r>
            <w:r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951CC9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  <w:r w:rsidR="00071F2C" w:rsidRPr="002D5A45">
              <w:t>,500</w:t>
            </w:r>
          </w:p>
        </w:tc>
        <w:tc>
          <w:tcPr>
            <w:tcW w:w="345" w:type="pct"/>
            <w:vAlign w:val="center"/>
          </w:tcPr>
          <w:p w:rsidR="00071F2C" w:rsidRPr="00EB54D9" w:rsidRDefault="00951CC9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33</w:t>
            </w:r>
            <w:r w:rsidR="00071F2C" w:rsidRPr="00EB54D9">
              <w:rPr>
                <w:b/>
              </w:rPr>
              <w:t>,000</w:t>
            </w:r>
          </w:p>
        </w:tc>
        <w:tc>
          <w:tcPr>
            <w:tcW w:w="345" w:type="pct"/>
            <w:vAlign w:val="center"/>
          </w:tcPr>
          <w:p w:rsidR="00071F2C" w:rsidRPr="004C666A" w:rsidRDefault="00951CC9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071F2C" w:rsidRPr="002D5A45">
              <w:t>,</w:t>
            </w:r>
            <w:r>
              <w:t>0</w:t>
            </w:r>
            <w:r w:rsidR="00071F2C"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951CC9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071F2C" w:rsidRPr="002D5A45">
              <w:t>,</w:t>
            </w:r>
            <w:r>
              <w:t>0</w:t>
            </w:r>
            <w:r w:rsidR="00071F2C"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951CC9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071F2C" w:rsidRPr="002D5A45">
              <w:t>,</w:t>
            </w:r>
            <w:r>
              <w:t>5</w:t>
            </w:r>
            <w:r w:rsidR="00071F2C"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951CC9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</w:t>
            </w:r>
            <w:r w:rsidR="00071F2C" w:rsidRPr="002D5A45">
              <w:t>,</w:t>
            </w:r>
            <w:r>
              <w:t>5</w:t>
            </w:r>
            <w:r w:rsidR="00071F2C"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951CC9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t>6</w:t>
            </w:r>
            <w:r w:rsidR="00071F2C" w:rsidRPr="002D5A45">
              <w:t>,</w:t>
            </w:r>
            <w:r w:rsidR="00071F2C">
              <w:t>0</w:t>
            </w:r>
            <w:r w:rsidR="00071F2C"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951CC9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071F2C" w:rsidRPr="002D5A45">
              <w:t>,</w:t>
            </w:r>
            <w:r>
              <w:t>0</w:t>
            </w:r>
            <w:r w:rsidR="00071F2C" w:rsidRPr="002D5A45">
              <w:t>00</w:t>
            </w:r>
          </w:p>
        </w:tc>
        <w:tc>
          <w:tcPr>
            <w:tcW w:w="345" w:type="pct"/>
            <w:vAlign w:val="center"/>
          </w:tcPr>
          <w:p w:rsidR="00071F2C" w:rsidRPr="004C666A" w:rsidRDefault="00951CC9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  <w:r w:rsidR="00071F2C" w:rsidRPr="002D5A45">
              <w:t>,</w:t>
            </w:r>
            <w:r w:rsidR="00071F2C">
              <w:t>5</w:t>
            </w:r>
            <w:r w:rsidR="00071F2C" w:rsidRPr="002D5A45">
              <w:t>00</w:t>
            </w:r>
          </w:p>
        </w:tc>
        <w:tc>
          <w:tcPr>
            <w:tcW w:w="373" w:type="pct"/>
            <w:vAlign w:val="center"/>
          </w:tcPr>
          <w:p w:rsidR="00071F2C" w:rsidRPr="00EB54D9" w:rsidRDefault="00951CC9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  <w:r w:rsidR="00071F2C">
              <w:rPr>
                <w:b/>
              </w:rPr>
              <w:t>3</w:t>
            </w:r>
            <w:r w:rsidR="00071F2C" w:rsidRPr="00EB54D9">
              <w:rPr>
                <w:b/>
              </w:rPr>
              <w:t>,</w:t>
            </w:r>
            <w:r>
              <w:rPr>
                <w:b/>
              </w:rPr>
              <w:t>5</w:t>
            </w:r>
            <w:r w:rsidR="00071F2C" w:rsidRPr="00EB54D9">
              <w:rPr>
                <w:b/>
              </w:rPr>
              <w:t>00</w:t>
            </w:r>
          </w:p>
        </w:tc>
      </w:tr>
      <w:tr w:rsidR="00071F2C" w:rsidTr="0016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vAlign w:val="center"/>
          </w:tcPr>
          <w:p w:rsidR="00071F2C" w:rsidRPr="004C666A" w:rsidRDefault="00071F2C" w:rsidP="0016434F">
            <w:pPr>
              <w:pStyle w:val="TableText"/>
              <w:keepNext/>
              <w:keepLines/>
              <w:ind w:left="-57" w:right="-57"/>
              <w:rPr>
                <w:b w:val="0"/>
              </w:rPr>
            </w:pPr>
            <w:r>
              <w:rPr>
                <w:b w:val="0"/>
              </w:rPr>
              <w:t>Departmental expenses - DHS</w:t>
            </w:r>
          </w:p>
        </w:tc>
        <w:tc>
          <w:tcPr>
            <w:tcW w:w="345" w:type="pct"/>
            <w:vAlign w:val="center"/>
          </w:tcPr>
          <w:p w:rsidR="00071F2C" w:rsidRPr="006C3668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  <w:r w:rsidRPr="00AA07FD">
              <w:t>-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Pr="00AA07FD">
              <w:t>10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</w:t>
            </w:r>
            <w:r w:rsidRPr="00AA07FD">
              <w:t>10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EB54D9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Pr="00EB54D9">
              <w:rPr>
                <w:b/>
              </w:rPr>
              <w:t>20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45" w:type="pct"/>
            <w:vAlign w:val="center"/>
          </w:tcPr>
          <w:p w:rsidR="00071F2C" w:rsidRPr="002D5A45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7FD">
              <w:t>..</w:t>
            </w:r>
          </w:p>
        </w:tc>
        <w:tc>
          <w:tcPr>
            <w:tcW w:w="373" w:type="pct"/>
            <w:vAlign w:val="center"/>
          </w:tcPr>
          <w:p w:rsidR="00071F2C" w:rsidRPr="00EB54D9" w:rsidRDefault="00071F2C" w:rsidP="0016434F">
            <w:pPr>
              <w:pStyle w:val="TableTextRightItalic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  <w:r w:rsidRPr="00EB54D9">
              <w:rPr>
                <w:b/>
              </w:rPr>
              <w:t>20</w:t>
            </w:r>
          </w:p>
        </w:tc>
      </w:tr>
      <w:tr w:rsidR="00071F2C" w:rsidTr="001643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pct"/>
            <w:shd w:val="clear" w:color="auto" w:fill="D7DDE9" w:themeFill="accent3"/>
            <w:vAlign w:val="center"/>
          </w:tcPr>
          <w:p w:rsidR="00071F2C" w:rsidRPr="002D239A" w:rsidRDefault="00071F2C" w:rsidP="0016434F">
            <w:pPr>
              <w:pStyle w:val="TableText"/>
              <w:keepNext/>
              <w:keepLines/>
              <w:ind w:left="-57" w:right="-57"/>
            </w:pPr>
            <w:r>
              <w:t>Total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071F2C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951CC9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14</w:t>
            </w:r>
            <w:r w:rsidR="00071F2C">
              <w:rPr>
                <w:b/>
              </w:rPr>
              <w:t>,</w:t>
            </w:r>
            <w:r>
              <w:rPr>
                <w:b/>
              </w:rPr>
              <w:t>9</w:t>
            </w:r>
            <w:r w:rsidR="00071F2C">
              <w:rPr>
                <w:b/>
              </w:rPr>
              <w:t>90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951CC9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10</w:t>
            </w:r>
            <w:r w:rsidR="00071F2C">
              <w:rPr>
                <w:b/>
              </w:rPr>
              <w:t>,</w:t>
            </w:r>
            <w:r>
              <w:rPr>
                <w:b/>
              </w:rPr>
              <w:t>4</w:t>
            </w:r>
            <w:r w:rsidR="00071F2C">
              <w:rPr>
                <w:b/>
              </w:rPr>
              <w:t>90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951CC9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</w:t>
            </w:r>
            <w:r w:rsidR="00071F2C">
              <w:rPr>
                <w:b/>
              </w:rPr>
              <w:t>,500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951CC9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32</w:t>
            </w:r>
            <w:r w:rsidR="00071F2C">
              <w:rPr>
                <w:b/>
              </w:rPr>
              <w:t>,980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951CC9" w:rsidP="00071F2C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  <w:r w:rsidR="00071F2C">
              <w:rPr>
                <w:b/>
              </w:rPr>
              <w:t>,</w:t>
            </w:r>
            <w:r>
              <w:rPr>
                <w:b/>
              </w:rPr>
              <w:t>0</w:t>
            </w:r>
            <w:r w:rsidR="00071F2C"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951CC9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  <w:r w:rsidR="00071F2C">
              <w:rPr>
                <w:b/>
              </w:rPr>
              <w:t>,</w:t>
            </w:r>
            <w:r>
              <w:rPr>
                <w:b/>
              </w:rPr>
              <w:t>0</w:t>
            </w:r>
            <w:r w:rsidR="00071F2C"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951CC9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  <w:r w:rsidR="00071F2C">
              <w:rPr>
                <w:b/>
              </w:rPr>
              <w:t>,</w:t>
            </w:r>
            <w:r>
              <w:rPr>
                <w:b/>
              </w:rPr>
              <w:t>5</w:t>
            </w:r>
            <w:r w:rsidR="00071F2C"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951CC9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  <w:r w:rsidR="00071F2C">
              <w:rPr>
                <w:b/>
              </w:rPr>
              <w:t>,</w:t>
            </w:r>
            <w:r>
              <w:rPr>
                <w:b/>
              </w:rPr>
              <w:t>5</w:t>
            </w:r>
            <w:r w:rsidR="00071F2C"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951CC9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  <w:r w:rsidR="00071F2C">
              <w:rPr>
                <w:b/>
              </w:rPr>
              <w:t>,000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951CC9" w:rsidP="00071F2C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  <w:r w:rsidR="00071F2C">
              <w:rPr>
                <w:b/>
              </w:rPr>
              <w:t>,</w:t>
            </w:r>
            <w:r>
              <w:rPr>
                <w:b/>
              </w:rPr>
              <w:t>0</w:t>
            </w:r>
            <w:r w:rsidR="00071F2C">
              <w:rPr>
                <w:b/>
              </w:rPr>
              <w:t>00</w:t>
            </w:r>
          </w:p>
        </w:tc>
        <w:tc>
          <w:tcPr>
            <w:tcW w:w="345" w:type="pct"/>
            <w:shd w:val="clear" w:color="auto" w:fill="D7DDE9" w:themeFill="accent3"/>
            <w:vAlign w:val="center"/>
          </w:tcPr>
          <w:p w:rsidR="00071F2C" w:rsidRPr="008D77AF" w:rsidRDefault="00951CC9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  <w:r w:rsidR="00071F2C">
              <w:rPr>
                <w:b/>
              </w:rPr>
              <w:t>,500</w:t>
            </w:r>
          </w:p>
        </w:tc>
        <w:tc>
          <w:tcPr>
            <w:tcW w:w="373" w:type="pct"/>
            <w:shd w:val="clear" w:color="auto" w:fill="D7DDE9" w:themeFill="accent3"/>
            <w:vAlign w:val="center"/>
          </w:tcPr>
          <w:p w:rsidR="00071F2C" w:rsidRPr="008D77AF" w:rsidRDefault="00951CC9" w:rsidP="0016434F">
            <w:pPr>
              <w:pStyle w:val="TableText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73</w:t>
            </w:r>
            <w:r w:rsidR="00071F2C">
              <w:rPr>
                <w:b/>
              </w:rPr>
              <w:t>,</w:t>
            </w:r>
            <w:r>
              <w:rPr>
                <w:b/>
              </w:rPr>
              <w:t>4</w:t>
            </w:r>
            <w:r w:rsidR="00071F2C">
              <w:rPr>
                <w:b/>
              </w:rPr>
              <w:t>80</w:t>
            </w:r>
          </w:p>
        </w:tc>
      </w:tr>
    </w:tbl>
    <w:p w:rsidR="00071F2C" w:rsidRDefault="00071F2C" w:rsidP="00171816">
      <w:pPr>
        <w:pStyle w:val="TableFootnotes"/>
        <w:keepNext/>
        <w:numPr>
          <w:ilvl w:val="0"/>
          <w:numId w:val="56"/>
        </w:numPr>
        <w:ind w:left="284" w:hanging="284"/>
      </w:pPr>
      <w:r>
        <w:t>A positive number indicates an increase in revenue or decrease in expenses or net capital investment in accrual and cash terms.  A negative number indicates a decrease in revenue or an increase in expenses or net capital investment in accrual and cash terms.</w:t>
      </w:r>
    </w:p>
    <w:p w:rsidR="00071F2C" w:rsidRPr="002D239A" w:rsidRDefault="00071F2C" w:rsidP="00171816">
      <w:pPr>
        <w:pStyle w:val="TableFootnotes"/>
        <w:keepNext/>
        <w:ind w:left="284" w:hanging="284"/>
      </w:pPr>
      <w:r>
        <w:t>Figures may not sum to totals due to rounding.</w:t>
      </w:r>
    </w:p>
    <w:p w:rsidR="00071F2C" w:rsidRDefault="00071F2C" w:rsidP="00071F2C">
      <w:pPr>
        <w:pStyle w:val="TableFootnotes"/>
        <w:keepNext/>
        <w:numPr>
          <w:ilvl w:val="0"/>
          <w:numId w:val="0"/>
        </w:numPr>
        <w:ind w:left="284" w:hanging="284"/>
      </w:pPr>
      <w:r>
        <w:t>..</w:t>
      </w:r>
      <w:r>
        <w:tab/>
        <w:t>Not zero but rounded to zero.</w:t>
      </w:r>
    </w:p>
    <w:p w:rsidR="00071F2C" w:rsidRDefault="00071F2C" w:rsidP="00071F2C">
      <w:pPr>
        <w:pStyle w:val="TableFootnotes"/>
        <w:keepLines w:val="0"/>
        <w:numPr>
          <w:ilvl w:val="0"/>
          <w:numId w:val="44"/>
        </w:numPr>
        <w:ind w:left="284" w:hanging="284"/>
      </w:pPr>
      <w:r>
        <w:t>Indicates nil.</w:t>
      </w:r>
    </w:p>
    <w:p w:rsidR="00071F2C" w:rsidRDefault="00071F2C" w:rsidP="00171816">
      <w:pPr>
        <w:pStyle w:val="TableFootnotes"/>
        <w:keepLines w:val="0"/>
        <w:numPr>
          <w:ilvl w:val="0"/>
          <w:numId w:val="0"/>
        </w:numPr>
        <w:ind w:left="284"/>
      </w:pPr>
    </w:p>
    <w:sectPr w:rsidR="00071F2C" w:rsidSect="001E33C2">
      <w:headerReference w:type="even" r:id="rId13"/>
      <w:footerReference w:type="even" r:id="rId14"/>
      <w:headerReference w:type="first" r:id="rId15"/>
      <w:footerReference w:type="first" r:id="rId16"/>
      <w:pgSz w:w="16839" w:h="11907" w:orient="landscape" w:code="9"/>
      <w:pgMar w:top="1797" w:right="1361" w:bottom="1797" w:left="1474" w:header="283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B7D" w:rsidRDefault="007A6B7D" w:rsidP="00A20802">
      <w:pPr>
        <w:spacing w:line="240" w:lineRule="auto"/>
      </w:pPr>
      <w:r>
        <w:separator/>
      </w:r>
    </w:p>
    <w:p w:rsidR="007A6B7D" w:rsidRDefault="007A6B7D"/>
  </w:endnote>
  <w:endnote w:type="continuationSeparator" w:id="0">
    <w:p w:rsidR="007A6B7D" w:rsidRDefault="007A6B7D" w:rsidP="00A20802">
      <w:pPr>
        <w:spacing w:line="240" w:lineRule="auto"/>
      </w:pPr>
      <w:r>
        <w:continuationSeparator/>
      </w:r>
    </w:p>
    <w:p w:rsidR="007A6B7D" w:rsidRDefault="007A6B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DC8" w:rsidRDefault="007A6B7D" w:rsidP="00CF6DC8">
    <w:pPr>
      <w:pStyle w:val="Footer"/>
      <w:ind w:left="7286" w:hanging="3714"/>
      <w:jc w:val="right"/>
      <w:rPr>
        <w:rStyle w:val="FooterChar"/>
        <w:b/>
      </w:rPr>
    </w:pP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690626">
      <w:rPr>
        <w:rStyle w:val="FooterChar"/>
        <w:b/>
        <w:noProof/>
      </w:rPr>
      <w:t>2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CF6DC8">
      <w:rPr>
        <w:rStyle w:val="FooterChar"/>
        <w:b/>
      </w:rPr>
      <w:t>8</w:t>
    </w:r>
  </w:p>
  <w:p w:rsidR="007A6B7D" w:rsidRPr="00690626" w:rsidRDefault="007A6B7D" w:rsidP="00482F63">
    <w:pPr>
      <w:pStyle w:val="Footer"/>
      <w:ind w:left="3714" w:hanging="3714"/>
      <w:jc w:val="center"/>
      <w:rPr>
        <w:rFonts w:ascii="Calibri" w:hAnsi="Calibri" w:cs="Arial"/>
        <w:strike/>
        <w:color w:val="FF0000"/>
        <w:sz w:val="40"/>
        <w:szCs w:val="40"/>
      </w:rPr>
    </w:pPr>
    <w:r w:rsidRPr="00690626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7D" w:rsidRDefault="007A6B7D" w:rsidP="00476133">
    <w:pPr>
      <w:pStyle w:val="Footer"/>
      <w:ind w:left="7286" w:hanging="3714"/>
      <w:jc w:val="right"/>
      <w:rPr>
        <w:rStyle w:val="FooterChar"/>
        <w:b/>
      </w:rPr>
    </w:pP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690626">
      <w:rPr>
        <w:rStyle w:val="FooterChar"/>
        <w:b/>
        <w:noProof/>
      </w:rPr>
      <w:t>1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 w:rsidR="00CF6DC8">
      <w:rPr>
        <w:rStyle w:val="FooterChar"/>
        <w:b/>
      </w:rPr>
      <w:t>8</w:t>
    </w:r>
  </w:p>
  <w:p w:rsidR="007A6B7D" w:rsidRPr="00690626" w:rsidRDefault="007A6B7D" w:rsidP="00EF0A00">
    <w:pPr>
      <w:pStyle w:val="Footer"/>
      <w:ind w:left="3714" w:hanging="3714"/>
      <w:jc w:val="center"/>
      <w:rPr>
        <w:rFonts w:ascii="Calibri" w:hAnsi="Calibri" w:cs="Arial"/>
        <w:strike/>
        <w:color w:val="FF0000"/>
        <w:sz w:val="40"/>
        <w:szCs w:val="40"/>
      </w:rPr>
    </w:pPr>
    <w:r w:rsidRPr="00690626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AsPlaceholder"/>
      <w:tblpPr w:bottomFromText="283" w:vertAnchor="page" w:horzAnchor="margin" w:tblpYSpec="bottom"/>
      <w:tblW w:w="8731" w:type="dxa"/>
      <w:tblLayout w:type="fixed"/>
      <w:tblCellMar>
        <w:top w:w="28" w:type="dxa"/>
      </w:tblCellMar>
      <w:tblLook w:val="04A0" w:firstRow="1" w:lastRow="0" w:firstColumn="1" w:lastColumn="0" w:noHBand="0" w:noVBand="1"/>
    </w:tblPr>
    <w:tblGrid>
      <w:gridCol w:w="567"/>
      <w:gridCol w:w="8164"/>
    </w:tblGrid>
    <w:tr w:rsidR="007A6B7D" w:rsidRPr="00EB388E" w:rsidTr="002D239A">
      <w:trPr>
        <w:trHeight w:val="340"/>
      </w:trPr>
      <w:tc>
        <w:tcPr>
          <w:tcW w:w="567" w:type="dxa"/>
          <w:tcBorders>
            <w:right w:val="single" w:sz="4" w:space="0" w:color="788184" w:themeColor="background2"/>
          </w:tcBorders>
          <w:vAlign w:val="center"/>
        </w:tcPr>
        <w:p w:rsidR="007A6B7D" w:rsidRPr="00CB70DF" w:rsidRDefault="007A6B7D" w:rsidP="002D239A">
          <w:pPr>
            <w:pStyle w:val="FooterLeftPageNumber"/>
            <w:framePr w:wrap="auto" w:vAnchor="margin" w:hAnchor="text" w:yAlign="inline"/>
          </w:pPr>
          <w:r w:rsidRPr="00EB388E">
            <w:fldChar w:fldCharType="begin"/>
          </w:r>
          <w:r w:rsidRPr="00EB388E">
            <w:instrText xml:space="preserve"> PAGE   \* MERGEFORMAT </w:instrText>
          </w:r>
          <w:r w:rsidRPr="00EB388E">
            <w:fldChar w:fldCharType="separate"/>
          </w:r>
          <w:r>
            <w:rPr>
              <w:noProof/>
            </w:rPr>
            <w:t>9</w:t>
          </w:r>
          <w:r w:rsidRPr="00EB388E">
            <w:fldChar w:fldCharType="end"/>
          </w:r>
        </w:p>
      </w:tc>
      <w:tc>
        <w:tcPr>
          <w:tcW w:w="8164" w:type="dxa"/>
          <w:tcBorders>
            <w:left w:val="single" w:sz="4" w:space="0" w:color="788184" w:themeColor="background2"/>
          </w:tcBorders>
          <w:vAlign w:val="center"/>
        </w:tcPr>
        <w:p w:rsidR="007A6B7D" w:rsidRPr="00CB70DF" w:rsidRDefault="007A6B7D" w:rsidP="002D239A">
          <w:pPr>
            <w:pStyle w:val="FooterLeft"/>
            <w:framePr w:wrap="auto" w:vAnchor="margin" w:hAnchor="text" w:yAlign="inline"/>
          </w:pPr>
          <w:r>
            <w:fldChar w:fldCharType="begin"/>
          </w:r>
          <w:r>
            <w:instrText xml:space="preserve"> STYLEREF  Title  \* MERGEFORMAT </w:instrText>
          </w:r>
          <w:r>
            <w:fldChar w:fldCharType="separate"/>
          </w:r>
          <w:r>
            <w:rPr>
              <w:b w:val="0"/>
              <w:bCs/>
              <w:noProof/>
              <w:lang w:val="en-US"/>
            </w:rPr>
            <w:t>Error! No text of specified style in document.</w:t>
          </w:r>
          <w:r>
            <w:rPr>
              <w:noProof/>
            </w:rPr>
            <w:fldChar w:fldCharType="end"/>
          </w:r>
        </w:p>
      </w:tc>
    </w:tr>
    <w:tr w:rsidR="007A6B7D" w:rsidRPr="00EB388E" w:rsidTr="002D239A">
      <w:trPr>
        <w:trHeight w:hRule="exact" w:val="403"/>
      </w:trPr>
      <w:tc>
        <w:tcPr>
          <w:tcW w:w="567" w:type="dxa"/>
          <w:tcMar>
            <w:bottom w:w="284" w:type="dxa"/>
          </w:tcMar>
        </w:tcPr>
        <w:p w:rsidR="007A6B7D" w:rsidRPr="00EB388E" w:rsidRDefault="007A6B7D" w:rsidP="002D239A">
          <w:pPr>
            <w:pStyle w:val="FooterRightPageNumber"/>
          </w:pPr>
        </w:p>
      </w:tc>
      <w:tc>
        <w:tcPr>
          <w:tcW w:w="8164" w:type="dxa"/>
          <w:tcMar>
            <w:bottom w:w="284" w:type="dxa"/>
          </w:tcMar>
        </w:tcPr>
        <w:p w:rsidR="007A6B7D" w:rsidRPr="00090E70" w:rsidRDefault="007A6B7D" w:rsidP="002D239A"/>
      </w:tc>
    </w:tr>
  </w:tbl>
  <w:p w:rsidR="007A6B7D" w:rsidRDefault="007A6B7D">
    <w:pPr>
      <w:pStyle w:val="Footer"/>
    </w:pPr>
  </w:p>
  <w:p w:rsidR="007A6B7D" w:rsidRPr="004816D7" w:rsidRDefault="007A6B7D" w:rsidP="0056001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7D" w:rsidRPr="0046444F" w:rsidRDefault="007A6B7D" w:rsidP="0046444F">
    <w:pPr>
      <w:pStyle w:val="Header"/>
      <w:spacing w:after="240"/>
      <w:ind w:left="7309" w:hanging="7309"/>
    </w:pPr>
    <w:r w:rsidRPr="0092572B">
      <w:rPr>
        <w:b/>
        <w:color w:val="FF0000"/>
        <w:sz w:val="28"/>
        <w:szCs w:val="28"/>
      </w:rPr>
      <w:t>Sensitive</w:t>
    </w:r>
    <w:r>
      <w:rPr>
        <w:b/>
        <w:color w:val="FF0000"/>
        <w:sz w:val="28"/>
        <w:szCs w:val="28"/>
      </w:rPr>
      <w:tab/>
    </w:r>
    <w:r w:rsidRPr="00D67648">
      <w:rPr>
        <w:rStyle w:val="FooterChar"/>
      </w:rPr>
      <w:t xml:space="preserve">Page </w:t>
    </w:r>
    <w:r w:rsidRPr="00D67648">
      <w:rPr>
        <w:rStyle w:val="FooterChar"/>
      </w:rPr>
      <w:fldChar w:fldCharType="begin"/>
    </w:r>
    <w:r w:rsidRPr="00D67648">
      <w:rPr>
        <w:rStyle w:val="FooterChar"/>
      </w:rPr>
      <w:instrText xml:space="preserve"> PAGE  \* Arabic  \* MERGEFORMAT </w:instrText>
    </w:r>
    <w:r w:rsidRPr="00D67648">
      <w:rPr>
        <w:rStyle w:val="FooterChar"/>
      </w:rPr>
      <w:fldChar w:fldCharType="separate"/>
    </w:r>
    <w:r>
      <w:rPr>
        <w:rStyle w:val="FooterChar"/>
        <w:noProof/>
      </w:rPr>
      <w:t>9</w:t>
    </w:r>
    <w:r w:rsidRPr="00D67648">
      <w:rPr>
        <w:rStyle w:val="FooterChar"/>
      </w:rPr>
      <w:fldChar w:fldCharType="end"/>
    </w:r>
    <w:r w:rsidRPr="00D67648">
      <w:rPr>
        <w:rStyle w:val="FooterChar"/>
      </w:rPr>
      <w:t xml:space="preserve"> of </w:t>
    </w:r>
    <w:r w:rsidRPr="00D67648">
      <w:rPr>
        <w:rStyle w:val="FooterChar"/>
      </w:rPr>
      <w:fldChar w:fldCharType="begin"/>
    </w:r>
    <w:r w:rsidRPr="00D67648">
      <w:rPr>
        <w:rStyle w:val="FooterChar"/>
      </w:rPr>
      <w:instrText xml:space="preserve"> NUMPAGES  \* Arabic  \* MERGEFORMAT </w:instrText>
    </w:r>
    <w:r w:rsidRPr="00D67648">
      <w:rPr>
        <w:rStyle w:val="FooterChar"/>
      </w:rPr>
      <w:fldChar w:fldCharType="separate"/>
    </w:r>
    <w:r>
      <w:rPr>
        <w:rStyle w:val="FooterChar"/>
        <w:noProof/>
      </w:rPr>
      <w:t>9</w:t>
    </w:r>
    <w:r w:rsidRPr="00D67648">
      <w:rPr>
        <w:rStyle w:val="FooterCha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B7D" w:rsidRPr="000557A7" w:rsidRDefault="007A6B7D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</w:footnote>
  <w:footnote w:type="continuationSeparator" w:id="0">
    <w:p w:rsidR="007A6B7D" w:rsidRDefault="007A6B7D" w:rsidP="00A20802">
      <w:pPr>
        <w:spacing w:line="240" w:lineRule="auto"/>
      </w:pPr>
      <w:r>
        <w:continuationSeparator/>
      </w:r>
    </w:p>
    <w:p w:rsidR="007A6B7D" w:rsidRDefault="007A6B7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C6C" w:rsidRPr="00690626" w:rsidRDefault="00653C6C" w:rsidP="00482F63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690626">
      <w:rPr>
        <w:rFonts w:ascii="Calibri" w:hAnsi="Calibri"/>
        <w:b/>
        <w:strike/>
        <w:color w:val="FF0000"/>
        <w:sz w:val="40"/>
        <w:szCs w:val="40"/>
      </w:rPr>
      <w:t>Sensitive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7D" w:rsidRPr="00690626" w:rsidRDefault="007A6B7D" w:rsidP="002C4DA6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690626">
      <w:rPr>
        <w:rFonts w:ascii="Calibri" w:hAnsi="Calibri"/>
        <w:b/>
        <w:strike/>
        <w:color w:val="FF0000"/>
        <w:sz w:val="40"/>
        <w:szCs w:val="40"/>
      </w:rPr>
      <w:t>Sensitive</w:t>
    </w:r>
  </w:p>
  <w:p w:rsidR="007A6B7D" w:rsidRPr="0046444F" w:rsidRDefault="007A6B7D" w:rsidP="0046444F">
    <w:pPr>
      <w:pStyle w:val="Header"/>
    </w:pPr>
    <w:r>
      <w:rPr>
        <w:noProof/>
        <w:lang w:eastAsia="en-AU"/>
      </w:rPr>
      <w:drawing>
        <wp:inline distT="0" distB="0" distL="0" distR="0" wp14:anchorId="43C3F4B1" wp14:editId="4F8F0F4E">
          <wp:extent cx="2696845" cy="572135"/>
          <wp:effectExtent l="0" t="0" r="8255" b="0"/>
          <wp:docPr id="20" name="Picture 20" title="Parliamentary Budget 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BO Logo inline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845" cy="572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7D" w:rsidRDefault="007A6B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3056" behindDoc="1" locked="1" layoutInCell="1" allowOverlap="1" wp14:anchorId="4FADB4BA" wp14:editId="55FB192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60000" cy="1796400"/>
              <wp:effectExtent l="0" t="0" r="0" b="0"/>
              <wp:wrapNone/>
              <wp:docPr id="25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17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6B7D" w:rsidRPr="0001226A" w:rsidRDefault="007A6B7D" w:rsidP="00F45442">
                          <w:pPr>
                            <w:pStyle w:val="xStatus"/>
                            <w:rPr>
                              <w:szCs w:val="1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0;margin-top:0;width:595.3pt;height:141.45pt;z-index:-2516234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" filled="f" stroked="f">
              <v:textbox>
                <w:txbxContent>
                  <w:p w:rsidR="007A6B7D" w:rsidRPr="0001226A" w:rsidRDefault="007A6B7D" w:rsidP="00F45442">
                    <w:pPr>
                      <w:pStyle w:val="xStatus"/>
                      <w:rPr>
                        <w:szCs w:val="120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B7D" w:rsidRDefault="007A6B7D" w:rsidP="0046444F">
    <w:pPr>
      <w:pStyle w:val="Header"/>
      <w:jc w:val="right"/>
      <w:rPr>
        <w:b/>
        <w:color w:val="FF0000"/>
        <w:sz w:val="28"/>
        <w:szCs w:val="28"/>
      </w:rPr>
    </w:pPr>
    <w:r w:rsidRPr="0092572B">
      <w:rPr>
        <w:b/>
        <w:color w:val="FF0000"/>
        <w:sz w:val="28"/>
        <w:szCs w:val="28"/>
      </w:rPr>
      <w:t>Sensitive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18303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>
    <w:nsid w:val="FFFFFF7F"/>
    <w:multiLevelType w:val="singleLevel"/>
    <w:tmpl w:val="4EB878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FFFFFF82"/>
    <w:multiLevelType w:val="singleLevel"/>
    <w:tmpl w:val="37844A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6E30B5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8"/>
    <w:multiLevelType w:val="singleLevel"/>
    <w:tmpl w:val="EFB6B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01905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68B37FE"/>
    <w:multiLevelType w:val="multilevel"/>
    <w:tmpl w:val="D1A2BED4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>
    <w:nsid w:val="0D745448"/>
    <w:multiLevelType w:val="multilevel"/>
    <w:tmpl w:val="9F868A2C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8">
    <w:nsid w:val="0FB2573F"/>
    <w:multiLevelType w:val="multilevel"/>
    <w:tmpl w:val="5E72CF88"/>
    <w:name w:val="TableFootnotes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9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10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D045EF"/>
    <w:multiLevelType w:val="multilevel"/>
    <w:tmpl w:val="D34CA96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position w:val="2"/>
        <w:sz w:val="16"/>
      </w:rPr>
    </w:lvl>
    <w:lvl w:ilvl="1">
      <w:start w:val="1"/>
      <w:numFmt w:val="bullet"/>
      <w:lvlText w:val=""/>
      <w:lvlJc w:val="left"/>
      <w:pPr>
        <w:tabs>
          <w:tab w:val="num" w:pos="851"/>
        </w:tabs>
        <w:ind w:left="851" w:hanging="426"/>
      </w:pPr>
      <w:rPr>
        <w:rFonts w:ascii="Webdings" w:hAnsi="Webdings" w:hint="default"/>
        <w:b w:val="0"/>
        <w:i w:val="0"/>
        <w:color w:val="auto"/>
        <w:position w:val="2"/>
        <w:sz w:val="18"/>
      </w:rPr>
    </w:lvl>
    <w:lvl w:ilvl="2">
      <w:start w:val="1"/>
      <w:numFmt w:val="bulle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  <w:b w:val="0"/>
        <w:i w:val="0"/>
        <w:spacing w:val="0"/>
        <w:w w:val="100"/>
        <w:position w:val="4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>
    <w:nsid w:val="38723AD4"/>
    <w:multiLevelType w:val="multilevel"/>
    <w:tmpl w:val="CC2400A2"/>
    <w:name w:val="PullOutBullets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47E149A4"/>
    <w:multiLevelType w:val="hybridMultilevel"/>
    <w:tmpl w:val="3D1A9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95101A"/>
    <w:multiLevelType w:val="hybridMultilevel"/>
    <w:tmpl w:val="DCDC95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0540A9"/>
    <w:multiLevelType w:val="multilevel"/>
    <w:tmpl w:val="E4D434E6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17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2B3B5F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19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>
    <w:abstractNumId w:val="16"/>
  </w:num>
  <w:num w:numId="2">
    <w:abstractNumId w:val="16"/>
  </w:num>
  <w:num w:numId="3">
    <w:abstractNumId w:val="16"/>
  </w:num>
  <w:num w:numId="4">
    <w:abstractNumId w:val="16"/>
  </w:num>
  <w:num w:numId="5">
    <w:abstractNumId w:val="5"/>
  </w:num>
  <w:num w:numId="6">
    <w:abstractNumId w:val="6"/>
  </w:num>
  <w:num w:numId="7">
    <w:abstractNumId w:val="3"/>
  </w:num>
  <w:num w:numId="8">
    <w:abstractNumId w:val="6"/>
  </w:num>
  <w:num w:numId="9">
    <w:abstractNumId w:val="2"/>
  </w:num>
  <w:num w:numId="10">
    <w:abstractNumId w:val="6"/>
  </w:num>
  <w:num w:numId="11">
    <w:abstractNumId w:val="4"/>
  </w:num>
  <w:num w:numId="12">
    <w:abstractNumId w:val="19"/>
  </w:num>
  <w:num w:numId="13">
    <w:abstractNumId w:val="1"/>
  </w:num>
  <w:num w:numId="14">
    <w:abstractNumId w:val="19"/>
  </w:num>
  <w:num w:numId="15">
    <w:abstractNumId w:val="0"/>
  </w:num>
  <w:num w:numId="16">
    <w:abstractNumId w:val="19"/>
  </w:num>
  <w:num w:numId="17">
    <w:abstractNumId w:val="13"/>
  </w:num>
  <w:num w:numId="18">
    <w:abstractNumId w:val="13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8"/>
  </w:num>
  <w:num w:numId="24">
    <w:abstractNumId w:val="18"/>
  </w:num>
  <w:num w:numId="25">
    <w:abstractNumId w:val="8"/>
  </w:num>
  <w:num w:numId="26">
    <w:abstractNumId w:val="9"/>
  </w:num>
  <w:num w:numId="27">
    <w:abstractNumId w:val="9"/>
  </w:num>
  <w:num w:numId="28">
    <w:abstractNumId w:val="9"/>
  </w:num>
  <w:num w:numId="29">
    <w:abstractNumId w:val="17"/>
  </w:num>
  <w:num w:numId="30">
    <w:abstractNumId w:val="17"/>
  </w:num>
  <w:num w:numId="31">
    <w:abstractNumId w:val="17"/>
  </w:num>
  <w:num w:numId="32">
    <w:abstractNumId w:val="11"/>
  </w:num>
  <w:num w:numId="33">
    <w:abstractNumId w:val="7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0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14"/>
  </w:num>
  <w:num w:numId="51">
    <w:abstractNumId w:val="15"/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2E0C5E"/>
    <w:rsid w:val="0000071C"/>
    <w:rsid w:val="0000322C"/>
    <w:rsid w:val="00003CDD"/>
    <w:rsid w:val="0001070D"/>
    <w:rsid w:val="0001406F"/>
    <w:rsid w:val="000168A7"/>
    <w:rsid w:val="00016D53"/>
    <w:rsid w:val="0002314F"/>
    <w:rsid w:val="000278D0"/>
    <w:rsid w:val="00027E62"/>
    <w:rsid w:val="000307C8"/>
    <w:rsid w:val="00030F73"/>
    <w:rsid w:val="000316E2"/>
    <w:rsid w:val="00035ADE"/>
    <w:rsid w:val="0004224B"/>
    <w:rsid w:val="00046226"/>
    <w:rsid w:val="000507B5"/>
    <w:rsid w:val="0005330D"/>
    <w:rsid w:val="000557A7"/>
    <w:rsid w:val="00055805"/>
    <w:rsid w:val="00056CB3"/>
    <w:rsid w:val="00060C2B"/>
    <w:rsid w:val="00066D54"/>
    <w:rsid w:val="00067A28"/>
    <w:rsid w:val="00071F2C"/>
    <w:rsid w:val="0007260F"/>
    <w:rsid w:val="0007488E"/>
    <w:rsid w:val="000805D5"/>
    <w:rsid w:val="0008103B"/>
    <w:rsid w:val="00085F97"/>
    <w:rsid w:val="00092A33"/>
    <w:rsid w:val="0009327D"/>
    <w:rsid w:val="000953A8"/>
    <w:rsid w:val="000973F9"/>
    <w:rsid w:val="000A2FEC"/>
    <w:rsid w:val="000A348F"/>
    <w:rsid w:val="000A57CD"/>
    <w:rsid w:val="000B25CD"/>
    <w:rsid w:val="000B6942"/>
    <w:rsid w:val="000C09FA"/>
    <w:rsid w:val="000C37A9"/>
    <w:rsid w:val="000C6728"/>
    <w:rsid w:val="000C702E"/>
    <w:rsid w:val="000D15E9"/>
    <w:rsid w:val="000D3182"/>
    <w:rsid w:val="000D45C4"/>
    <w:rsid w:val="000E18F3"/>
    <w:rsid w:val="000E266E"/>
    <w:rsid w:val="000F1515"/>
    <w:rsid w:val="000F16B5"/>
    <w:rsid w:val="000F616E"/>
    <w:rsid w:val="00110D43"/>
    <w:rsid w:val="001159EA"/>
    <w:rsid w:val="00117E79"/>
    <w:rsid w:val="00120A75"/>
    <w:rsid w:val="00125410"/>
    <w:rsid w:val="00130858"/>
    <w:rsid w:val="00133A62"/>
    <w:rsid w:val="00136C26"/>
    <w:rsid w:val="0014059F"/>
    <w:rsid w:val="00141551"/>
    <w:rsid w:val="001417CE"/>
    <w:rsid w:val="001433A0"/>
    <w:rsid w:val="0014479F"/>
    <w:rsid w:val="00146EAD"/>
    <w:rsid w:val="00152819"/>
    <w:rsid w:val="00154705"/>
    <w:rsid w:val="00154DC5"/>
    <w:rsid w:val="00160C8D"/>
    <w:rsid w:val="001629C0"/>
    <w:rsid w:val="0016434F"/>
    <w:rsid w:val="00165122"/>
    <w:rsid w:val="00165854"/>
    <w:rsid w:val="00171816"/>
    <w:rsid w:val="001738DB"/>
    <w:rsid w:val="00173DFD"/>
    <w:rsid w:val="001772E6"/>
    <w:rsid w:val="00180FF9"/>
    <w:rsid w:val="00184821"/>
    <w:rsid w:val="00195228"/>
    <w:rsid w:val="00195696"/>
    <w:rsid w:val="00196532"/>
    <w:rsid w:val="001A1EFC"/>
    <w:rsid w:val="001A48EF"/>
    <w:rsid w:val="001A49CC"/>
    <w:rsid w:val="001A5553"/>
    <w:rsid w:val="001A716E"/>
    <w:rsid w:val="001B123E"/>
    <w:rsid w:val="001B2C65"/>
    <w:rsid w:val="001B4255"/>
    <w:rsid w:val="001B648B"/>
    <w:rsid w:val="001B7058"/>
    <w:rsid w:val="001C3A4F"/>
    <w:rsid w:val="001C4121"/>
    <w:rsid w:val="001C48DE"/>
    <w:rsid w:val="001D0A9B"/>
    <w:rsid w:val="001D170D"/>
    <w:rsid w:val="001D30C1"/>
    <w:rsid w:val="001D52E3"/>
    <w:rsid w:val="001D576F"/>
    <w:rsid w:val="001D7C29"/>
    <w:rsid w:val="001E0475"/>
    <w:rsid w:val="001E33C2"/>
    <w:rsid w:val="001F2AAD"/>
    <w:rsid w:val="001F5C90"/>
    <w:rsid w:val="001F767C"/>
    <w:rsid w:val="00205EC6"/>
    <w:rsid w:val="00210FCF"/>
    <w:rsid w:val="00214AB6"/>
    <w:rsid w:val="00222EFF"/>
    <w:rsid w:val="002240D5"/>
    <w:rsid w:val="002261A7"/>
    <w:rsid w:val="00226AEC"/>
    <w:rsid w:val="002401AC"/>
    <w:rsid w:val="002545F3"/>
    <w:rsid w:val="0026344F"/>
    <w:rsid w:val="00266A17"/>
    <w:rsid w:val="00270372"/>
    <w:rsid w:val="00275534"/>
    <w:rsid w:val="00277075"/>
    <w:rsid w:val="002775D2"/>
    <w:rsid w:val="00281ADD"/>
    <w:rsid w:val="0028563E"/>
    <w:rsid w:val="00286DC3"/>
    <w:rsid w:val="00293E0D"/>
    <w:rsid w:val="00293E80"/>
    <w:rsid w:val="002973B0"/>
    <w:rsid w:val="00297C14"/>
    <w:rsid w:val="002A220F"/>
    <w:rsid w:val="002A24F1"/>
    <w:rsid w:val="002A5778"/>
    <w:rsid w:val="002A6E3B"/>
    <w:rsid w:val="002B1E84"/>
    <w:rsid w:val="002B2085"/>
    <w:rsid w:val="002B3EC4"/>
    <w:rsid w:val="002C37D5"/>
    <w:rsid w:val="002C4DA6"/>
    <w:rsid w:val="002C6008"/>
    <w:rsid w:val="002D18E1"/>
    <w:rsid w:val="002D239A"/>
    <w:rsid w:val="002D34DB"/>
    <w:rsid w:val="002D4B11"/>
    <w:rsid w:val="002D5A45"/>
    <w:rsid w:val="002E0C5E"/>
    <w:rsid w:val="002E5633"/>
    <w:rsid w:val="002F1963"/>
    <w:rsid w:val="002F3CC4"/>
    <w:rsid w:val="002F5B6E"/>
    <w:rsid w:val="002F61B5"/>
    <w:rsid w:val="00300066"/>
    <w:rsid w:val="0030209B"/>
    <w:rsid w:val="003127E4"/>
    <w:rsid w:val="00313215"/>
    <w:rsid w:val="003174C3"/>
    <w:rsid w:val="0032557A"/>
    <w:rsid w:val="003266B7"/>
    <w:rsid w:val="003317CA"/>
    <w:rsid w:val="00340778"/>
    <w:rsid w:val="00344D2C"/>
    <w:rsid w:val="003458CE"/>
    <w:rsid w:val="00345A57"/>
    <w:rsid w:val="00346D90"/>
    <w:rsid w:val="00351F62"/>
    <w:rsid w:val="003601F4"/>
    <w:rsid w:val="003671E2"/>
    <w:rsid w:val="00372AE6"/>
    <w:rsid w:val="00376C3A"/>
    <w:rsid w:val="003837E1"/>
    <w:rsid w:val="0038584D"/>
    <w:rsid w:val="003874A7"/>
    <w:rsid w:val="00387D8B"/>
    <w:rsid w:val="0039257F"/>
    <w:rsid w:val="003931DE"/>
    <w:rsid w:val="00394A2F"/>
    <w:rsid w:val="00397D1A"/>
    <w:rsid w:val="003A163C"/>
    <w:rsid w:val="003A2B4E"/>
    <w:rsid w:val="003A2FBB"/>
    <w:rsid w:val="003A3799"/>
    <w:rsid w:val="003A3EC4"/>
    <w:rsid w:val="003A4913"/>
    <w:rsid w:val="003A54A9"/>
    <w:rsid w:val="003A7083"/>
    <w:rsid w:val="003B018B"/>
    <w:rsid w:val="003B3103"/>
    <w:rsid w:val="003B38B3"/>
    <w:rsid w:val="003B3A97"/>
    <w:rsid w:val="003B3D44"/>
    <w:rsid w:val="003B47BC"/>
    <w:rsid w:val="003C6BB5"/>
    <w:rsid w:val="003C7242"/>
    <w:rsid w:val="003C7CC2"/>
    <w:rsid w:val="003D50B6"/>
    <w:rsid w:val="003E05DF"/>
    <w:rsid w:val="003E1562"/>
    <w:rsid w:val="003E278B"/>
    <w:rsid w:val="003E545E"/>
    <w:rsid w:val="003E6085"/>
    <w:rsid w:val="003E6CA3"/>
    <w:rsid w:val="003E6DE4"/>
    <w:rsid w:val="003F332D"/>
    <w:rsid w:val="003F4C96"/>
    <w:rsid w:val="00401C49"/>
    <w:rsid w:val="00406002"/>
    <w:rsid w:val="00406AD3"/>
    <w:rsid w:val="00412E42"/>
    <w:rsid w:val="00413EC1"/>
    <w:rsid w:val="00413FFF"/>
    <w:rsid w:val="00425C05"/>
    <w:rsid w:val="00426356"/>
    <w:rsid w:val="00426929"/>
    <w:rsid w:val="0043238E"/>
    <w:rsid w:val="00442C16"/>
    <w:rsid w:val="00445410"/>
    <w:rsid w:val="00446439"/>
    <w:rsid w:val="004500E5"/>
    <w:rsid w:val="00450BDA"/>
    <w:rsid w:val="00453A3E"/>
    <w:rsid w:val="0045452F"/>
    <w:rsid w:val="00454539"/>
    <w:rsid w:val="00455ECB"/>
    <w:rsid w:val="0045766B"/>
    <w:rsid w:val="0046444F"/>
    <w:rsid w:val="004656E4"/>
    <w:rsid w:val="004716D0"/>
    <w:rsid w:val="00474BB7"/>
    <w:rsid w:val="00476133"/>
    <w:rsid w:val="004816D7"/>
    <w:rsid w:val="00482F63"/>
    <w:rsid w:val="0048342E"/>
    <w:rsid w:val="00484299"/>
    <w:rsid w:val="00487478"/>
    <w:rsid w:val="0048782D"/>
    <w:rsid w:val="00494DC1"/>
    <w:rsid w:val="00495C69"/>
    <w:rsid w:val="004A3F56"/>
    <w:rsid w:val="004A5E21"/>
    <w:rsid w:val="004A666A"/>
    <w:rsid w:val="004B143F"/>
    <w:rsid w:val="004B3022"/>
    <w:rsid w:val="004B49A0"/>
    <w:rsid w:val="004C498D"/>
    <w:rsid w:val="004C6306"/>
    <w:rsid w:val="004C666A"/>
    <w:rsid w:val="004C6F5E"/>
    <w:rsid w:val="004C7E94"/>
    <w:rsid w:val="004D1214"/>
    <w:rsid w:val="004D3D93"/>
    <w:rsid w:val="004D7CF8"/>
    <w:rsid w:val="004D7EDA"/>
    <w:rsid w:val="004E0E49"/>
    <w:rsid w:val="004E197A"/>
    <w:rsid w:val="004E5D52"/>
    <w:rsid w:val="004F07D7"/>
    <w:rsid w:val="004F1297"/>
    <w:rsid w:val="004F16DB"/>
    <w:rsid w:val="004F4D7E"/>
    <w:rsid w:val="004F5B16"/>
    <w:rsid w:val="004F5D9D"/>
    <w:rsid w:val="004F68E5"/>
    <w:rsid w:val="004F7037"/>
    <w:rsid w:val="004F741B"/>
    <w:rsid w:val="00503253"/>
    <w:rsid w:val="00503BB0"/>
    <w:rsid w:val="00503E03"/>
    <w:rsid w:val="00506812"/>
    <w:rsid w:val="00512226"/>
    <w:rsid w:val="005147C6"/>
    <w:rsid w:val="005159B1"/>
    <w:rsid w:val="00522502"/>
    <w:rsid w:val="005255A1"/>
    <w:rsid w:val="00525825"/>
    <w:rsid w:val="0052641C"/>
    <w:rsid w:val="0053795D"/>
    <w:rsid w:val="00540ED9"/>
    <w:rsid w:val="00541114"/>
    <w:rsid w:val="00544522"/>
    <w:rsid w:val="005468AB"/>
    <w:rsid w:val="005501A0"/>
    <w:rsid w:val="00550831"/>
    <w:rsid w:val="00551851"/>
    <w:rsid w:val="0055245F"/>
    <w:rsid w:val="00554273"/>
    <w:rsid w:val="00556D1D"/>
    <w:rsid w:val="0056001A"/>
    <w:rsid w:val="005642B6"/>
    <w:rsid w:val="00564ED0"/>
    <w:rsid w:val="00571D5E"/>
    <w:rsid w:val="005823D0"/>
    <w:rsid w:val="005836CE"/>
    <w:rsid w:val="00584033"/>
    <w:rsid w:val="00587AF9"/>
    <w:rsid w:val="005A2748"/>
    <w:rsid w:val="005A443F"/>
    <w:rsid w:val="005A7C26"/>
    <w:rsid w:val="005B0970"/>
    <w:rsid w:val="005B1D0F"/>
    <w:rsid w:val="005B2336"/>
    <w:rsid w:val="005B343D"/>
    <w:rsid w:val="005B58D4"/>
    <w:rsid w:val="005C07B3"/>
    <w:rsid w:val="005C284E"/>
    <w:rsid w:val="005C29FA"/>
    <w:rsid w:val="005C47D4"/>
    <w:rsid w:val="005D51D0"/>
    <w:rsid w:val="005D6578"/>
    <w:rsid w:val="005D6F83"/>
    <w:rsid w:val="005D7877"/>
    <w:rsid w:val="005D7CCF"/>
    <w:rsid w:val="005E04CF"/>
    <w:rsid w:val="005E58C4"/>
    <w:rsid w:val="005E5D8F"/>
    <w:rsid w:val="005F5A5C"/>
    <w:rsid w:val="005F5CD9"/>
    <w:rsid w:val="005F65A0"/>
    <w:rsid w:val="00602664"/>
    <w:rsid w:val="0061135C"/>
    <w:rsid w:val="00613356"/>
    <w:rsid w:val="006136DD"/>
    <w:rsid w:val="006149F0"/>
    <w:rsid w:val="006220A5"/>
    <w:rsid w:val="00622D86"/>
    <w:rsid w:val="00624AC8"/>
    <w:rsid w:val="00632B78"/>
    <w:rsid w:val="00633812"/>
    <w:rsid w:val="00633C60"/>
    <w:rsid w:val="0064126D"/>
    <w:rsid w:val="006418BA"/>
    <w:rsid w:val="006451B8"/>
    <w:rsid w:val="00645722"/>
    <w:rsid w:val="00652432"/>
    <w:rsid w:val="00653C6C"/>
    <w:rsid w:val="00657840"/>
    <w:rsid w:val="0066003C"/>
    <w:rsid w:val="0066041E"/>
    <w:rsid w:val="00673CCC"/>
    <w:rsid w:val="00675C98"/>
    <w:rsid w:val="0067670C"/>
    <w:rsid w:val="0069026B"/>
    <w:rsid w:val="00690626"/>
    <w:rsid w:val="00694156"/>
    <w:rsid w:val="006956EA"/>
    <w:rsid w:val="006A3C66"/>
    <w:rsid w:val="006A490C"/>
    <w:rsid w:val="006A68E0"/>
    <w:rsid w:val="006B4F7D"/>
    <w:rsid w:val="006C114C"/>
    <w:rsid w:val="006C3668"/>
    <w:rsid w:val="006C3864"/>
    <w:rsid w:val="006C5383"/>
    <w:rsid w:val="006C5E72"/>
    <w:rsid w:val="006D2AEC"/>
    <w:rsid w:val="006D4C8E"/>
    <w:rsid w:val="006E19D1"/>
    <w:rsid w:val="006E1CBB"/>
    <w:rsid w:val="006E41FF"/>
    <w:rsid w:val="006F100B"/>
    <w:rsid w:val="006F239A"/>
    <w:rsid w:val="006F2C9D"/>
    <w:rsid w:val="006F6B51"/>
    <w:rsid w:val="00705618"/>
    <w:rsid w:val="0070637D"/>
    <w:rsid w:val="007071DD"/>
    <w:rsid w:val="0070771F"/>
    <w:rsid w:val="00712A14"/>
    <w:rsid w:val="00716C04"/>
    <w:rsid w:val="00717180"/>
    <w:rsid w:val="007179D2"/>
    <w:rsid w:val="00720750"/>
    <w:rsid w:val="0072549C"/>
    <w:rsid w:val="00725A80"/>
    <w:rsid w:val="00727B70"/>
    <w:rsid w:val="00733970"/>
    <w:rsid w:val="00741D0B"/>
    <w:rsid w:val="00754C58"/>
    <w:rsid w:val="00776E78"/>
    <w:rsid w:val="0078138A"/>
    <w:rsid w:val="00781FA0"/>
    <w:rsid w:val="00783014"/>
    <w:rsid w:val="007834DC"/>
    <w:rsid w:val="007959D8"/>
    <w:rsid w:val="0079630F"/>
    <w:rsid w:val="00796E91"/>
    <w:rsid w:val="007A04C2"/>
    <w:rsid w:val="007A47D0"/>
    <w:rsid w:val="007A6B7D"/>
    <w:rsid w:val="007B146A"/>
    <w:rsid w:val="007B2302"/>
    <w:rsid w:val="007B57C9"/>
    <w:rsid w:val="007C0E7C"/>
    <w:rsid w:val="007C0EAA"/>
    <w:rsid w:val="007C19C3"/>
    <w:rsid w:val="007C44B2"/>
    <w:rsid w:val="007C4D27"/>
    <w:rsid w:val="007C6496"/>
    <w:rsid w:val="007C745E"/>
    <w:rsid w:val="007D0ABE"/>
    <w:rsid w:val="007E356F"/>
    <w:rsid w:val="007E3F8C"/>
    <w:rsid w:val="007F2058"/>
    <w:rsid w:val="007F7685"/>
    <w:rsid w:val="0080011D"/>
    <w:rsid w:val="00800EA5"/>
    <w:rsid w:val="00801C01"/>
    <w:rsid w:val="008112CC"/>
    <w:rsid w:val="008130BB"/>
    <w:rsid w:val="00813CAE"/>
    <w:rsid w:val="00817406"/>
    <w:rsid w:val="008237FA"/>
    <w:rsid w:val="00825D37"/>
    <w:rsid w:val="00835574"/>
    <w:rsid w:val="008369B0"/>
    <w:rsid w:val="008372D1"/>
    <w:rsid w:val="00845ACD"/>
    <w:rsid w:val="0085732C"/>
    <w:rsid w:val="00860B45"/>
    <w:rsid w:val="00863860"/>
    <w:rsid w:val="008638B5"/>
    <w:rsid w:val="008734DB"/>
    <w:rsid w:val="0087390B"/>
    <w:rsid w:val="008745A1"/>
    <w:rsid w:val="008768E9"/>
    <w:rsid w:val="0087751B"/>
    <w:rsid w:val="00882F52"/>
    <w:rsid w:val="00890995"/>
    <w:rsid w:val="008914FB"/>
    <w:rsid w:val="0089229A"/>
    <w:rsid w:val="0089737A"/>
    <w:rsid w:val="0089799D"/>
    <w:rsid w:val="00897E99"/>
    <w:rsid w:val="008A2801"/>
    <w:rsid w:val="008A4829"/>
    <w:rsid w:val="008B2384"/>
    <w:rsid w:val="008B38D6"/>
    <w:rsid w:val="008B4802"/>
    <w:rsid w:val="008B69E3"/>
    <w:rsid w:val="008C0266"/>
    <w:rsid w:val="008C1FD1"/>
    <w:rsid w:val="008C24A8"/>
    <w:rsid w:val="008C35EF"/>
    <w:rsid w:val="008C571D"/>
    <w:rsid w:val="008C5996"/>
    <w:rsid w:val="008D5A11"/>
    <w:rsid w:val="008D5E23"/>
    <w:rsid w:val="008D77AF"/>
    <w:rsid w:val="008E464E"/>
    <w:rsid w:val="008E6D59"/>
    <w:rsid w:val="008F30C7"/>
    <w:rsid w:val="008F5D66"/>
    <w:rsid w:val="009028AA"/>
    <w:rsid w:val="00903E3F"/>
    <w:rsid w:val="009049C3"/>
    <w:rsid w:val="009057D9"/>
    <w:rsid w:val="0090774A"/>
    <w:rsid w:val="00910D07"/>
    <w:rsid w:val="0091141C"/>
    <w:rsid w:val="00914B2F"/>
    <w:rsid w:val="009150E6"/>
    <w:rsid w:val="00917F89"/>
    <w:rsid w:val="00920C16"/>
    <w:rsid w:val="009255EE"/>
    <w:rsid w:val="00925603"/>
    <w:rsid w:val="00925F76"/>
    <w:rsid w:val="00932E89"/>
    <w:rsid w:val="0093359D"/>
    <w:rsid w:val="00933F2B"/>
    <w:rsid w:val="00942EEB"/>
    <w:rsid w:val="009439E7"/>
    <w:rsid w:val="0094468E"/>
    <w:rsid w:val="00944B6E"/>
    <w:rsid w:val="00945261"/>
    <w:rsid w:val="009506A5"/>
    <w:rsid w:val="00950DE4"/>
    <w:rsid w:val="00951CC9"/>
    <w:rsid w:val="009541CC"/>
    <w:rsid w:val="0095566A"/>
    <w:rsid w:val="00956564"/>
    <w:rsid w:val="009567A6"/>
    <w:rsid w:val="00956D5A"/>
    <w:rsid w:val="00961B2C"/>
    <w:rsid w:val="00961DBB"/>
    <w:rsid w:val="0096618E"/>
    <w:rsid w:val="00977D0C"/>
    <w:rsid w:val="00981433"/>
    <w:rsid w:val="0098222F"/>
    <w:rsid w:val="00985C07"/>
    <w:rsid w:val="00995B4F"/>
    <w:rsid w:val="009961B4"/>
    <w:rsid w:val="00997582"/>
    <w:rsid w:val="009A2C21"/>
    <w:rsid w:val="009A3E58"/>
    <w:rsid w:val="009A5F02"/>
    <w:rsid w:val="009A7AB1"/>
    <w:rsid w:val="009C55B0"/>
    <w:rsid w:val="009C5D54"/>
    <w:rsid w:val="009C6DAA"/>
    <w:rsid w:val="009D0E74"/>
    <w:rsid w:val="009D1A96"/>
    <w:rsid w:val="009D370B"/>
    <w:rsid w:val="009E2087"/>
    <w:rsid w:val="009E252B"/>
    <w:rsid w:val="009E3265"/>
    <w:rsid w:val="009E3353"/>
    <w:rsid w:val="009E446D"/>
    <w:rsid w:val="009E7C09"/>
    <w:rsid w:val="009F146D"/>
    <w:rsid w:val="009F2895"/>
    <w:rsid w:val="009F4F1E"/>
    <w:rsid w:val="009F5D6A"/>
    <w:rsid w:val="00A015E4"/>
    <w:rsid w:val="00A075BC"/>
    <w:rsid w:val="00A11222"/>
    <w:rsid w:val="00A12C39"/>
    <w:rsid w:val="00A134FB"/>
    <w:rsid w:val="00A14A0B"/>
    <w:rsid w:val="00A20802"/>
    <w:rsid w:val="00A25B4F"/>
    <w:rsid w:val="00A27E8B"/>
    <w:rsid w:val="00A36A7E"/>
    <w:rsid w:val="00A408B6"/>
    <w:rsid w:val="00A42DED"/>
    <w:rsid w:val="00A442BF"/>
    <w:rsid w:val="00A517D0"/>
    <w:rsid w:val="00A53716"/>
    <w:rsid w:val="00A5629E"/>
    <w:rsid w:val="00A64832"/>
    <w:rsid w:val="00A6552E"/>
    <w:rsid w:val="00A71A91"/>
    <w:rsid w:val="00A732DB"/>
    <w:rsid w:val="00A833ED"/>
    <w:rsid w:val="00A83834"/>
    <w:rsid w:val="00A838D2"/>
    <w:rsid w:val="00A8628C"/>
    <w:rsid w:val="00A86F04"/>
    <w:rsid w:val="00A946C4"/>
    <w:rsid w:val="00A975C5"/>
    <w:rsid w:val="00AA07FD"/>
    <w:rsid w:val="00AA1BA0"/>
    <w:rsid w:val="00AA24ED"/>
    <w:rsid w:val="00AC01F8"/>
    <w:rsid w:val="00AC059A"/>
    <w:rsid w:val="00AC41CF"/>
    <w:rsid w:val="00AC6564"/>
    <w:rsid w:val="00AD0308"/>
    <w:rsid w:val="00AD377A"/>
    <w:rsid w:val="00AD67BB"/>
    <w:rsid w:val="00AE1CC1"/>
    <w:rsid w:val="00AE3EA4"/>
    <w:rsid w:val="00AE4418"/>
    <w:rsid w:val="00AE67DB"/>
    <w:rsid w:val="00AF1B02"/>
    <w:rsid w:val="00AF41E4"/>
    <w:rsid w:val="00AF568A"/>
    <w:rsid w:val="00B036C2"/>
    <w:rsid w:val="00B06A75"/>
    <w:rsid w:val="00B06BC3"/>
    <w:rsid w:val="00B15A0F"/>
    <w:rsid w:val="00B20236"/>
    <w:rsid w:val="00B20937"/>
    <w:rsid w:val="00B220A0"/>
    <w:rsid w:val="00B22B64"/>
    <w:rsid w:val="00B22FEA"/>
    <w:rsid w:val="00B24321"/>
    <w:rsid w:val="00B30FEB"/>
    <w:rsid w:val="00B311BA"/>
    <w:rsid w:val="00B35B47"/>
    <w:rsid w:val="00B40AA3"/>
    <w:rsid w:val="00B44478"/>
    <w:rsid w:val="00B4609C"/>
    <w:rsid w:val="00B5385D"/>
    <w:rsid w:val="00B6002C"/>
    <w:rsid w:val="00B620EE"/>
    <w:rsid w:val="00B72667"/>
    <w:rsid w:val="00B74DE5"/>
    <w:rsid w:val="00B774B4"/>
    <w:rsid w:val="00B8339E"/>
    <w:rsid w:val="00B85366"/>
    <w:rsid w:val="00B87F60"/>
    <w:rsid w:val="00B93D3D"/>
    <w:rsid w:val="00BA471F"/>
    <w:rsid w:val="00BB0E1F"/>
    <w:rsid w:val="00BB166B"/>
    <w:rsid w:val="00BB5013"/>
    <w:rsid w:val="00BB528E"/>
    <w:rsid w:val="00BB615A"/>
    <w:rsid w:val="00BC2600"/>
    <w:rsid w:val="00BC36F0"/>
    <w:rsid w:val="00BC3E99"/>
    <w:rsid w:val="00BC4FA7"/>
    <w:rsid w:val="00BC5E30"/>
    <w:rsid w:val="00BD00ED"/>
    <w:rsid w:val="00BD02C5"/>
    <w:rsid w:val="00BD068D"/>
    <w:rsid w:val="00BD2AE2"/>
    <w:rsid w:val="00BE0D9A"/>
    <w:rsid w:val="00BE1A50"/>
    <w:rsid w:val="00BE2F0D"/>
    <w:rsid w:val="00BF0BD5"/>
    <w:rsid w:val="00BF55F8"/>
    <w:rsid w:val="00C0147B"/>
    <w:rsid w:val="00C051FD"/>
    <w:rsid w:val="00C0536D"/>
    <w:rsid w:val="00C20C7D"/>
    <w:rsid w:val="00C20DEF"/>
    <w:rsid w:val="00C24B25"/>
    <w:rsid w:val="00C24E89"/>
    <w:rsid w:val="00C32C2F"/>
    <w:rsid w:val="00C3738A"/>
    <w:rsid w:val="00C4315A"/>
    <w:rsid w:val="00C43F5E"/>
    <w:rsid w:val="00C44074"/>
    <w:rsid w:val="00C444FC"/>
    <w:rsid w:val="00C453B9"/>
    <w:rsid w:val="00C4651F"/>
    <w:rsid w:val="00C51D0B"/>
    <w:rsid w:val="00C52207"/>
    <w:rsid w:val="00C52A50"/>
    <w:rsid w:val="00C642D4"/>
    <w:rsid w:val="00C71FBE"/>
    <w:rsid w:val="00C730F4"/>
    <w:rsid w:val="00C77926"/>
    <w:rsid w:val="00C80200"/>
    <w:rsid w:val="00C80E0A"/>
    <w:rsid w:val="00C8270B"/>
    <w:rsid w:val="00C841A9"/>
    <w:rsid w:val="00C8728F"/>
    <w:rsid w:val="00C93C82"/>
    <w:rsid w:val="00C97FBC"/>
    <w:rsid w:val="00CA06C8"/>
    <w:rsid w:val="00CA0B7E"/>
    <w:rsid w:val="00CA4B2A"/>
    <w:rsid w:val="00CA4C28"/>
    <w:rsid w:val="00CA5598"/>
    <w:rsid w:val="00CA5EF8"/>
    <w:rsid w:val="00CB28A3"/>
    <w:rsid w:val="00CC00A0"/>
    <w:rsid w:val="00CC0FED"/>
    <w:rsid w:val="00CC1A85"/>
    <w:rsid w:val="00CC3C34"/>
    <w:rsid w:val="00CC4989"/>
    <w:rsid w:val="00CC5455"/>
    <w:rsid w:val="00CC6C06"/>
    <w:rsid w:val="00CC6E9A"/>
    <w:rsid w:val="00CD1526"/>
    <w:rsid w:val="00CD5509"/>
    <w:rsid w:val="00CD5AAC"/>
    <w:rsid w:val="00CE123C"/>
    <w:rsid w:val="00CE1EB0"/>
    <w:rsid w:val="00CE3DF2"/>
    <w:rsid w:val="00CF0C0F"/>
    <w:rsid w:val="00CF1690"/>
    <w:rsid w:val="00CF1F2A"/>
    <w:rsid w:val="00CF5CE3"/>
    <w:rsid w:val="00CF6DC8"/>
    <w:rsid w:val="00CF7412"/>
    <w:rsid w:val="00D030F8"/>
    <w:rsid w:val="00D077B7"/>
    <w:rsid w:val="00D20297"/>
    <w:rsid w:val="00D21E6B"/>
    <w:rsid w:val="00D2336A"/>
    <w:rsid w:val="00D23634"/>
    <w:rsid w:val="00D34551"/>
    <w:rsid w:val="00D45179"/>
    <w:rsid w:val="00D457D6"/>
    <w:rsid w:val="00D56806"/>
    <w:rsid w:val="00D64CE2"/>
    <w:rsid w:val="00D72DE1"/>
    <w:rsid w:val="00D763A6"/>
    <w:rsid w:val="00D7751B"/>
    <w:rsid w:val="00D815DC"/>
    <w:rsid w:val="00D822B5"/>
    <w:rsid w:val="00D83D3C"/>
    <w:rsid w:val="00D867AE"/>
    <w:rsid w:val="00D87BBB"/>
    <w:rsid w:val="00D87C87"/>
    <w:rsid w:val="00D921C4"/>
    <w:rsid w:val="00D9296A"/>
    <w:rsid w:val="00D9317B"/>
    <w:rsid w:val="00D93C23"/>
    <w:rsid w:val="00D95638"/>
    <w:rsid w:val="00D9584C"/>
    <w:rsid w:val="00DA14D9"/>
    <w:rsid w:val="00DA2EE7"/>
    <w:rsid w:val="00DB13AD"/>
    <w:rsid w:val="00DB1894"/>
    <w:rsid w:val="00DB23F9"/>
    <w:rsid w:val="00DB58BE"/>
    <w:rsid w:val="00DB6176"/>
    <w:rsid w:val="00DB6AA0"/>
    <w:rsid w:val="00DB7A8C"/>
    <w:rsid w:val="00DB7C3A"/>
    <w:rsid w:val="00DD32AB"/>
    <w:rsid w:val="00DD5BF6"/>
    <w:rsid w:val="00DE1865"/>
    <w:rsid w:val="00DE6CEF"/>
    <w:rsid w:val="00DF11C2"/>
    <w:rsid w:val="00DF2134"/>
    <w:rsid w:val="00DF4593"/>
    <w:rsid w:val="00E057AD"/>
    <w:rsid w:val="00E10D05"/>
    <w:rsid w:val="00E2223E"/>
    <w:rsid w:val="00E22D98"/>
    <w:rsid w:val="00E24623"/>
    <w:rsid w:val="00E252E3"/>
    <w:rsid w:val="00E30066"/>
    <w:rsid w:val="00E37C59"/>
    <w:rsid w:val="00E40505"/>
    <w:rsid w:val="00E42A41"/>
    <w:rsid w:val="00E45766"/>
    <w:rsid w:val="00E551DB"/>
    <w:rsid w:val="00E567E5"/>
    <w:rsid w:val="00E64480"/>
    <w:rsid w:val="00E6708B"/>
    <w:rsid w:val="00E73A8C"/>
    <w:rsid w:val="00E75050"/>
    <w:rsid w:val="00E7591A"/>
    <w:rsid w:val="00E76F42"/>
    <w:rsid w:val="00E77D6D"/>
    <w:rsid w:val="00E8569C"/>
    <w:rsid w:val="00E86BA0"/>
    <w:rsid w:val="00E90253"/>
    <w:rsid w:val="00E915E6"/>
    <w:rsid w:val="00E94413"/>
    <w:rsid w:val="00EA3E11"/>
    <w:rsid w:val="00EA6EB3"/>
    <w:rsid w:val="00EB4A8E"/>
    <w:rsid w:val="00EB54D9"/>
    <w:rsid w:val="00EB5EF3"/>
    <w:rsid w:val="00EB695D"/>
    <w:rsid w:val="00EC38F3"/>
    <w:rsid w:val="00ED39CE"/>
    <w:rsid w:val="00ED3AF3"/>
    <w:rsid w:val="00ED4134"/>
    <w:rsid w:val="00ED424C"/>
    <w:rsid w:val="00EE05F1"/>
    <w:rsid w:val="00EE471A"/>
    <w:rsid w:val="00EE5492"/>
    <w:rsid w:val="00EF0A00"/>
    <w:rsid w:val="00F00915"/>
    <w:rsid w:val="00F07BD5"/>
    <w:rsid w:val="00F122D6"/>
    <w:rsid w:val="00F15BF4"/>
    <w:rsid w:val="00F17940"/>
    <w:rsid w:val="00F17DC0"/>
    <w:rsid w:val="00F2046C"/>
    <w:rsid w:val="00F20647"/>
    <w:rsid w:val="00F207FC"/>
    <w:rsid w:val="00F31392"/>
    <w:rsid w:val="00F348B5"/>
    <w:rsid w:val="00F3652B"/>
    <w:rsid w:val="00F377B9"/>
    <w:rsid w:val="00F37FD0"/>
    <w:rsid w:val="00F45442"/>
    <w:rsid w:val="00F504FB"/>
    <w:rsid w:val="00F5145E"/>
    <w:rsid w:val="00F558EA"/>
    <w:rsid w:val="00F57194"/>
    <w:rsid w:val="00F60D92"/>
    <w:rsid w:val="00F613CB"/>
    <w:rsid w:val="00F61F79"/>
    <w:rsid w:val="00F651DD"/>
    <w:rsid w:val="00F656A4"/>
    <w:rsid w:val="00F6665E"/>
    <w:rsid w:val="00F7075F"/>
    <w:rsid w:val="00F71D76"/>
    <w:rsid w:val="00F8310B"/>
    <w:rsid w:val="00F8349F"/>
    <w:rsid w:val="00F83FB7"/>
    <w:rsid w:val="00F85935"/>
    <w:rsid w:val="00F85D29"/>
    <w:rsid w:val="00F96258"/>
    <w:rsid w:val="00F969D3"/>
    <w:rsid w:val="00FA190E"/>
    <w:rsid w:val="00FA2727"/>
    <w:rsid w:val="00FA31D7"/>
    <w:rsid w:val="00FA54D8"/>
    <w:rsid w:val="00FB3373"/>
    <w:rsid w:val="00FB3BB0"/>
    <w:rsid w:val="00FB4A6D"/>
    <w:rsid w:val="00FB6084"/>
    <w:rsid w:val="00FC1359"/>
    <w:rsid w:val="00FC4FB7"/>
    <w:rsid w:val="00FD1EE0"/>
    <w:rsid w:val="00FD357B"/>
    <w:rsid w:val="00FD38FC"/>
    <w:rsid w:val="00FD421B"/>
    <w:rsid w:val="00FD5562"/>
    <w:rsid w:val="00FD6119"/>
    <w:rsid w:val="00FD688E"/>
    <w:rsid w:val="00FD7C0C"/>
    <w:rsid w:val="00FE045C"/>
    <w:rsid w:val="00FE0750"/>
    <w:rsid w:val="00FE0C52"/>
    <w:rsid w:val="00FE1692"/>
    <w:rsid w:val="00FE1AF3"/>
    <w:rsid w:val="00FE3139"/>
    <w:rsid w:val="00FE3B13"/>
    <w:rsid w:val="00FE661D"/>
    <w:rsid w:val="00FF0566"/>
    <w:rsid w:val="00FF3FA0"/>
    <w:rsid w:val="00FF6218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qFormat="1"/>
    <w:lsdException w:name="table of figures" w:semiHidden="0" w:uiPriority="99" w:unhideWhenUsed="0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46444F"/>
    <w:pPr>
      <w:keepNext/>
      <w:keepLines/>
      <w:numPr>
        <w:numId w:val="33"/>
      </w:numPr>
      <w:tabs>
        <w:tab w:val="right" w:pos="1418"/>
        <w:tab w:val="right" w:pos="1701"/>
        <w:tab w:val="right" w:pos="1985"/>
      </w:tabs>
      <w:spacing w:before="470" w:after="228"/>
      <w:outlineLvl w:val="0"/>
    </w:pPr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CA06C8"/>
    <w:pPr>
      <w:keepNext/>
      <w:keepLines/>
      <w:numPr>
        <w:ilvl w:val="1"/>
        <w:numId w:val="33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33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D239A"/>
    <w:pPr>
      <w:keepNext/>
      <w:keepLines/>
      <w:numPr>
        <w:numId w:val="1"/>
      </w:numPr>
      <w:tabs>
        <w:tab w:val="left" w:pos="4536"/>
      </w:tabs>
      <w:spacing w:before="480" w:after="340"/>
      <w:outlineLvl w:val="7"/>
    </w:pPr>
    <w:rPr>
      <w:rFonts w:asciiTheme="majorHAnsi" w:eastAsiaTheme="majorEastAsia" w:hAnsiTheme="majorHAnsi" w:cstheme="majorBidi"/>
      <w:color w:val="2B3B5F" w:themeColor="text2"/>
      <w:sz w:val="32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7C19C3"/>
    <w:pPr>
      <w:spacing w:before="113" w:after="113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AC41CF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AC41CF"/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C41CF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89737A"/>
    <w:rPr>
      <w:rFonts w:asciiTheme="majorHAnsi" w:eastAsiaTheme="majorEastAsia" w:hAnsiTheme="majorHAnsi" w:cstheme="majorBidi"/>
      <w:color w:val="2B3B5F" w:themeColor="text2"/>
      <w:sz w:val="32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61DBB"/>
    <w:pPr>
      <w:keepNext/>
      <w:spacing w:before="340" w:after="114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476133"/>
    <w:pPr>
      <w:keepLines/>
      <w:numPr>
        <w:numId w:val="6"/>
      </w:numPr>
      <w:spacing w:after="120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476133"/>
    <w:pPr>
      <w:numPr>
        <w:ilvl w:val="1"/>
      </w:numPr>
      <w:ind w:left="908" w:hanging="454"/>
    </w:pPr>
  </w:style>
  <w:style w:type="paragraph" w:styleId="ListBullet3">
    <w:name w:val="List Bullet 3"/>
    <w:basedOn w:val="ListBullet2"/>
    <w:uiPriority w:val="9"/>
    <w:qFormat/>
    <w:rsid w:val="00961DBB"/>
    <w:pPr>
      <w:numPr>
        <w:ilvl w:val="2"/>
      </w:numPr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12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12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12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19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19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19"/>
      </w:numPr>
      <w:ind w:left="1077"/>
    </w:pPr>
  </w:style>
  <w:style w:type="paragraph" w:customStyle="1" w:styleId="PullOutBoxHeading">
    <w:name w:val="Pull Out Box Heading"/>
    <w:basedOn w:val="PullOutBoxBodyText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22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22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22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24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24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56001A"/>
    <w:pPr>
      <w:keepLines/>
      <w:numPr>
        <w:numId w:val="49"/>
      </w:numPr>
      <w:spacing w:after="50" w:line="260" w:lineRule="atLeast"/>
      <w:contextualSpacing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2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31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6444F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E64480"/>
    <w:pPr>
      <w:spacing w:before="240" w:after="0"/>
    </w:pPr>
    <w:rPr>
      <w:rFonts w:ascii="Times New Roman" w:hAnsi="Times New Roman"/>
      <w:spacing w:val="0"/>
      <w:sz w:val="24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1"/>
    <w:qFormat/>
    <w:rsid w:val="00B5385D"/>
    <w:pPr>
      <w:spacing w:before="24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B5385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418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41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1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1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18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5562"/>
    <w:pPr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qFormat="1"/>
    <w:lsdException w:name="table of figures" w:semiHidden="0" w:uiPriority="99" w:unhideWhenUsed="0"/>
    <w:lsdException w:name="List Bullet" w:qFormat="1"/>
    <w:lsdException w:name="List Number" w:qFormat="1"/>
    <w:lsdException w:name="List Bullet 2" w:qFormat="1"/>
    <w:lsdException w:name="List Bullet 3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46444F"/>
    <w:pPr>
      <w:keepNext/>
      <w:keepLines/>
      <w:numPr>
        <w:numId w:val="33"/>
      </w:numPr>
      <w:tabs>
        <w:tab w:val="right" w:pos="1418"/>
        <w:tab w:val="right" w:pos="1701"/>
        <w:tab w:val="right" w:pos="1985"/>
      </w:tabs>
      <w:spacing w:before="470" w:after="228"/>
      <w:outlineLvl w:val="0"/>
    </w:pPr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CA06C8"/>
    <w:pPr>
      <w:keepNext/>
      <w:keepLines/>
      <w:numPr>
        <w:ilvl w:val="1"/>
        <w:numId w:val="33"/>
      </w:numPr>
      <w:tabs>
        <w:tab w:val="left" w:pos="1418"/>
        <w:tab w:val="left" w:pos="1701"/>
        <w:tab w:val="left" w:pos="1985"/>
      </w:tabs>
      <w:spacing w:before="470" w:after="227"/>
      <w:outlineLvl w:val="1"/>
    </w:pPr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CA06C8"/>
    <w:pPr>
      <w:keepNext/>
      <w:keepLines/>
      <w:numPr>
        <w:ilvl w:val="2"/>
        <w:numId w:val="33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2B3B5F" w:themeColor="text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788184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2D239A"/>
    <w:pPr>
      <w:keepNext/>
      <w:keepLines/>
      <w:numPr>
        <w:numId w:val="1"/>
      </w:numPr>
      <w:tabs>
        <w:tab w:val="left" w:pos="4536"/>
      </w:tabs>
      <w:spacing w:before="480" w:after="340"/>
      <w:outlineLvl w:val="7"/>
    </w:pPr>
    <w:rPr>
      <w:rFonts w:asciiTheme="majorHAnsi" w:eastAsiaTheme="majorEastAsia" w:hAnsiTheme="majorHAnsi" w:cstheme="majorBidi"/>
      <w:color w:val="2B3B5F" w:themeColor="text2"/>
      <w:sz w:val="32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2D239A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2B3B5F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7C19C3"/>
    <w:pPr>
      <w:spacing w:before="113" w:after="113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AC41CF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AC41CF"/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C41CF"/>
    <w:rPr>
      <w:rFonts w:ascii="Calibri" w:hAnsi="Calibri"/>
      <w:b/>
      <w:bCs/>
      <w:iCs/>
      <w:color w:val="2B3B5F" w:themeColor="text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AC41CF"/>
    <w:rPr>
      <w:i/>
      <w:color w:val="2B3B5F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788184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2B3B5F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89737A"/>
    <w:rPr>
      <w:rFonts w:asciiTheme="majorHAnsi" w:eastAsiaTheme="majorEastAsia" w:hAnsiTheme="majorHAnsi" w:cstheme="majorBidi"/>
      <w:color w:val="2B3B5F" w:themeColor="text2"/>
      <w:sz w:val="32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89737A"/>
    <w:rPr>
      <w:rFonts w:asciiTheme="majorHAnsi" w:hAnsiTheme="majorHAnsi"/>
      <w:color w:val="2B3B5F" w:themeColor="text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CA5598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2B3B5F" w:themeColor="text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CA5598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2B3B5F" w:themeColor="text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961DBB"/>
    <w:pPr>
      <w:keepNext/>
      <w:spacing w:before="340" w:after="114"/>
    </w:pPr>
    <w:rPr>
      <w:b/>
      <w:bCs/>
      <w:color w:val="2B3B5F" w:themeColor="text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788184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2B3B5F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2B3B5F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476133"/>
    <w:pPr>
      <w:keepLines/>
      <w:numPr>
        <w:numId w:val="6"/>
      </w:numPr>
      <w:spacing w:after="120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476133"/>
    <w:pPr>
      <w:numPr>
        <w:ilvl w:val="1"/>
      </w:numPr>
      <w:ind w:left="908" w:hanging="454"/>
    </w:pPr>
  </w:style>
  <w:style w:type="paragraph" w:styleId="ListBullet3">
    <w:name w:val="List Bullet 3"/>
    <w:basedOn w:val="ListBullet2"/>
    <w:uiPriority w:val="9"/>
    <w:qFormat/>
    <w:rsid w:val="00961DBB"/>
    <w:pPr>
      <w:numPr>
        <w:ilvl w:val="2"/>
      </w:numPr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12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12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12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2B3B5F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2B3B5F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uiPriority w:val="24"/>
    <w:qFormat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qFormat/>
    <w:rsid w:val="00476133"/>
    <w:pPr>
      <w:numPr>
        <w:numId w:val="19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qFormat/>
    <w:rsid w:val="008112CC"/>
    <w:pPr>
      <w:numPr>
        <w:ilvl w:val="1"/>
        <w:numId w:val="19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qFormat/>
    <w:rsid w:val="00476133"/>
    <w:pPr>
      <w:numPr>
        <w:ilvl w:val="2"/>
        <w:numId w:val="19"/>
      </w:numPr>
      <w:ind w:left="1077"/>
    </w:pPr>
  </w:style>
  <w:style w:type="paragraph" w:customStyle="1" w:styleId="PullOutBoxHeading">
    <w:name w:val="Pull Out Box Heading"/>
    <w:basedOn w:val="PullOutBoxBodyText"/>
    <w:uiPriority w:val="23"/>
    <w:qFormat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qFormat/>
    <w:rsid w:val="00476133"/>
    <w:pPr>
      <w:numPr>
        <w:numId w:val="22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qFormat/>
    <w:rsid w:val="008112CC"/>
    <w:pPr>
      <w:numPr>
        <w:ilvl w:val="1"/>
        <w:numId w:val="22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qFormat/>
    <w:rsid w:val="008112CC"/>
    <w:pPr>
      <w:numPr>
        <w:ilvl w:val="2"/>
        <w:numId w:val="22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D7DDE9" w:themeColor="accent3"/>
        <w:left w:val="single" w:sz="4" w:space="0" w:color="D7DDE9" w:themeColor="accent3"/>
        <w:bottom w:val="single" w:sz="4" w:space="0" w:color="D7DDE9" w:themeColor="accent3"/>
        <w:right w:val="single" w:sz="4" w:space="0" w:color="D7DDE9" w:themeColor="accent3"/>
        <w:insideH w:val="single" w:sz="4" w:space="0" w:color="D7DDE9" w:themeColor="accent3"/>
        <w:insideV w:val="single" w:sz="4" w:space="0" w:color="D7DDE9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D7DDE9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24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24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2B3B5F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751D71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56001A"/>
    <w:pPr>
      <w:keepLines/>
      <w:numPr>
        <w:numId w:val="49"/>
      </w:numPr>
      <w:spacing w:after="50" w:line="260" w:lineRule="atLeast"/>
      <w:contextualSpacing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B3B5F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7DDE9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788184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2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31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2B3B5F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2B3B5F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2B3B5F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2B3B5F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2B3B5F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2B3B5F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788184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6444F"/>
    <w:pPr>
      <w:spacing w:line="240" w:lineRule="auto"/>
    </w:pPr>
    <w:tblPr>
      <w:tblStyleRowBandSize w:val="1"/>
      <w:tblStyleColBandSize w:val="1"/>
      <w:tblBorders>
        <w:top w:val="single" w:sz="8" w:space="0" w:color="788184" w:themeColor="accent6"/>
        <w:left w:val="single" w:sz="8" w:space="0" w:color="788184" w:themeColor="accent6"/>
        <w:bottom w:val="single" w:sz="8" w:space="0" w:color="788184" w:themeColor="accent6"/>
        <w:right w:val="single" w:sz="8" w:space="0" w:color="788184" w:themeColor="accent6"/>
        <w:insideH w:val="single" w:sz="8" w:space="0" w:color="788184" w:themeColor="accent6"/>
        <w:insideV w:val="single" w:sz="8" w:space="0" w:color="788184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1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H w:val="nil"/>
          <w:insideV w:val="single" w:sz="8" w:space="0" w:color="788184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</w:tcPr>
    </w:tblStylePr>
    <w:tblStylePr w:type="band1Vert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4" w:themeColor="accent6"/>
          <w:left w:val="single" w:sz="8" w:space="0" w:color="788184" w:themeColor="accent6"/>
          <w:bottom w:val="single" w:sz="8" w:space="0" w:color="788184" w:themeColor="accent6"/>
          <w:right w:val="single" w:sz="8" w:space="0" w:color="788184" w:themeColor="accent6"/>
          <w:insideV w:val="single" w:sz="8" w:space="0" w:color="788184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D7DDE9" w:themeColor="accent3"/>
        <w:left w:val="single" w:sz="8" w:space="0" w:color="D7DDE9" w:themeColor="accent3"/>
        <w:bottom w:val="single" w:sz="8" w:space="0" w:color="D7DDE9" w:themeColor="accent3"/>
        <w:right w:val="single" w:sz="8" w:space="0" w:color="D7DDE9" w:themeColor="accent3"/>
        <w:insideH w:val="single" w:sz="8" w:space="0" w:color="D7DDE9" w:themeColor="accent3"/>
        <w:insideV w:val="single" w:sz="8" w:space="0" w:color="D7DDE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1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H w:val="nil"/>
          <w:insideV w:val="single" w:sz="8" w:space="0" w:color="D7DDE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</w:tcPr>
    </w:tblStylePr>
    <w:tblStylePr w:type="band1Vert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</w:tcBorders>
        <w:shd w:val="clear" w:color="auto" w:fill="F5F6F9" w:themeFill="accent3" w:themeFillTint="3F"/>
      </w:tcPr>
    </w:tblStylePr>
    <w:tblStylePr w:type="band1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  <w:shd w:val="clear" w:color="auto" w:fill="F5F6F9" w:themeFill="accent3" w:themeFillTint="3F"/>
      </w:tcPr>
    </w:tblStylePr>
    <w:tblStylePr w:type="band2Horz">
      <w:tblPr/>
      <w:tcPr>
        <w:tcBorders>
          <w:top w:val="single" w:sz="8" w:space="0" w:color="D7DDE9" w:themeColor="accent3"/>
          <w:left w:val="single" w:sz="8" w:space="0" w:color="D7DDE9" w:themeColor="accent3"/>
          <w:bottom w:val="single" w:sz="8" w:space="0" w:color="D7DDE9" w:themeColor="accent3"/>
          <w:right w:val="single" w:sz="8" w:space="0" w:color="D7DDE9" w:themeColor="accent3"/>
          <w:insideV w:val="single" w:sz="8" w:space="0" w:color="D7DDE9" w:themeColor="accent3"/>
        </w:tcBorders>
      </w:tcPr>
    </w:tblStylePr>
  </w:style>
  <w:style w:type="paragraph" w:customStyle="1" w:styleId="Lettertext">
    <w:name w:val="Letter text"/>
    <w:basedOn w:val="BodyText"/>
    <w:qFormat/>
    <w:rsid w:val="00E64480"/>
    <w:pPr>
      <w:spacing w:before="240" w:after="0"/>
    </w:pPr>
    <w:rPr>
      <w:rFonts w:ascii="Times New Roman" w:hAnsi="Times New Roman"/>
      <w:spacing w:val="0"/>
      <w:sz w:val="24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000000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Theme="majorHAnsi" w:hAnsiTheme="majorHAnsi"/>
      <w:bCs/>
      <w:color w:val="2B3B5F" w:themeColor="text2"/>
      <w:spacing w:val="-6"/>
      <w:kern w:val="32"/>
      <w:sz w:val="32"/>
      <w:szCs w:val="32"/>
    </w:rPr>
  </w:style>
  <w:style w:type="paragraph" w:styleId="ListParagraph">
    <w:name w:val="List Paragraph"/>
    <w:basedOn w:val="Normal"/>
    <w:link w:val="ListParagraphChar"/>
    <w:uiPriority w:val="1"/>
    <w:qFormat/>
    <w:rsid w:val="00B5385D"/>
    <w:pPr>
      <w:spacing w:before="24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B5385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6418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418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418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418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418B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556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PBO\CLC%20and%20CM%20-%20non-caretaker.DOTM" TargetMode="External"/></Relationships>
</file>

<file path=word/theme/theme1.xml><?xml version="1.0" encoding="utf-8"?>
<a:theme xmlns:a="http://schemas.openxmlformats.org/drawingml/2006/main" name="Office Theme">
  <a:themeElements>
    <a:clrScheme name="PBO v1">
      <a:dk1>
        <a:srgbClr val="000000"/>
      </a:dk1>
      <a:lt1>
        <a:srgbClr val="FFFFFF"/>
      </a:lt1>
      <a:dk2>
        <a:srgbClr val="2B3B5F"/>
      </a:dk2>
      <a:lt2>
        <a:srgbClr val="788184"/>
      </a:lt2>
      <a:accent1>
        <a:srgbClr val="2B3B5F"/>
      </a:accent1>
      <a:accent2>
        <a:srgbClr val="95A4C6"/>
      </a:accent2>
      <a:accent3>
        <a:srgbClr val="D7DDE9"/>
      </a:accent3>
      <a:accent4>
        <a:srgbClr val="751D71"/>
      </a:accent4>
      <a:accent5>
        <a:srgbClr val="B267B3"/>
      </a:accent5>
      <a:accent6>
        <a:srgbClr val="788184"/>
      </a:accent6>
      <a:hlink>
        <a:srgbClr val="000000"/>
      </a:hlink>
      <a:folHlink>
        <a:srgbClr val="000000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Com16</b:Tag>
    <b:SourceType>Report</b:SourceType>
    <b:Guid>{5B4EC681-07DE-47A5-8D75-A81C9B5C55A0}</b:Guid>
    <b:Author>
      <b:Author>
        <b:Corporate>Commonwealth of Australia</b:Corporate>
      </b:Author>
    </b:Author>
    <b:Title>2016-17 Budget</b:Title>
    <b:Year>2016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3C37769D-F6E9-49AA-B71E-0E27091C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CLC and CM - non-caretaker.DOTM</Template>
  <TotalTime>2</TotalTime>
  <Pages>8</Pages>
  <Words>1995</Words>
  <Characters>11198</Characters>
  <Application>Microsoft Office Word</Application>
  <DocSecurity>0</DocSecurity>
  <Lines>699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Savings account</dc:title>
  <dc:creator>Parliamentary Budget Office</dc:creator>
  <cp:lastModifiedBy>Pratley, Lauren (PBO)</cp:lastModifiedBy>
  <cp:revision>4</cp:revision>
  <cp:lastPrinted>2017-04-20T23:36:00Z</cp:lastPrinted>
  <dcterms:created xsi:type="dcterms:W3CDTF">2017-08-25T00:48:00Z</dcterms:created>
  <dcterms:modified xsi:type="dcterms:W3CDTF">2017-09-01T05:36:00Z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_MarkAsFinal">
    <vt:bool>true</vt:bool>
  </property>
</Properties>
</file>