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8E" w:rsidRDefault="00AA478E" w:rsidP="00AA478E">
      <w:pPr>
        <w:pStyle w:val="Heading1spacebefore"/>
        <w:tabs>
          <w:tab w:val="left" w:pos="2694"/>
        </w:tabs>
        <w:spacing w:before="480" w:after="240"/>
        <w:rPr>
          <w:sz w:val="32"/>
        </w:rPr>
      </w:pPr>
      <w:r w:rsidRPr="008D4FA9">
        <w:rPr>
          <w:sz w:val="32"/>
        </w:rPr>
        <w:t xml:space="preserve">Policy costing </w:t>
      </w:r>
    </w:p>
    <w:tbl>
      <w:tblPr>
        <w:tblStyle w:val="LightGrid-Accent6"/>
        <w:tblW w:w="4992" w:type="pct"/>
        <w:tblLook w:val="0600" w:firstRow="0" w:lastRow="0" w:firstColumn="0" w:lastColumn="0" w:noHBand="1" w:noVBand="1"/>
      </w:tblPr>
      <w:tblGrid>
        <w:gridCol w:w="3629"/>
        <w:gridCol w:w="2835"/>
        <w:gridCol w:w="2807"/>
      </w:tblGrid>
      <w:tr w:rsidR="00AA478E" w:rsidRPr="008D77AF" w:rsidTr="002A45A3">
        <w:tc>
          <w:tcPr>
            <w:tcW w:w="5000" w:type="pct"/>
            <w:gridSpan w:val="3"/>
            <w:shd w:val="clear" w:color="auto" w:fill="A7B2D4" w:themeFill="background2" w:themeFillTint="66"/>
          </w:tcPr>
          <w:p w:rsidR="00AA478E" w:rsidRPr="008D77AF" w:rsidRDefault="00545C2D" w:rsidP="00013620">
            <w:pPr>
              <w:pStyle w:val="Nameofproposal"/>
            </w:pPr>
            <w:bookmarkStart w:id="0" w:name="_GoBack"/>
            <w:r>
              <w:t>Revenue implications of changes to vehicle taxation measures – Fringe benefits tax exemption</w:t>
            </w:r>
            <w:bookmarkEnd w:id="0"/>
          </w:p>
        </w:tc>
      </w:tr>
      <w:tr w:rsidR="00AA478E" w:rsidRPr="008D77AF" w:rsidTr="00013620">
        <w:tc>
          <w:tcPr>
            <w:tcW w:w="1957" w:type="pct"/>
          </w:tcPr>
          <w:p w:rsidR="00AA478E" w:rsidRPr="008D77AF" w:rsidRDefault="00AA478E" w:rsidP="00696DCC">
            <w:pPr>
              <w:pStyle w:val="BodyText"/>
            </w:pPr>
            <w:r w:rsidRPr="008D77AF">
              <w:t>Person/party requesting the costing:</w:t>
            </w:r>
          </w:p>
        </w:tc>
        <w:tc>
          <w:tcPr>
            <w:tcW w:w="3043" w:type="pct"/>
            <w:gridSpan w:val="2"/>
            <w:tcBorders>
              <w:bottom w:val="single" w:sz="8" w:space="0" w:color="788183" w:themeColor="accent6"/>
            </w:tcBorders>
          </w:tcPr>
          <w:p w:rsidR="00AA478E" w:rsidRPr="008D77AF" w:rsidRDefault="00C124D1" w:rsidP="00696DCC">
            <w:pPr>
              <w:pStyle w:val="BodyText"/>
            </w:pPr>
            <w:sdt>
              <w:sdtPr>
                <w:alias w:val="Requestor"/>
                <w:tag w:val="Requestor"/>
                <w:id w:val="39022088"/>
                <w:placeholder>
                  <w:docPart w:val="3C9E8A8DAB534ED6AB8506C0A05A3B0A"/>
                </w:placeholder>
                <w:dropDownList>
                  <w:listItem w:value="Choose an item."/>
                  <w:listItem w:displayText="The Hon Chris Bowen MP, Australian Labor Party" w:value="The Hon Chris Bowen MP, Australian Labor Party"/>
                  <w:listItem w:displayText="Dr Jim Chalmers MP, Australian Labor Party" w:value="Dr Jim Chalmers MP, Australian Labor Party"/>
                  <w:listItem w:displayText="The Hon Dr Andrew Leigh MP, Australian Labor Party" w:value="The Hon Dr Andrew Leigh MP, Australian Labor Party"/>
                  <w:listItem w:displayText="Senator Richard Di Natale, Australian Greens" w:value="Senator Richard Di Natale, Australian Greens"/>
                  <w:listItem w:displayText="Senator David Leyonhjelm, Liberal Democratic Party" w:value="Senator David Leyonhjelm, Liberal Democratic Party"/>
                  <w:listItem w:displayText="Senator the Hon Kim Carr, Australian Labor Party" w:value="Senator the Hon Kim Carr, Australian Labor Party"/>
                  <w:listItem w:displayText="The Hon Tanya Plibersek MP, Australian Labor Party" w:value="The Hon Tanya Plibersek MP, Australian Labor Party"/>
                  <w:listItem w:displayText="Ms Terri Butler MP, Australian Labor Party" w:value="Ms Terri Butler MP, Australian Labor Party"/>
                  <w:listItem w:displayText="Senator Tim Storer, Senator for South Australia" w:value="Senator Tim Storer, Senator for South Australia"/>
                  <w:listItem w:displayText="The Hon Linda Burney MP, Australian Labor Party" w:value="The Hon Linda Burney MP, Australian Labor Party"/>
                </w:dropDownList>
              </w:sdtPr>
              <w:sdtEndPr/>
              <w:sdtContent>
                <w:r w:rsidR="00545C2D">
                  <w:t>Senator Tim Storer, Senator for South Australia</w:t>
                </w:r>
              </w:sdtContent>
            </w:sdt>
          </w:p>
        </w:tc>
      </w:tr>
      <w:tr w:rsidR="00AA478E" w:rsidRPr="008D77AF" w:rsidTr="00013620">
        <w:tc>
          <w:tcPr>
            <w:tcW w:w="1957" w:type="pct"/>
          </w:tcPr>
          <w:p w:rsidR="00AA478E" w:rsidRPr="008D77AF" w:rsidRDefault="00AA478E" w:rsidP="00696DCC">
            <w:pPr>
              <w:pStyle w:val="BodyText"/>
            </w:pPr>
            <w:r w:rsidRPr="008D77AF">
              <w:t>Date costing completed:</w:t>
            </w:r>
          </w:p>
        </w:tc>
        <w:tc>
          <w:tcPr>
            <w:tcW w:w="3043" w:type="pct"/>
            <w:gridSpan w:val="2"/>
          </w:tcPr>
          <w:p w:rsidR="00AA478E" w:rsidRPr="008D77AF" w:rsidRDefault="00E07FCB" w:rsidP="00BE2963">
            <w:pPr>
              <w:pStyle w:val="BodyText"/>
            </w:pPr>
            <w:r>
              <w:t>1</w:t>
            </w:r>
            <w:r w:rsidR="00BE2963">
              <w:t>4</w:t>
            </w:r>
            <w:r w:rsidR="00545C2D">
              <w:t xml:space="preserve"> December 2018</w:t>
            </w:r>
          </w:p>
        </w:tc>
      </w:tr>
      <w:tr w:rsidR="00AA478E" w:rsidRPr="008D77AF" w:rsidTr="00013620">
        <w:tc>
          <w:tcPr>
            <w:tcW w:w="1957" w:type="pct"/>
          </w:tcPr>
          <w:p w:rsidR="00AA478E" w:rsidRPr="008D77AF" w:rsidRDefault="00AA478E" w:rsidP="00696DCC">
            <w:pPr>
              <w:pStyle w:val="BodyText"/>
            </w:pPr>
            <w:r w:rsidRPr="008D77AF">
              <w:t>Expiry date of the costing:</w:t>
            </w:r>
          </w:p>
        </w:tc>
        <w:tc>
          <w:tcPr>
            <w:tcW w:w="3043" w:type="pct"/>
            <w:gridSpan w:val="2"/>
          </w:tcPr>
          <w:p w:rsidR="00AA478E" w:rsidRPr="008D77AF" w:rsidRDefault="00AA478E" w:rsidP="00696DCC">
            <w:pPr>
              <w:pStyle w:val="BodyText"/>
            </w:pPr>
            <w:r w:rsidRPr="008D77AF">
              <w:t>Release of the next economic and fiscal outlook report.</w:t>
            </w:r>
          </w:p>
        </w:tc>
      </w:tr>
      <w:tr w:rsidR="00AA478E" w:rsidTr="00013620">
        <w:tc>
          <w:tcPr>
            <w:tcW w:w="1957" w:type="pct"/>
            <w:vMerge w:val="restart"/>
          </w:tcPr>
          <w:p w:rsidR="00AA478E" w:rsidRDefault="00AA478E" w:rsidP="00696DCC">
            <w:pPr>
              <w:pStyle w:val="BodyText"/>
            </w:pPr>
            <w:r>
              <w:t>Status at time of request</w:t>
            </w:r>
            <w:r w:rsidRPr="008D77AF">
              <w:t>:</w:t>
            </w:r>
          </w:p>
        </w:tc>
        <w:tc>
          <w:tcPr>
            <w:tcW w:w="3043" w:type="pct"/>
            <w:gridSpan w:val="2"/>
            <w:tcBorders>
              <w:bottom w:val="nil"/>
              <w:right w:val="single" w:sz="8" w:space="0" w:color="788183" w:themeColor="accent6"/>
            </w:tcBorders>
          </w:tcPr>
          <w:p w:rsidR="00AA478E" w:rsidRDefault="00AA478E" w:rsidP="00696DCC">
            <w:pPr>
              <w:pStyle w:val="BodyText"/>
            </w:pPr>
            <w:r>
              <w:t>Submitted outside the caretaker period</w:t>
            </w:r>
          </w:p>
        </w:tc>
      </w:tr>
      <w:tr w:rsidR="00AA478E" w:rsidRPr="008D77AF" w:rsidTr="00013620">
        <w:tc>
          <w:tcPr>
            <w:tcW w:w="1957" w:type="pct"/>
            <w:vMerge/>
          </w:tcPr>
          <w:p w:rsidR="00AA478E" w:rsidRPr="008D77AF" w:rsidRDefault="00AA478E" w:rsidP="00013620">
            <w:pPr>
              <w:pStyle w:val="PullOutBoxBodyText"/>
              <w:ind w:left="0" w:right="0"/>
            </w:pPr>
          </w:p>
        </w:tc>
        <w:tc>
          <w:tcPr>
            <w:tcW w:w="1529" w:type="pct"/>
            <w:tcBorders>
              <w:top w:val="nil"/>
              <w:right w:val="nil"/>
            </w:tcBorders>
          </w:tcPr>
          <w:p w:rsidR="00AA478E" w:rsidRPr="008D77AF" w:rsidRDefault="00C124D1" w:rsidP="00696DCC">
            <w:pPr>
              <w:pStyle w:val="BodyText"/>
            </w:pPr>
            <w:sdt>
              <w:sdtPr>
                <w:id w:val="-901915855"/>
                <w14:checkbox>
                  <w14:checked w14:val="1"/>
                  <w14:checkedState w14:val="2612" w14:font="MS Gothic"/>
                  <w14:uncheckedState w14:val="2610" w14:font="MS Gothic"/>
                </w14:checkbox>
              </w:sdtPr>
              <w:sdtEndPr/>
              <w:sdtContent>
                <w:r w:rsidR="00781804">
                  <w:rPr>
                    <w:rFonts w:ascii="MS Gothic" w:eastAsia="MS Gothic" w:hAnsi="MS Gothic" w:hint="eastAsia"/>
                  </w:rPr>
                  <w:t>☒</w:t>
                </w:r>
              </w:sdtContent>
            </w:sdt>
            <w:r w:rsidR="00AA478E" w:rsidRPr="008D77AF">
              <w:t xml:space="preserve"> </w:t>
            </w:r>
            <w:r w:rsidR="00AA478E">
              <w:t>Confidential</w:t>
            </w:r>
          </w:p>
        </w:tc>
        <w:tc>
          <w:tcPr>
            <w:tcW w:w="1514" w:type="pct"/>
            <w:tcBorders>
              <w:top w:val="nil"/>
              <w:left w:val="nil"/>
              <w:right w:val="single" w:sz="8" w:space="0" w:color="788183" w:themeColor="accent6"/>
            </w:tcBorders>
          </w:tcPr>
          <w:p w:rsidR="00AA478E" w:rsidRPr="008D77AF" w:rsidRDefault="00C124D1" w:rsidP="00696DCC">
            <w:pPr>
              <w:pStyle w:val="BodyText"/>
            </w:pPr>
            <w:sdt>
              <w:sdtPr>
                <w:id w:val="1635065970"/>
                <w14:checkbox>
                  <w14:checked w14:val="0"/>
                  <w14:checkedState w14:val="2612" w14:font="MS Gothic"/>
                  <w14:uncheckedState w14:val="2610" w14:font="MS Gothic"/>
                </w14:checkbox>
              </w:sdtPr>
              <w:sdtEndPr/>
              <w:sdtContent>
                <w:r w:rsidR="00AA478E" w:rsidRPr="008D77AF">
                  <w:rPr>
                    <w:rFonts w:ascii="MS Gothic" w:eastAsia="MS Gothic" w:hAnsi="MS Gothic" w:hint="eastAsia"/>
                  </w:rPr>
                  <w:t>☐</w:t>
                </w:r>
              </w:sdtContent>
            </w:sdt>
            <w:r w:rsidR="00AA478E" w:rsidRPr="008D77AF">
              <w:t xml:space="preserve"> No</w:t>
            </w:r>
            <w:r w:rsidR="00AA478E">
              <w:t>t confidential</w:t>
            </w:r>
          </w:p>
        </w:tc>
      </w:tr>
      <w:tr w:rsidR="00AA478E" w:rsidRPr="008D77AF" w:rsidTr="00013620">
        <w:tc>
          <w:tcPr>
            <w:tcW w:w="5000" w:type="pct"/>
            <w:gridSpan w:val="3"/>
          </w:tcPr>
          <w:p w:rsidR="00AA478E" w:rsidRPr="00E75D5E" w:rsidRDefault="00AA478E" w:rsidP="00696DCC">
            <w:pPr>
              <w:pStyle w:val="BodyText"/>
            </w:pPr>
            <w:r w:rsidRPr="00E75D5E">
              <w:t>Summary of proposal:</w:t>
            </w:r>
          </w:p>
          <w:p w:rsidR="00AA478E" w:rsidRDefault="00545C2D" w:rsidP="001A1503">
            <w:pPr>
              <w:pStyle w:val="BodyText"/>
            </w:pPr>
            <w:r>
              <w:t>The proposal would exempt all newly purchased battery electric, plu</w:t>
            </w:r>
            <w:r w:rsidR="004C563B">
              <w:t>g-</w:t>
            </w:r>
            <w:r>
              <w:t xml:space="preserve">in hybrid electric, and hydrogen fuel </w:t>
            </w:r>
            <w:r w:rsidR="001A1503">
              <w:t xml:space="preserve">cell </w:t>
            </w:r>
            <w:r>
              <w:t xml:space="preserve">electric vehicles from </w:t>
            </w:r>
            <w:r w:rsidR="00C044DD">
              <w:t xml:space="preserve">the </w:t>
            </w:r>
            <w:r>
              <w:t xml:space="preserve">fringe benefits </w:t>
            </w:r>
            <w:r w:rsidR="001A1503">
              <w:t>tax</w:t>
            </w:r>
            <w:r w:rsidR="00C044DD">
              <w:t xml:space="preserve"> (FBT)</w:t>
            </w:r>
            <w:r w:rsidR="001A1503">
              <w:t>.</w:t>
            </w:r>
          </w:p>
          <w:p w:rsidR="004C563B" w:rsidRPr="008D77AF" w:rsidRDefault="004C563B" w:rsidP="001A1503">
            <w:pPr>
              <w:pStyle w:val="BodyText"/>
            </w:pPr>
            <w:r>
              <w:t>The proposal wo</w:t>
            </w:r>
            <w:r w:rsidR="00541653">
              <w:t>uld have effect from 1 July 2019</w:t>
            </w:r>
            <w:r>
              <w:t>.</w:t>
            </w:r>
          </w:p>
        </w:tc>
      </w:tr>
    </w:tbl>
    <w:p w:rsidR="00AA478E" w:rsidRPr="00D014E1" w:rsidRDefault="00AA478E" w:rsidP="00AA478E">
      <w:pPr>
        <w:pStyle w:val="Heading1"/>
      </w:pPr>
      <w:r w:rsidRPr="00D014E1">
        <w:t>Costing overview</w:t>
      </w:r>
    </w:p>
    <w:p w:rsidR="004C563B" w:rsidRDefault="004C563B" w:rsidP="004C563B">
      <w:pPr>
        <w:pStyle w:val="Heading2"/>
      </w:pPr>
      <w:r>
        <w:t>Policy background</w:t>
      </w:r>
    </w:p>
    <w:p w:rsidR="004C563B" w:rsidRDefault="00AC59F9" w:rsidP="004C563B">
      <w:pPr>
        <w:pStyle w:val="BodyText"/>
      </w:pPr>
      <w:r>
        <w:t xml:space="preserve">Vehicles provided by employers to their employees for private use are subject to </w:t>
      </w:r>
      <w:proofErr w:type="spellStart"/>
      <w:r w:rsidR="00C044DD">
        <w:t>FBT</w:t>
      </w:r>
      <w:proofErr w:type="spellEnd"/>
      <w:r>
        <w:t xml:space="preserve"> on the taxable value of the vehicle.  The </w:t>
      </w:r>
      <w:proofErr w:type="spellStart"/>
      <w:r w:rsidR="00C044DD">
        <w:t>FBT</w:t>
      </w:r>
      <w:proofErr w:type="spellEnd"/>
      <w:r>
        <w:t xml:space="preserve"> rate is currently 47 per cent, equal to the highest marginal tax rate, including the Medicare levy.  The taxable value can be calculated through either the operating cost method, where the taxable value is based on the operating costs of the vehicle associated with private and employment-</w:t>
      </w:r>
      <w:r w:rsidR="00DC1D0D">
        <w:t xml:space="preserve">related use, or the statutory formula method, where the taxable value is equal to 20 per cent of the base value of the vehicle. </w:t>
      </w:r>
    </w:p>
    <w:p w:rsidR="007F171C" w:rsidRDefault="00DC1D0D" w:rsidP="004C563B">
      <w:pPr>
        <w:pStyle w:val="BodyText"/>
      </w:pPr>
      <w:r>
        <w:t xml:space="preserve">Most salary packaging arrangements, where employees choose to forego cash </w:t>
      </w:r>
      <w:r w:rsidR="00E07FCB">
        <w:t xml:space="preserve">salary </w:t>
      </w:r>
      <w:r>
        <w:t>in favour of payments toward the lease and operating costs of a private vehicle, use the statutory formula method.  Through the statutory formula method, employees can reduce the taxable value of the vehicle by making post-tax contributions from their salary.  Salary packaging arrangements usually involve post-tax contributions to</w:t>
      </w:r>
      <w:r w:rsidR="007F171C">
        <w:t xml:space="preserve"> reduce the taxable value of the vehicle to zero, with any additional lease and operating costs for the vehicle made on a pre-tax basis.  </w:t>
      </w:r>
    </w:p>
    <w:p w:rsidR="007F171C" w:rsidRDefault="007F171C" w:rsidP="004C563B">
      <w:pPr>
        <w:pStyle w:val="BodyText"/>
      </w:pPr>
      <w:r>
        <w:t>The effect of such arrangements is a</w:t>
      </w:r>
      <w:r w:rsidR="00E07FCB">
        <w:t>n</w:t>
      </w:r>
      <w:r>
        <w:t xml:space="preserve"> exemption </w:t>
      </w:r>
      <w:r w:rsidR="00CF349E">
        <w:t xml:space="preserve">from </w:t>
      </w:r>
      <w:proofErr w:type="spellStart"/>
      <w:r w:rsidR="00C044DD">
        <w:t>FBT</w:t>
      </w:r>
      <w:proofErr w:type="spellEnd"/>
      <w:r>
        <w:t xml:space="preserve"> as long as the employee contributes a sufficient amount to the cost of the vehicle from their post</w:t>
      </w:r>
      <w:r>
        <w:noBreakHyphen/>
        <w:t xml:space="preserve">tax </w:t>
      </w:r>
      <w:proofErr w:type="gramStart"/>
      <w:r>
        <w:t>salary,</w:t>
      </w:r>
      <w:proofErr w:type="gramEnd"/>
      <w:r>
        <w:t xml:space="preserve"> the remaining costs can be met by the employer, usually from the employee’s pre-tax salary, without incurring any </w:t>
      </w:r>
      <w:proofErr w:type="spellStart"/>
      <w:r w:rsidR="00C044DD">
        <w:t>FBT</w:t>
      </w:r>
      <w:proofErr w:type="spellEnd"/>
      <w:r>
        <w:t xml:space="preserve"> liability.</w:t>
      </w:r>
    </w:p>
    <w:p w:rsidR="00DC1D0D" w:rsidRDefault="007F171C" w:rsidP="008A601C">
      <w:pPr>
        <w:keepLines/>
      </w:pPr>
      <w:r>
        <w:lastRenderedPageBreak/>
        <w:t xml:space="preserve">The proposal would change the </w:t>
      </w:r>
      <w:proofErr w:type="spellStart"/>
      <w:r w:rsidR="00C044DD">
        <w:t>FBT</w:t>
      </w:r>
      <w:proofErr w:type="spellEnd"/>
      <w:r>
        <w:t xml:space="preserve"> regime so that an exemption </w:t>
      </w:r>
      <w:r w:rsidR="00CF349E">
        <w:t xml:space="preserve">from </w:t>
      </w:r>
      <w:proofErr w:type="spellStart"/>
      <w:r w:rsidR="00C044DD">
        <w:t>FBT</w:t>
      </w:r>
      <w:proofErr w:type="spellEnd"/>
      <w:r>
        <w:t xml:space="preserve"> would be available for newly purchased battery electric, plug-in hybrid electric and hydrogen fuel cell electric vehicles</w:t>
      </w:r>
      <w:r w:rsidR="00E07FCB">
        <w:t xml:space="preserve"> without the requirement for a post-tax contribution</w:t>
      </w:r>
      <w:r>
        <w:t>.  This would allow employers to pay for all lease and operating costs of such vehicles using an employee’s pre-tax salary without incurring a</w:t>
      </w:r>
      <w:r w:rsidR="00C044DD">
        <w:t>n</w:t>
      </w:r>
      <w:r>
        <w:t xml:space="preserve"> </w:t>
      </w:r>
      <w:proofErr w:type="spellStart"/>
      <w:r w:rsidR="00C044DD">
        <w:t>FBT</w:t>
      </w:r>
      <w:proofErr w:type="spellEnd"/>
      <w:r>
        <w:t xml:space="preserve"> liability, which would reduce the effective (equivalent post-tax) cost of such vehicles.  </w:t>
      </w:r>
    </w:p>
    <w:p w:rsidR="004C563B" w:rsidRPr="004C563B" w:rsidRDefault="004C563B" w:rsidP="004C563B">
      <w:pPr>
        <w:pStyle w:val="Heading2"/>
      </w:pPr>
      <w:r>
        <w:t>Financial implications of proposal</w:t>
      </w:r>
    </w:p>
    <w:p w:rsidR="006262CF" w:rsidRDefault="004C563B" w:rsidP="006262CF">
      <w:pPr>
        <w:pStyle w:val="BodyText"/>
      </w:pPr>
      <w:r>
        <w:t>The proposal would be expected to decrease the underlying cash and fiscal balances by $140 million over the 2018</w:t>
      </w:r>
      <w:r>
        <w:noBreakHyphen/>
        <w:t>19 Budget forward estimates period.  This impact is entirely due to a decrease in revenue.</w:t>
      </w:r>
    </w:p>
    <w:p w:rsidR="006C1152" w:rsidRPr="006C1152" w:rsidRDefault="006C1152" w:rsidP="006262CF">
      <w:pPr>
        <w:pStyle w:val="BodyText"/>
      </w:pPr>
      <w:r>
        <w:t>The proposal would be expected to have ongoing impacts that extend beyond the 2018</w:t>
      </w:r>
      <w:r>
        <w:noBreakHyphen/>
        <w:t>19 Budget forward estimates period.  A breakdown of the financial implications of the proposal over the period to 2028</w:t>
      </w:r>
      <w:r>
        <w:noBreakHyphen/>
        <w:t xml:space="preserve">29 is provided at </w:t>
      </w:r>
      <w:r>
        <w:rPr>
          <w:u w:val="single"/>
        </w:rPr>
        <w:t>Attachment A</w:t>
      </w:r>
      <w:r>
        <w:t xml:space="preserve">. </w:t>
      </w:r>
    </w:p>
    <w:p w:rsidR="006C1152" w:rsidRDefault="006C1152" w:rsidP="006262CF">
      <w:pPr>
        <w:pStyle w:val="BodyText"/>
      </w:pPr>
      <w:r>
        <w:t>Departmental expenses would not be expected to be significant under the proposal as it would not materially change the complexity of the tax system.</w:t>
      </w:r>
    </w:p>
    <w:p w:rsidR="006C1152" w:rsidRPr="006C1152" w:rsidRDefault="006C1152" w:rsidP="006262CF">
      <w:pPr>
        <w:pStyle w:val="BodyText"/>
        <w:rPr>
          <w:vertAlign w:val="subscript"/>
        </w:rPr>
      </w:pPr>
      <w:r>
        <w:t xml:space="preserve">The costing is subject to uncertainties, particularly in </w:t>
      </w:r>
      <w:r w:rsidR="00E07FCB">
        <w:t>the absence of empirical research to support</w:t>
      </w:r>
      <w:r w:rsidR="00412B16">
        <w:t xml:space="preserve"> assumptions </w:t>
      </w:r>
      <w:r w:rsidR="00955868">
        <w:t xml:space="preserve">about </w:t>
      </w:r>
      <w:r w:rsidR="00412B16">
        <w:t xml:space="preserve">the size of </w:t>
      </w:r>
      <w:r>
        <w:t>behavioural responses to</w:t>
      </w:r>
      <w:r w:rsidR="00955868">
        <w:t xml:space="preserve"> the proposal.  The proposal is also subject to uncertainties regarding </w:t>
      </w:r>
      <w:r>
        <w:t xml:space="preserve">future demand for, and prices of, electric and non-electric vehicles.  </w:t>
      </w:r>
    </w:p>
    <w:p w:rsidR="0050132A" w:rsidRPr="00D014E1" w:rsidRDefault="0050132A" w:rsidP="00916F37">
      <w:pPr>
        <w:pStyle w:val="Caption"/>
      </w:pPr>
      <w:r w:rsidRPr="00D014E1">
        <w:t xml:space="preserve">Table </w:t>
      </w:r>
      <w:r w:rsidR="00111353">
        <w:t>1</w:t>
      </w:r>
      <w:r w:rsidRPr="00D014E1">
        <w:t xml:space="preserve">: </w:t>
      </w:r>
      <w:r w:rsidR="006B2F3C" w:rsidRPr="006B2F3C">
        <w:t>Revenue implications of changes to vehicle taxation measures – Fringe benefits tax exemption</w:t>
      </w:r>
      <w:r w:rsidR="006B2F3C">
        <w:t xml:space="preserve"> – </w:t>
      </w:r>
      <w:r w:rsidRPr="00D014E1">
        <w:t>Financial implications ($m</w:t>
      </w:r>
      <w:proofErr w:type="gramStart"/>
      <w:r w:rsidRPr="00D014E1">
        <w:t>)</w:t>
      </w:r>
      <w:r w:rsidRPr="00D014E1">
        <w:rPr>
          <w:vertAlign w:val="superscript"/>
        </w:rPr>
        <w:t>(</w:t>
      </w:r>
      <w:proofErr w:type="gramEnd"/>
      <w:r w:rsidRPr="00D014E1">
        <w:rPr>
          <w:vertAlign w:val="superscript"/>
        </w:rPr>
        <w:t>a)(b)</w:t>
      </w:r>
    </w:p>
    <w:tbl>
      <w:tblPr>
        <w:tblStyle w:val="LightGrid-Accent6"/>
        <w:tblW w:w="5000" w:type="pct"/>
        <w:tblLook w:val="0680" w:firstRow="0" w:lastRow="0" w:firstColumn="1" w:lastColumn="0" w:noHBand="1" w:noVBand="1"/>
      </w:tblPr>
      <w:tblGrid>
        <w:gridCol w:w="2742"/>
        <w:gridCol w:w="1310"/>
        <w:gridCol w:w="1309"/>
        <w:gridCol w:w="1309"/>
        <w:gridCol w:w="1309"/>
        <w:gridCol w:w="1307"/>
      </w:tblGrid>
      <w:tr w:rsidR="00FC65E5" w:rsidRPr="009B70E6" w:rsidTr="002A45A3">
        <w:tc>
          <w:tcPr>
            <w:cnfStyle w:val="001000000000" w:firstRow="0" w:lastRow="0" w:firstColumn="1" w:lastColumn="0" w:oddVBand="0" w:evenVBand="0" w:oddHBand="0" w:evenHBand="0" w:firstRowFirstColumn="0" w:firstRowLastColumn="0" w:lastRowFirstColumn="0" w:lastRowLastColumn="0"/>
            <w:tcW w:w="1476" w:type="pct"/>
            <w:shd w:val="clear" w:color="auto" w:fill="A7B2D4" w:themeFill="background2" w:themeFillTint="66"/>
            <w:vAlign w:val="center"/>
          </w:tcPr>
          <w:p w:rsidR="00FC65E5" w:rsidRPr="009B70E6" w:rsidRDefault="00FC65E5" w:rsidP="006262CF">
            <w:pPr>
              <w:pStyle w:val="TableHeading"/>
              <w:rPr>
                <w:b w:val="0"/>
                <w:sz w:val="22"/>
              </w:rPr>
            </w:pPr>
          </w:p>
        </w:tc>
        <w:tc>
          <w:tcPr>
            <w:tcW w:w="705" w:type="pct"/>
            <w:shd w:val="clear" w:color="auto" w:fill="A7B2D4" w:themeFill="background2" w:themeFillTint="66"/>
            <w:vAlign w:val="center"/>
          </w:tcPr>
          <w:p w:rsidR="00FC65E5" w:rsidRPr="009B70E6" w:rsidRDefault="00FC65E5" w:rsidP="00251946">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9B70E6">
              <w:rPr>
                <w:b w:val="0"/>
                <w:sz w:val="22"/>
              </w:rPr>
              <w:t>2018–19</w:t>
            </w:r>
          </w:p>
        </w:tc>
        <w:tc>
          <w:tcPr>
            <w:tcW w:w="705" w:type="pct"/>
            <w:shd w:val="clear" w:color="auto" w:fill="A7B2D4" w:themeFill="background2" w:themeFillTint="66"/>
            <w:vAlign w:val="center"/>
          </w:tcPr>
          <w:p w:rsidR="00FC65E5" w:rsidRPr="009B70E6" w:rsidRDefault="00FC65E5" w:rsidP="00251946">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9B70E6">
              <w:rPr>
                <w:b w:val="0"/>
                <w:sz w:val="22"/>
              </w:rPr>
              <w:t>2019–20</w:t>
            </w:r>
          </w:p>
        </w:tc>
        <w:tc>
          <w:tcPr>
            <w:tcW w:w="705" w:type="pct"/>
            <w:shd w:val="clear" w:color="auto" w:fill="A7B2D4" w:themeFill="background2" w:themeFillTint="66"/>
            <w:vAlign w:val="center"/>
          </w:tcPr>
          <w:p w:rsidR="00FC65E5" w:rsidRPr="009B70E6" w:rsidRDefault="00FC65E5" w:rsidP="00251946">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9B70E6">
              <w:rPr>
                <w:b w:val="0"/>
                <w:sz w:val="22"/>
              </w:rPr>
              <w:t>2020–21</w:t>
            </w:r>
          </w:p>
        </w:tc>
        <w:tc>
          <w:tcPr>
            <w:tcW w:w="705" w:type="pct"/>
            <w:shd w:val="clear" w:color="auto" w:fill="A7B2D4" w:themeFill="background2" w:themeFillTint="66"/>
            <w:vAlign w:val="center"/>
          </w:tcPr>
          <w:p w:rsidR="00FC65E5" w:rsidRPr="009B70E6" w:rsidRDefault="00FC65E5" w:rsidP="006262CF">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Pr>
                <w:b w:val="0"/>
                <w:sz w:val="22"/>
              </w:rPr>
              <w:t>2021–22</w:t>
            </w:r>
          </w:p>
        </w:tc>
        <w:tc>
          <w:tcPr>
            <w:tcW w:w="704" w:type="pct"/>
            <w:shd w:val="clear" w:color="auto" w:fill="A7B2D4" w:themeFill="background2" w:themeFillTint="66"/>
            <w:vAlign w:val="center"/>
          </w:tcPr>
          <w:p w:rsidR="00FC65E5" w:rsidRPr="009B70E6" w:rsidRDefault="00FC65E5" w:rsidP="00FC65E5">
            <w:pPr>
              <w:pStyle w:val="TableHeadingRight"/>
              <w:cnfStyle w:val="000000000000" w:firstRow="0" w:lastRow="0" w:firstColumn="0" w:lastColumn="0" w:oddVBand="0" w:evenVBand="0" w:oddHBand="0" w:evenHBand="0" w:firstRowFirstColumn="0" w:firstRowLastColumn="0" w:lastRowFirstColumn="0" w:lastRowLastColumn="0"/>
              <w:rPr>
                <w:sz w:val="22"/>
              </w:rPr>
            </w:pPr>
            <w:r w:rsidRPr="009B70E6">
              <w:rPr>
                <w:sz w:val="22"/>
              </w:rPr>
              <w:t>Total to 202</w:t>
            </w:r>
            <w:r>
              <w:rPr>
                <w:sz w:val="22"/>
              </w:rPr>
              <w:t>1</w:t>
            </w:r>
            <w:r w:rsidRPr="009B70E6">
              <w:rPr>
                <w:sz w:val="22"/>
              </w:rPr>
              <w:t>–2</w:t>
            </w:r>
            <w:r>
              <w:rPr>
                <w:sz w:val="22"/>
              </w:rPr>
              <w:t>2</w:t>
            </w:r>
          </w:p>
        </w:tc>
      </w:tr>
      <w:tr w:rsidR="004C563B" w:rsidRPr="009B70E6" w:rsidTr="00013620">
        <w:tc>
          <w:tcPr>
            <w:cnfStyle w:val="001000000000" w:firstRow="0" w:lastRow="0" w:firstColumn="1" w:lastColumn="0" w:oddVBand="0" w:evenVBand="0" w:oddHBand="0" w:evenHBand="0" w:firstRowFirstColumn="0" w:firstRowLastColumn="0" w:lastRowFirstColumn="0" w:lastRowLastColumn="0"/>
            <w:tcW w:w="1476" w:type="pct"/>
            <w:vAlign w:val="center"/>
          </w:tcPr>
          <w:p w:rsidR="004C563B" w:rsidRPr="009B70E6" w:rsidRDefault="004C563B" w:rsidP="006262CF">
            <w:pPr>
              <w:pStyle w:val="TableHeading"/>
              <w:rPr>
                <w:rFonts w:asciiTheme="majorHAnsi" w:hAnsiTheme="majorHAnsi"/>
                <w:b w:val="0"/>
                <w:sz w:val="22"/>
              </w:rPr>
            </w:pPr>
            <w:r w:rsidRPr="009B70E6">
              <w:rPr>
                <w:b w:val="0"/>
                <w:sz w:val="22"/>
              </w:rPr>
              <w:t>Fiscal balance</w:t>
            </w:r>
          </w:p>
        </w:tc>
        <w:tc>
          <w:tcPr>
            <w:tcW w:w="705" w:type="pct"/>
            <w:vAlign w:val="center"/>
          </w:tcPr>
          <w:p w:rsidR="004C563B" w:rsidRPr="004C563B" w:rsidRDefault="004C563B" w:rsidP="004C563B">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4C563B">
              <w:rPr>
                <w:b w:val="0"/>
                <w:sz w:val="22"/>
              </w:rPr>
              <w:t>-</w:t>
            </w:r>
          </w:p>
        </w:tc>
        <w:tc>
          <w:tcPr>
            <w:tcW w:w="705" w:type="pct"/>
            <w:vAlign w:val="center"/>
          </w:tcPr>
          <w:p w:rsidR="004C563B" w:rsidRPr="004C563B" w:rsidRDefault="004C563B" w:rsidP="004C563B">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4C563B">
              <w:rPr>
                <w:b w:val="0"/>
                <w:sz w:val="22"/>
              </w:rPr>
              <w:t>-20</w:t>
            </w:r>
          </w:p>
        </w:tc>
        <w:tc>
          <w:tcPr>
            <w:tcW w:w="705" w:type="pct"/>
            <w:vAlign w:val="center"/>
          </w:tcPr>
          <w:p w:rsidR="004C563B" w:rsidRPr="004C563B" w:rsidRDefault="004C563B" w:rsidP="004C563B">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4C563B">
              <w:rPr>
                <w:b w:val="0"/>
                <w:sz w:val="22"/>
              </w:rPr>
              <w:t>-40</w:t>
            </w:r>
          </w:p>
        </w:tc>
        <w:tc>
          <w:tcPr>
            <w:tcW w:w="705" w:type="pct"/>
            <w:vAlign w:val="center"/>
          </w:tcPr>
          <w:p w:rsidR="004C563B" w:rsidRPr="004C563B" w:rsidRDefault="004C563B" w:rsidP="004C563B">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4C563B">
              <w:rPr>
                <w:b w:val="0"/>
                <w:sz w:val="22"/>
              </w:rPr>
              <w:t>-90</w:t>
            </w:r>
          </w:p>
        </w:tc>
        <w:tc>
          <w:tcPr>
            <w:tcW w:w="704" w:type="pct"/>
            <w:vAlign w:val="center"/>
          </w:tcPr>
          <w:p w:rsidR="004C563B" w:rsidRPr="004C563B" w:rsidRDefault="004C563B" w:rsidP="004C563B">
            <w:pPr>
              <w:pStyle w:val="TableHeadingRight"/>
              <w:cnfStyle w:val="000000000000" w:firstRow="0" w:lastRow="0" w:firstColumn="0" w:lastColumn="0" w:oddVBand="0" w:evenVBand="0" w:oddHBand="0" w:evenHBand="0" w:firstRowFirstColumn="0" w:firstRowLastColumn="0" w:lastRowFirstColumn="0" w:lastRowLastColumn="0"/>
              <w:rPr>
                <w:sz w:val="22"/>
              </w:rPr>
            </w:pPr>
            <w:bookmarkStart w:id="1" w:name="RANGE!F2"/>
            <w:r w:rsidRPr="004C563B">
              <w:rPr>
                <w:sz w:val="22"/>
              </w:rPr>
              <w:t>-140</w:t>
            </w:r>
            <w:bookmarkEnd w:id="1"/>
          </w:p>
        </w:tc>
      </w:tr>
      <w:tr w:rsidR="004C563B" w:rsidRPr="009B70E6" w:rsidTr="00013620">
        <w:tc>
          <w:tcPr>
            <w:cnfStyle w:val="001000000000" w:firstRow="0" w:lastRow="0" w:firstColumn="1" w:lastColumn="0" w:oddVBand="0" w:evenVBand="0" w:oddHBand="0" w:evenHBand="0" w:firstRowFirstColumn="0" w:firstRowLastColumn="0" w:lastRowFirstColumn="0" w:lastRowLastColumn="0"/>
            <w:tcW w:w="1476" w:type="pct"/>
            <w:vAlign w:val="center"/>
          </w:tcPr>
          <w:p w:rsidR="004C563B" w:rsidRPr="009B70E6" w:rsidRDefault="004C563B" w:rsidP="006262CF">
            <w:pPr>
              <w:pStyle w:val="TableHeading"/>
              <w:rPr>
                <w:b w:val="0"/>
                <w:sz w:val="22"/>
              </w:rPr>
            </w:pPr>
            <w:r w:rsidRPr="009B70E6">
              <w:rPr>
                <w:b w:val="0"/>
                <w:sz w:val="22"/>
              </w:rPr>
              <w:t>Underlying cash balance</w:t>
            </w:r>
          </w:p>
        </w:tc>
        <w:tc>
          <w:tcPr>
            <w:tcW w:w="705" w:type="pct"/>
            <w:vAlign w:val="center"/>
          </w:tcPr>
          <w:p w:rsidR="004C563B" w:rsidRPr="004C563B" w:rsidRDefault="004C563B" w:rsidP="004C563B">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4C563B">
              <w:rPr>
                <w:b w:val="0"/>
                <w:sz w:val="22"/>
              </w:rPr>
              <w:t>-</w:t>
            </w:r>
          </w:p>
        </w:tc>
        <w:tc>
          <w:tcPr>
            <w:tcW w:w="705" w:type="pct"/>
            <w:vAlign w:val="center"/>
          </w:tcPr>
          <w:p w:rsidR="004C563B" w:rsidRPr="004C563B" w:rsidRDefault="004C563B" w:rsidP="004C563B">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4C563B">
              <w:rPr>
                <w:b w:val="0"/>
                <w:sz w:val="22"/>
              </w:rPr>
              <w:t>-20</w:t>
            </w:r>
          </w:p>
        </w:tc>
        <w:tc>
          <w:tcPr>
            <w:tcW w:w="705" w:type="pct"/>
            <w:vAlign w:val="center"/>
          </w:tcPr>
          <w:p w:rsidR="004C563B" w:rsidRPr="004C563B" w:rsidRDefault="004C563B" w:rsidP="004C563B">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4C563B">
              <w:rPr>
                <w:b w:val="0"/>
                <w:sz w:val="22"/>
              </w:rPr>
              <w:t>-40</w:t>
            </w:r>
          </w:p>
        </w:tc>
        <w:tc>
          <w:tcPr>
            <w:tcW w:w="705" w:type="pct"/>
            <w:vAlign w:val="center"/>
          </w:tcPr>
          <w:p w:rsidR="004C563B" w:rsidRPr="004C563B" w:rsidRDefault="004C563B" w:rsidP="004C563B">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4C563B">
              <w:rPr>
                <w:b w:val="0"/>
                <w:sz w:val="22"/>
              </w:rPr>
              <w:t>-90</w:t>
            </w:r>
          </w:p>
        </w:tc>
        <w:tc>
          <w:tcPr>
            <w:tcW w:w="704" w:type="pct"/>
            <w:vAlign w:val="center"/>
          </w:tcPr>
          <w:p w:rsidR="004C563B" w:rsidRPr="004C563B" w:rsidRDefault="004C563B" w:rsidP="004C563B">
            <w:pPr>
              <w:pStyle w:val="TableHeadingRight"/>
              <w:cnfStyle w:val="000000000000" w:firstRow="0" w:lastRow="0" w:firstColumn="0" w:lastColumn="0" w:oddVBand="0" w:evenVBand="0" w:oddHBand="0" w:evenHBand="0" w:firstRowFirstColumn="0" w:firstRowLastColumn="0" w:lastRowFirstColumn="0" w:lastRowLastColumn="0"/>
              <w:rPr>
                <w:sz w:val="22"/>
              </w:rPr>
            </w:pPr>
            <w:r w:rsidRPr="004C563B">
              <w:rPr>
                <w:sz w:val="22"/>
              </w:rPr>
              <w:t>-140</w:t>
            </w:r>
          </w:p>
        </w:tc>
      </w:tr>
    </w:tbl>
    <w:p w:rsidR="0050132A" w:rsidRPr="00A162FE" w:rsidRDefault="0050132A" w:rsidP="006262CF">
      <w:pPr>
        <w:keepNext/>
        <w:keepLines/>
        <w:spacing w:line="260" w:lineRule="atLeast"/>
        <w:ind w:left="284" w:hanging="284"/>
        <w:rPr>
          <w:sz w:val="20"/>
          <w:szCs w:val="20"/>
        </w:rPr>
      </w:pPr>
      <w:r w:rsidRPr="00A162FE">
        <w:rPr>
          <w:sz w:val="20"/>
          <w:szCs w:val="20"/>
        </w:rPr>
        <w:t>(a)</w:t>
      </w:r>
      <w:r w:rsidRPr="00A162FE">
        <w:rPr>
          <w:sz w:val="20"/>
          <w:szCs w:val="20"/>
        </w:rPr>
        <w:tab/>
        <w:t>A positive number represents an increase in the relevant budget balance; a negative number represents a decrease.</w:t>
      </w:r>
    </w:p>
    <w:p w:rsidR="0050132A" w:rsidRPr="00A162FE" w:rsidRDefault="0050132A" w:rsidP="006262CF">
      <w:pPr>
        <w:keepNext/>
        <w:keepLines/>
        <w:spacing w:line="260" w:lineRule="atLeast"/>
        <w:ind w:left="284" w:hanging="284"/>
        <w:rPr>
          <w:sz w:val="20"/>
          <w:szCs w:val="20"/>
        </w:rPr>
      </w:pPr>
      <w:r w:rsidRPr="00A162FE">
        <w:rPr>
          <w:sz w:val="20"/>
          <w:szCs w:val="20"/>
        </w:rPr>
        <w:t>(b)</w:t>
      </w:r>
      <w:r w:rsidRPr="00A162FE">
        <w:rPr>
          <w:sz w:val="20"/>
          <w:szCs w:val="20"/>
        </w:rPr>
        <w:tab/>
        <w:t>Figures may not sum to totals due to rounding.</w:t>
      </w:r>
    </w:p>
    <w:p w:rsidR="0050132A" w:rsidRPr="006262CF" w:rsidRDefault="0050132A" w:rsidP="006262CF">
      <w:pPr>
        <w:pStyle w:val="ListParagraph"/>
        <w:keepLines/>
        <w:numPr>
          <w:ilvl w:val="0"/>
          <w:numId w:val="40"/>
        </w:numPr>
        <w:spacing w:line="260" w:lineRule="atLeast"/>
        <w:ind w:left="284" w:hanging="284"/>
        <w:contextualSpacing w:val="0"/>
        <w:rPr>
          <w:sz w:val="20"/>
          <w:szCs w:val="20"/>
        </w:rPr>
      </w:pPr>
      <w:r w:rsidRPr="006262CF">
        <w:rPr>
          <w:sz w:val="20"/>
          <w:szCs w:val="20"/>
        </w:rPr>
        <w:t>Indicates nil.</w:t>
      </w:r>
    </w:p>
    <w:p w:rsidR="006C3668" w:rsidRDefault="00FE3B13" w:rsidP="00696DCC">
      <w:pPr>
        <w:pStyle w:val="Heading1"/>
      </w:pPr>
      <w:r w:rsidRPr="00D014E1">
        <w:t>Key assumptions</w:t>
      </w:r>
    </w:p>
    <w:p w:rsidR="00BB3504" w:rsidRDefault="00BB3504" w:rsidP="008A601C">
      <w:pPr>
        <w:pStyle w:val="ListBullet"/>
        <w:numPr>
          <w:ilvl w:val="0"/>
          <w:numId w:val="0"/>
        </w:numPr>
        <w:ind w:left="284" w:hanging="284"/>
      </w:pPr>
      <w:r>
        <w:t>The Parliamentary Budget Office has made the following assumptions in costing this proposal:</w:t>
      </w:r>
    </w:p>
    <w:p w:rsidR="00C804A5" w:rsidRDefault="00C804A5" w:rsidP="00C804A5">
      <w:pPr>
        <w:pStyle w:val="ListBullet"/>
      </w:pPr>
      <w:r>
        <w:t xml:space="preserve">Purchases of new battery electric, plug-in hybrid </w:t>
      </w:r>
      <w:proofErr w:type="gramStart"/>
      <w:r>
        <w:t>electric,</w:t>
      </w:r>
      <w:proofErr w:type="gramEnd"/>
      <w:r>
        <w:t xml:space="preserve"> and hydrogen fuel cell electric vehicles </w:t>
      </w:r>
      <w:r w:rsidR="00724B92">
        <w:t xml:space="preserve">currently comprise only a small proportion of </w:t>
      </w:r>
      <w:r>
        <w:t xml:space="preserve">total vehicle purchases, and </w:t>
      </w:r>
      <w:r w:rsidR="00724B92">
        <w:t xml:space="preserve">would </w:t>
      </w:r>
      <w:r>
        <w:t>grow to 15</w:t>
      </w:r>
      <w:r w:rsidR="005D4B99">
        <w:t> </w:t>
      </w:r>
      <w:r>
        <w:t>per</w:t>
      </w:r>
      <w:r w:rsidR="005D4B99">
        <w:t> </w:t>
      </w:r>
      <w:r>
        <w:t>cent of total vehicle purchases by 2028</w:t>
      </w:r>
      <w:r>
        <w:noBreakHyphen/>
        <w:t xml:space="preserve">29.  This assumption has been informed by market research by Energeia and </w:t>
      </w:r>
      <w:proofErr w:type="spellStart"/>
      <w:r>
        <w:t>ClimateWorks</w:t>
      </w:r>
      <w:proofErr w:type="spellEnd"/>
      <w:r>
        <w:t xml:space="preserve"> Australia. </w:t>
      </w:r>
    </w:p>
    <w:p w:rsidR="00111353" w:rsidRDefault="00111353" w:rsidP="006B2F3C">
      <w:pPr>
        <w:pStyle w:val="ListBullet2"/>
      </w:pPr>
      <w:r>
        <w:t>Total vehicle purchases would grow over the period to 2028</w:t>
      </w:r>
      <w:r>
        <w:noBreakHyphen/>
        <w:t xml:space="preserve">29 in line with </w:t>
      </w:r>
      <w:r w:rsidR="007F171C">
        <w:t>2018</w:t>
      </w:r>
      <w:r w:rsidR="007F171C">
        <w:noBreakHyphen/>
        <w:t>19 Budget projections</w:t>
      </w:r>
      <w:r>
        <w:t>.</w:t>
      </w:r>
    </w:p>
    <w:p w:rsidR="00410B35" w:rsidRDefault="00A132C3" w:rsidP="00857C91">
      <w:pPr>
        <w:pStyle w:val="ListBullet"/>
      </w:pPr>
      <w:r>
        <w:t xml:space="preserve">In the absence of a behavioural response to the proposal, the proportion of new vehicle purchases made under salary packaging arrangements is the same for </w:t>
      </w:r>
      <w:r w:rsidR="00410B35">
        <w:t xml:space="preserve">electric and non-electric </w:t>
      </w:r>
      <w:r>
        <w:t>vehicles</w:t>
      </w:r>
      <w:r w:rsidR="00410B35">
        <w:t xml:space="preserve">.  </w:t>
      </w:r>
    </w:p>
    <w:p w:rsidR="00111353" w:rsidRDefault="00410B35" w:rsidP="006B2F3C">
      <w:pPr>
        <w:pStyle w:val="ListBullet2"/>
      </w:pPr>
      <w:r>
        <w:t>Around 8 per cent of new vehicles are purchased under salary packaging arrangements as of 2017</w:t>
      </w:r>
      <w:r>
        <w:noBreakHyphen/>
        <w:t>18.</w:t>
      </w:r>
    </w:p>
    <w:p w:rsidR="00532B17" w:rsidRDefault="00B75195" w:rsidP="00E21736">
      <w:pPr>
        <w:pStyle w:val="ListBullet2"/>
      </w:pPr>
      <w:r>
        <w:t xml:space="preserve">The assumed </w:t>
      </w:r>
      <w:r w:rsidR="00AC59F9">
        <w:t xml:space="preserve">behavioural response to this proposal would approximately double the number of </w:t>
      </w:r>
      <w:r w:rsidR="00E21736" w:rsidRPr="00E21736">
        <w:t>newly purchased battery electric, plug-in hybrid electric, and hydrogen fuel cell electric vehicles</w:t>
      </w:r>
      <w:r w:rsidR="00E21736">
        <w:t xml:space="preserve"> being salary packaged.  This behavioural response is a result of the reduction in the effective (equivalent post-tax) cost of such vehicles. </w:t>
      </w:r>
      <w:r w:rsidR="00DF714E">
        <w:t xml:space="preserve"> The cost of this proposal is highly sensitive to this assumption. </w:t>
      </w:r>
      <w:r w:rsidR="005064F0">
        <w:t xml:space="preserve"> In absence of this behavioural response, the cost of the proposal would decrease by around 70 per cent </w:t>
      </w:r>
      <w:r>
        <w:t xml:space="preserve">to </w:t>
      </w:r>
      <w:r w:rsidR="00BF0DFD">
        <w:t xml:space="preserve">around </w:t>
      </w:r>
      <w:r w:rsidR="005064F0">
        <w:t>$</w:t>
      </w:r>
      <w:r w:rsidR="00BF0DFD">
        <w:t>1</w:t>
      </w:r>
      <w:r w:rsidR="005064F0">
        <w:t xml:space="preserve"> billion over the period to 2028-29. </w:t>
      </w:r>
    </w:p>
    <w:p w:rsidR="00724B92" w:rsidRDefault="00724B92" w:rsidP="00724B92">
      <w:pPr>
        <w:pStyle w:val="ListBullet"/>
      </w:pPr>
      <w:r>
        <w:t xml:space="preserve">The proposal would be announced on the same day that it would come into effect, </w:t>
      </w:r>
      <w:proofErr w:type="spellStart"/>
      <w:r>
        <w:t>ie</w:t>
      </w:r>
      <w:proofErr w:type="spellEnd"/>
      <w:r>
        <w:t xml:space="preserve"> 1 July 2019.</w:t>
      </w:r>
    </w:p>
    <w:p w:rsidR="00AC59F9" w:rsidRDefault="009763D7" w:rsidP="00AC59F9">
      <w:pPr>
        <w:pStyle w:val="ListBullet"/>
      </w:pPr>
      <w:r>
        <w:t>New s</w:t>
      </w:r>
      <w:r w:rsidR="00AC59F9">
        <w:t xml:space="preserve">alary packaging arrangements would </w:t>
      </w:r>
      <w:r>
        <w:t>be paid for through a reduction in an employee’s cash remuneration.</w:t>
      </w:r>
    </w:p>
    <w:p w:rsidR="00FE3B13" w:rsidRPr="00D014E1" w:rsidRDefault="00FE3B13" w:rsidP="0056001A">
      <w:pPr>
        <w:pStyle w:val="Heading1"/>
      </w:pPr>
      <w:r w:rsidRPr="00D014E1">
        <w:t>Methodology</w:t>
      </w:r>
    </w:p>
    <w:p w:rsidR="005467E2" w:rsidRDefault="009763D7" w:rsidP="005467E2">
      <w:pPr>
        <w:pStyle w:val="ListBullet"/>
      </w:pPr>
      <w:r>
        <w:t xml:space="preserve">Data on the number </w:t>
      </w:r>
      <w:r w:rsidR="00352B4F">
        <w:t xml:space="preserve">and value of electric vehicles </w:t>
      </w:r>
      <w:r w:rsidR="001D6333">
        <w:t>purchased in Australia</w:t>
      </w:r>
      <w:r w:rsidR="00B96DC3">
        <w:t>, and the number of vehicles using the statutory formula for salary packaging,</w:t>
      </w:r>
      <w:r w:rsidR="001D6333">
        <w:t xml:space="preserve"> </w:t>
      </w:r>
      <w:r w:rsidR="00B96DC3">
        <w:t xml:space="preserve">were </w:t>
      </w:r>
      <w:r w:rsidR="001D6333">
        <w:t xml:space="preserve">provided by the Australian </w:t>
      </w:r>
      <w:r w:rsidR="00B96DC3">
        <w:t xml:space="preserve">Taxation </w:t>
      </w:r>
      <w:r w:rsidR="001D6333">
        <w:t>Office</w:t>
      </w:r>
      <w:r w:rsidR="00B96DC3">
        <w:t xml:space="preserve"> (ATO) and grown over the period to 2028</w:t>
      </w:r>
      <w:r w:rsidR="00B96DC3">
        <w:noBreakHyphen/>
        <w:t>29</w:t>
      </w:r>
      <w:r w:rsidR="00C044DD">
        <w:t>,</w:t>
      </w:r>
      <w:r w:rsidR="00B96DC3">
        <w:t xml:space="preserve"> in line with the growth rate in total vehicle purchases</w:t>
      </w:r>
      <w:r w:rsidR="00892428">
        <w:t xml:space="preserve"> as at the 2018</w:t>
      </w:r>
      <w:r w:rsidR="00892428">
        <w:noBreakHyphen/>
        <w:t>19 Budget</w:t>
      </w:r>
      <w:r w:rsidR="00B96DC3">
        <w:t xml:space="preserve">. </w:t>
      </w:r>
    </w:p>
    <w:p w:rsidR="00B96DC3" w:rsidRDefault="00B96DC3" w:rsidP="005467E2">
      <w:pPr>
        <w:pStyle w:val="ListBullet"/>
      </w:pPr>
      <w:r>
        <w:t xml:space="preserve">The taxable value of vehicles subject to the proposal was estimated based on the assumptions highlighted above.  </w:t>
      </w:r>
    </w:p>
    <w:p w:rsidR="001D6333" w:rsidRDefault="001D6333" w:rsidP="005467E2">
      <w:pPr>
        <w:pStyle w:val="ListBullet"/>
      </w:pPr>
      <w:r>
        <w:t xml:space="preserve">The revenue cost of the proposal was derived by </w:t>
      </w:r>
      <w:r w:rsidR="00B96DC3">
        <w:t>estimating the reduction in taxable income as a result of the proposal (</w:t>
      </w:r>
      <w:proofErr w:type="spellStart"/>
      <w:r w:rsidR="00B96DC3">
        <w:t>ie</w:t>
      </w:r>
      <w:proofErr w:type="spellEnd"/>
      <w:r w:rsidR="00B96DC3">
        <w:t xml:space="preserve"> the effect of removing the requirement for post-tax contributions for electric vehicles, as well as the expected increase in salary packaged </w:t>
      </w:r>
      <w:r w:rsidR="005B6BA1">
        <w:t xml:space="preserve">electric </w:t>
      </w:r>
      <w:r w:rsidR="00B96DC3">
        <w:t>vehicles</w:t>
      </w:r>
      <w:r w:rsidR="005B6BA1">
        <w:t xml:space="preserve"> arising from the proposal</w:t>
      </w:r>
      <w:r w:rsidR="00B96DC3">
        <w:t>)</w:t>
      </w:r>
      <w:r w:rsidR="00892428">
        <w:t xml:space="preserve"> multiplied by an average marginal tax rate for employees</w:t>
      </w:r>
      <w:r w:rsidR="00B96DC3">
        <w:t xml:space="preserve">. </w:t>
      </w:r>
    </w:p>
    <w:p w:rsidR="001F3701" w:rsidRDefault="001F3701" w:rsidP="005467E2">
      <w:pPr>
        <w:pStyle w:val="ListBullet"/>
      </w:pPr>
      <w:r>
        <w:t xml:space="preserve">The average marginal tax rate for employees </w:t>
      </w:r>
      <w:r w:rsidR="005B6BA1">
        <w:t xml:space="preserve">who are able to benefit from salary packaging arrangements </w:t>
      </w:r>
      <w:r>
        <w:t xml:space="preserve">was estimated based on a 16 per cent sample of personal income tax returns for the 2014-15 financial </w:t>
      </w:r>
      <w:proofErr w:type="gramStart"/>
      <w:r>
        <w:t>year</w:t>
      </w:r>
      <w:proofErr w:type="gramEnd"/>
      <w:r>
        <w:t>.</w:t>
      </w:r>
    </w:p>
    <w:p w:rsidR="009763D7" w:rsidRPr="00002D5D" w:rsidRDefault="009763D7" w:rsidP="005467E2">
      <w:pPr>
        <w:pStyle w:val="ListBullet"/>
      </w:pPr>
      <w:r>
        <w:t>All financial estimates have been rounded to the nearest $10 million.</w:t>
      </w:r>
    </w:p>
    <w:p w:rsidR="00FE3B13" w:rsidRPr="00D014E1" w:rsidRDefault="00FE3B13" w:rsidP="00FE3B13">
      <w:pPr>
        <w:pStyle w:val="Heading1"/>
      </w:pPr>
      <w:r w:rsidRPr="00D014E1">
        <w:t>Data sources</w:t>
      </w:r>
    </w:p>
    <w:p w:rsidR="00066D54" w:rsidRPr="003A2B08" w:rsidRDefault="003A2B08" w:rsidP="00B311BA">
      <w:pPr>
        <w:pStyle w:val="BodyText"/>
      </w:pPr>
      <w:r w:rsidRPr="003A2B08">
        <w:t xml:space="preserve">The ATO provided data on the number and value of electric vehicles purchased in Australia, the number of vehicles using the statutory formula for salary packaging, and a 16 per cent sample of personal income tax returns for the 2014-15 financial </w:t>
      </w:r>
      <w:proofErr w:type="gramStart"/>
      <w:r w:rsidRPr="003A2B08">
        <w:t>year</w:t>
      </w:r>
      <w:proofErr w:type="gramEnd"/>
      <w:r w:rsidRPr="003A2B08">
        <w:t>.</w:t>
      </w:r>
    </w:p>
    <w:p w:rsidR="003A2B08" w:rsidRPr="003A2B08" w:rsidRDefault="003A2B08" w:rsidP="00B311BA">
      <w:pPr>
        <w:pStyle w:val="BodyText"/>
      </w:pPr>
      <w:r w:rsidRPr="003A2B08">
        <w:t xml:space="preserve">Treasury provided growth forecasts for economic parameters over the period to 2028-29, in line with the 2018-19 Budget. </w:t>
      </w:r>
    </w:p>
    <w:p w:rsidR="00FC65B0" w:rsidRPr="00A960C2" w:rsidRDefault="00FC65B0" w:rsidP="00A960C2">
      <w:pPr>
        <w:pStyle w:val="BodyText"/>
      </w:pPr>
      <w:proofErr w:type="spellStart"/>
      <w:proofErr w:type="gramStart"/>
      <w:r w:rsidRPr="00A960C2">
        <w:t>ClimateWorks</w:t>
      </w:r>
      <w:proofErr w:type="spellEnd"/>
      <w:r w:rsidRPr="00A960C2">
        <w:t xml:space="preserve"> Australia, 2018.</w:t>
      </w:r>
      <w:proofErr w:type="gramEnd"/>
      <w:r w:rsidRPr="00A960C2">
        <w:t xml:space="preserve"> </w:t>
      </w:r>
      <w:r w:rsidRPr="00A960C2">
        <w:rPr>
          <w:i/>
        </w:rPr>
        <w:t>The state of electric vehicles in Australia</w:t>
      </w:r>
      <w:r w:rsidRPr="00FC65B0">
        <w:t>, Electric Vehicle Council:</w:t>
      </w:r>
      <w:r>
        <w:t xml:space="preserve"> </w:t>
      </w:r>
      <w:r w:rsidRPr="00A960C2">
        <w:t>Sydney.</w:t>
      </w:r>
    </w:p>
    <w:p w:rsidR="00FC65B0" w:rsidRPr="00A960C2" w:rsidRDefault="00FC65B0" w:rsidP="00A960C2">
      <w:pPr>
        <w:pStyle w:val="BodyText"/>
      </w:pPr>
      <w:proofErr w:type="gramStart"/>
      <w:r w:rsidRPr="00A960C2">
        <w:t>Energeia, 2018.</w:t>
      </w:r>
      <w:proofErr w:type="gramEnd"/>
      <w:r w:rsidRPr="00A960C2">
        <w:t xml:space="preserve"> </w:t>
      </w:r>
      <w:r w:rsidRPr="00A960C2">
        <w:rPr>
          <w:i/>
        </w:rPr>
        <w:t>Australian Electric Vehicle Market Study</w:t>
      </w:r>
      <w:r w:rsidRPr="00A960C2">
        <w:t>, Energeia: Sydney.</w:t>
      </w:r>
    </w:p>
    <w:p w:rsidR="007D0ABE" w:rsidRPr="0046444F" w:rsidRDefault="00FC65B0" w:rsidP="00FC65B0">
      <w:pPr>
        <w:pStyle w:val="BodyText"/>
      </w:pPr>
      <w:r w:rsidRPr="00A960C2">
        <w:t xml:space="preserve">Schmidt, B, 2018. </w:t>
      </w:r>
      <w:r w:rsidRPr="008A601C">
        <w:rPr>
          <w:i/>
        </w:rPr>
        <w:t>Tesla sold 1410 electric vehicles in Australia in 2017, new data shows</w:t>
      </w:r>
      <w:r w:rsidRPr="00FC65B0">
        <w:t>,</w:t>
      </w:r>
      <w:r>
        <w:t xml:space="preserve"> </w:t>
      </w:r>
      <w:r w:rsidRPr="00A960C2">
        <w:t>Renew Economy, [online] available at https://reneweconomy.com.au/tesla-sold-1410-electricvehicles-in-australia-in-2017-new-data-shows-98222/ [accessed 20.11.2018].</w:t>
      </w:r>
    </w:p>
    <w:p w:rsidR="0046444F" w:rsidRDefault="0046444F" w:rsidP="00B311BA">
      <w:pPr>
        <w:pStyle w:val="BodyText"/>
        <w:sectPr w:rsidR="0046444F" w:rsidSect="007A4238">
          <w:headerReference w:type="default" r:id="rId9"/>
          <w:footerReference w:type="default" r:id="rId10"/>
          <w:headerReference w:type="first" r:id="rId11"/>
          <w:footerReference w:type="first" r:id="rId12"/>
          <w:pgSz w:w="11906" w:h="16838" w:code="9"/>
          <w:pgMar w:top="1134" w:right="1418" w:bottom="1134" w:left="1418" w:header="284" w:footer="454" w:gutter="0"/>
          <w:pgNumType w:start="1"/>
          <w:cols w:space="708"/>
          <w:formProt w:val="0"/>
          <w:titlePg/>
          <w:docGrid w:linePitch="360"/>
        </w:sectPr>
      </w:pPr>
    </w:p>
    <w:p w:rsidR="00016D53" w:rsidRPr="00D014E1" w:rsidRDefault="00016D53" w:rsidP="00B538BA">
      <w:pPr>
        <w:pStyle w:val="Heading8"/>
        <w:spacing w:before="240" w:after="120"/>
      </w:pPr>
      <w:r w:rsidRPr="00D014E1">
        <w:t xml:space="preserve">– </w:t>
      </w:r>
      <w:r w:rsidR="00C124D1">
        <w:fldChar w:fldCharType="begin"/>
      </w:r>
      <w:r w:rsidR="00C124D1">
        <w:instrText xml:space="preserve"> STYLEREF  "Name of proposal"  \* MERGEFORMAT </w:instrText>
      </w:r>
      <w:r w:rsidR="00C124D1">
        <w:fldChar w:fldCharType="separate"/>
      </w:r>
      <w:r w:rsidR="004650AC">
        <w:rPr>
          <w:noProof/>
        </w:rPr>
        <w:t>Revenue implications of changes to vehicle taxation measures – Fringe benefits tax exemption</w:t>
      </w:r>
      <w:r w:rsidR="00C124D1">
        <w:rPr>
          <w:noProof/>
        </w:rPr>
        <w:fldChar w:fldCharType="end"/>
      </w:r>
      <w:r w:rsidR="00326E3E" w:rsidRPr="00D014E1">
        <w:t xml:space="preserve"> – </w:t>
      </w:r>
      <w:r w:rsidRPr="00D014E1">
        <w:t>financial implications</w:t>
      </w:r>
    </w:p>
    <w:p w:rsidR="00111353" w:rsidRDefault="00111353" w:rsidP="00246E30">
      <w:pPr>
        <w:pStyle w:val="Caption"/>
        <w:widowControl w:val="0"/>
        <w:tabs>
          <w:tab w:val="left" w:pos="9356"/>
        </w:tabs>
        <w:rPr>
          <w:vertAlign w:val="superscript"/>
        </w:rPr>
      </w:pPr>
      <w:r w:rsidRPr="002D239A">
        <w:t xml:space="preserve">Table </w:t>
      </w:r>
      <w:r w:rsidR="00C124D1">
        <w:fldChar w:fldCharType="begin"/>
      </w:r>
      <w:r w:rsidR="00C124D1">
        <w:instrText xml:space="preserve"> STYLEREF 8 \s </w:instrText>
      </w:r>
      <w:r w:rsidR="00C124D1">
        <w:fldChar w:fldCharType="separate"/>
      </w:r>
      <w:r w:rsidR="004650AC">
        <w:rPr>
          <w:noProof/>
        </w:rPr>
        <w:t>A</w:t>
      </w:r>
      <w:r w:rsidR="00C124D1">
        <w:rPr>
          <w:noProof/>
        </w:rPr>
        <w:fldChar w:fldCharType="end"/>
      </w:r>
      <w:r w:rsidR="00C124D1">
        <w:fldChar w:fldCharType="begin"/>
      </w:r>
      <w:r w:rsidR="00C124D1">
        <w:instrText xml:space="preserve"> SEQ AppendixTable\s 8 </w:instrText>
      </w:r>
      <w:r w:rsidR="00C124D1">
        <w:fldChar w:fldCharType="separate"/>
      </w:r>
      <w:r w:rsidR="004650AC">
        <w:rPr>
          <w:noProof/>
        </w:rPr>
        <w:t>1</w:t>
      </w:r>
      <w:r w:rsidR="00C124D1">
        <w:rPr>
          <w:noProof/>
        </w:rPr>
        <w:fldChar w:fldCharType="end"/>
      </w:r>
      <w:r w:rsidRPr="002D239A">
        <w:t xml:space="preserve">: </w:t>
      </w:r>
      <w:r w:rsidR="00C124D1">
        <w:fldChar w:fldCharType="begin"/>
      </w:r>
      <w:r w:rsidR="00C124D1">
        <w:instrText xml:space="preserve"> STYLEREF  "Name of proposal"  \* MERGEFORMAT </w:instrText>
      </w:r>
      <w:r w:rsidR="00C124D1">
        <w:fldChar w:fldCharType="separate"/>
      </w:r>
      <w:r w:rsidR="004650AC">
        <w:rPr>
          <w:noProof/>
        </w:rPr>
        <w:t>Revenue implications of changes to vehicle taxation measures – Fringe benefits tax exemption</w:t>
      </w:r>
      <w:r w:rsidR="00C124D1">
        <w:rPr>
          <w:noProof/>
        </w:rPr>
        <w:fldChar w:fldCharType="end"/>
      </w:r>
      <w:r>
        <w:t xml:space="preserve"> – Fiscal and underlying cash balances ($m</w:t>
      </w:r>
      <w:proofErr w:type="gramStart"/>
      <w:r>
        <w:t>)</w:t>
      </w:r>
      <w:r w:rsidRPr="002D239A">
        <w:rPr>
          <w:vertAlign w:val="superscript"/>
        </w:rPr>
        <w:t>(</w:t>
      </w:r>
      <w:proofErr w:type="gramEnd"/>
      <w:r w:rsidRPr="002D239A">
        <w:rPr>
          <w:vertAlign w:val="superscript"/>
        </w:rPr>
        <w:t>a)(b)</w:t>
      </w:r>
    </w:p>
    <w:tbl>
      <w:tblPr>
        <w:tblStyle w:val="LightGrid-Accent6"/>
        <w:tblW w:w="5004" w:type="pct"/>
        <w:tblLayout w:type="fixed"/>
        <w:tblLook w:val="0680" w:firstRow="0" w:lastRow="0" w:firstColumn="1" w:lastColumn="0" w:noHBand="1" w:noVBand="1"/>
      </w:tblPr>
      <w:tblGrid>
        <w:gridCol w:w="2347"/>
        <w:gridCol w:w="575"/>
        <w:gridCol w:w="572"/>
        <w:gridCol w:w="574"/>
        <w:gridCol w:w="570"/>
        <w:gridCol w:w="570"/>
        <w:gridCol w:w="564"/>
        <w:gridCol w:w="560"/>
        <w:gridCol w:w="560"/>
        <w:gridCol w:w="560"/>
        <w:gridCol w:w="560"/>
        <w:gridCol w:w="560"/>
        <w:gridCol w:w="796"/>
        <w:gridCol w:w="779"/>
      </w:tblGrid>
      <w:tr w:rsidR="00111353" w:rsidRPr="009F2A5C" w:rsidTr="00CB3134">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111353" w:rsidRPr="009F2A5C" w:rsidRDefault="00111353" w:rsidP="00246E30">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3" w:type="pct"/>
            <w:shd w:val="clear" w:color="auto" w:fill="A7B2D4" w:themeFill="background2" w:themeFillTint="66"/>
            <w:vAlign w:val="center"/>
          </w:tcPr>
          <w:p w:rsidR="00111353" w:rsidRPr="00ED0817" w:rsidRDefault="00111353"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2018–</w:t>
            </w:r>
          </w:p>
          <w:p w:rsidR="00111353" w:rsidRPr="00ED0817" w:rsidRDefault="00111353"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19</w:t>
            </w:r>
          </w:p>
        </w:tc>
        <w:tc>
          <w:tcPr>
            <w:tcW w:w="282" w:type="pct"/>
            <w:shd w:val="clear" w:color="auto" w:fill="A7B2D4" w:themeFill="background2" w:themeFillTint="66"/>
            <w:vAlign w:val="center"/>
          </w:tcPr>
          <w:p w:rsidR="00111353" w:rsidRPr="00ED0817" w:rsidRDefault="00111353"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2019–</w:t>
            </w:r>
          </w:p>
          <w:p w:rsidR="00111353" w:rsidRPr="00ED0817" w:rsidRDefault="00111353"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w:t>
            </w:r>
          </w:p>
        </w:tc>
        <w:tc>
          <w:tcPr>
            <w:tcW w:w="283" w:type="pct"/>
            <w:shd w:val="clear" w:color="auto" w:fill="A7B2D4" w:themeFill="background2" w:themeFillTint="66"/>
            <w:vAlign w:val="center"/>
          </w:tcPr>
          <w:p w:rsidR="00111353" w:rsidRPr="00ED0817" w:rsidRDefault="00111353"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2020–</w:t>
            </w:r>
          </w:p>
          <w:p w:rsidR="00111353" w:rsidRPr="00ED0817" w:rsidRDefault="00111353"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21</w:t>
            </w:r>
          </w:p>
        </w:tc>
        <w:tc>
          <w:tcPr>
            <w:tcW w:w="281" w:type="pct"/>
            <w:shd w:val="clear" w:color="auto" w:fill="A7B2D4" w:themeFill="background2" w:themeFillTint="66"/>
            <w:vAlign w:val="center"/>
          </w:tcPr>
          <w:p w:rsidR="00111353" w:rsidRPr="00ED0817" w:rsidRDefault="00111353"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2021–</w:t>
            </w:r>
          </w:p>
          <w:p w:rsidR="00111353" w:rsidRPr="00ED0817" w:rsidRDefault="00111353"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22</w:t>
            </w:r>
          </w:p>
        </w:tc>
        <w:tc>
          <w:tcPr>
            <w:tcW w:w="281" w:type="pct"/>
            <w:shd w:val="clear" w:color="auto" w:fill="A7B2D4" w:themeFill="background2" w:themeFillTint="66"/>
            <w:vAlign w:val="center"/>
          </w:tcPr>
          <w:p w:rsidR="00111353" w:rsidRPr="00ED0817" w:rsidRDefault="00111353"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2022–</w:t>
            </w:r>
          </w:p>
          <w:p w:rsidR="00111353" w:rsidRPr="00ED0817" w:rsidRDefault="00111353"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23</w:t>
            </w:r>
          </w:p>
        </w:tc>
        <w:tc>
          <w:tcPr>
            <w:tcW w:w="278" w:type="pct"/>
            <w:shd w:val="clear" w:color="auto" w:fill="A7B2D4" w:themeFill="background2" w:themeFillTint="66"/>
            <w:vAlign w:val="center"/>
          </w:tcPr>
          <w:p w:rsidR="00111353" w:rsidRPr="00ED0817" w:rsidRDefault="00111353"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2023–</w:t>
            </w:r>
          </w:p>
          <w:p w:rsidR="00111353" w:rsidRPr="00ED0817" w:rsidRDefault="00111353"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24</w:t>
            </w:r>
          </w:p>
        </w:tc>
        <w:tc>
          <w:tcPr>
            <w:tcW w:w="276" w:type="pct"/>
            <w:shd w:val="clear" w:color="auto" w:fill="A7B2D4" w:themeFill="background2" w:themeFillTint="66"/>
            <w:vAlign w:val="center"/>
          </w:tcPr>
          <w:p w:rsidR="00111353" w:rsidRPr="00ED0817" w:rsidRDefault="00111353"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2024–</w:t>
            </w:r>
          </w:p>
          <w:p w:rsidR="00111353" w:rsidRPr="00ED0817" w:rsidRDefault="00111353"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25</w:t>
            </w:r>
          </w:p>
        </w:tc>
        <w:tc>
          <w:tcPr>
            <w:tcW w:w="276" w:type="pct"/>
            <w:shd w:val="clear" w:color="auto" w:fill="A7B2D4" w:themeFill="background2" w:themeFillTint="66"/>
            <w:vAlign w:val="center"/>
          </w:tcPr>
          <w:p w:rsidR="00111353" w:rsidRPr="00ED0817" w:rsidRDefault="00111353"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2025–</w:t>
            </w:r>
          </w:p>
          <w:p w:rsidR="00111353" w:rsidRPr="00ED0817" w:rsidRDefault="00111353"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26</w:t>
            </w:r>
          </w:p>
        </w:tc>
        <w:tc>
          <w:tcPr>
            <w:tcW w:w="276" w:type="pct"/>
            <w:shd w:val="clear" w:color="auto" w:fill="A7B2D4" w:themeFill="background2" w:themeFillTint="66"/>
            <w:vAlign w:val="center"/>
          </w:tcPr>
          <w:p w:rsidR="00111353" w:rsidRPr="00ED0817" w:rsidRDefault="00111353"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2026–</w:t>
            </w:r>
          </w:p>
          <w:p w:rsidR="00111353" w:rsidRPr="00ED0817" w:rsidRDefault="00111353"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27</w:t>
            </w:r>
          </w:p>
        </w:tc>
        <w:tc>
          <w:tcPr>
            <w:tcW w:w="276" w:type="pct"/>
            <w:shd w:val="clear" w:color="auto" w:fill="A7B2D4" w:themeFill="background2" w:themeFillTint="66"/>
            <w:vAlign w:val="center"/>
          </w:tcPr>
          <w:p w:rsidR="00111353" w:rsidRPr="00ED0817" w:rsidRDefault="00111353"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2027–</w:t>
            </w:r>
          </w:p>
          <w:p w:rsidR="00111353" w:rsidRPr="00ED0817" w:rsidRDefault="00111353"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28</w:t>
            </w:r>
          </w:p>
        </w:tc>
        <w:tc>
          <w:tcPr>
            <w:tcW w:w="276" w:type="pct"/>
            <w:shd w:val="clear" w:color="auto" w:fill="A7B2D4" w:themeFill="background2" w:themeFillTint="66"/>
            <w:vAlign w:val="center"/>
          </w:tcPr>
          <w:p w:rsidR="00111353" w:rsidRPr="00ED0817" w:rsidRDefault="00111353" w:rsidP="00246E30">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2028–</w:t>
            </w:r>
          </w:p>
          <w:p w:rsidR="00111353" w:rsidRPr="00ED0817" w:rsidRDefault="00111353" w:rsidP="00246E30">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b w:val="0"/>
                <w:sz w:val="16"/>
                <w:szCs w:val="16"/>
              </w:rPr>
              <w:t>29</w:t>
            </w:r>
          </w:p>
        </w:tc>
        <w:tc>
          <w:tcPr>
            <w:tcW w:w="392" w:type="pct"/>
            <w:shd w:val="clear" w:color="auto" w:fill="A7B2D4" w:themeFill="background2" w:themeFillTint="66"/>
            <w:vAlign w:val="center"/>
          </w:tcPr>
          <w:p w:rsidR="00111353" w:rsidRPr="00ED0817" w:rsidRDefault="00111353" w:rsidP="00246E30">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ED0817">
              <w:rPr>
                <w:rFonts w:asciiTheme="minorHAnsi" w:hAnsiTheme="minorHAnsi"/>
                <w:sz w:val="16"/>
                <w:szCs w:val="16"/>
              </w:rPr>
              <w:t>Total to 2021–22</w:t>
            </w:r>
          </w:p>
        </w:tc>
        <w:tc>
          <w:tcPr>
            <w:tcW w:w="384" w:type="pct"/>
            <w:shd w:val="clear" w:color="auto" w:fill="A7B2D4" w:themeFill="background2" w:themeFillTint="66"/>
            <w:vAlign w:val="center"/>
          </w:tcPr>
          <w:p w:rsidR="00111353" w:rsidRPr="00ED0817" w:rsidRDefault="00111353" w:rsidP="00246E30">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ED0817">
              <w:rPr>
                <w:rFonts w:asciiTheme="minorHAnsi" w:hAnsiTheme="minorHAnsi"/>
                <w:sz w:val="16"/>
                <w:szCs w:val="16"/>
              </w:rPr>
              <w:t>Total to 2028–29</w:t>
            </w:r>
          </w:p>
        </w:tc>
      </w:tr>
      <w:tr w:rsidR="00111353" w:rsidRPr="009F2A5C" w:rsidTr="00CB3134">
        <w:tc>
          <w:tcPr>
            <w:cnfStyle w:val="001000000000" w:firstRow="0" w:lastRow="0" w:firstColumn="1" w:lastColumn="0" w:oddVBand="0" w:evenVBand="0" w:oddHBand="0" w:evenHBand="0" w:firstRowFirstColumn="0" w:firstRowLastColumn="0" w:lastRowFirstColumn="0" w:lastRowLastColumn="0"/>
            <w:tcW w:w="1156" w:type="pct"/>
            <w:tcBorders>
              <w:right w:val="nil"/>
            </w:tcBorders>
            <w:shd w:val="clear" w:color="auto" w:fill="D3D8E9" w:themeFill="background2" w:themeFillTint="33"/>
            <w:vAlign w:val="center"/>
          </w:tcPr>
          <w:p w:rsidR="00111353" w:rsidRPr="009F2A5C" w:rsidRDefault="00111353" w:rsidP="00246E30">
            <w:pPr>
              <w:pStyle w:val="TableText"/>
              <w:keepNext/>
              <w:widowControl w:val="0"/>
              <w:tabs>
                <w:tab w:val="left" w:pos="9356"/>
              </w:tabs>
              <w:spacing w:line="240" w:lineRule="auto"/>
              <w:ind w:left="-57" w:right="-57"/>
              <w:rPr>
                <w:rFonts w:asciiTheme="minorHAnsi" w:hAnsiTheme="minorHAnsi"/>
                <w:b/>
                <w:sz w:val="16"/>
                <w:szCs w:val="16"/>
              </w:rPr>
            </w:pPr>
            <w:r w:rsidRPr="009F2A5C">
              <w:rPr>
                <w:rFonts w:asciiTheme="minorHAnsi" w:hAnsiTheme="minorHAnsi"/>
                <w:b/>
                <w:sz w:val="16"/>
                <w:szCs w:val="16"/>
              </w:rPr>
              <w:t>Revenue</w:t>
            </w:r>
          </w:p>
        </w:tc>
        <w:tc>
          <w:tcPr>
            <w:tcW w:w="283" w:type="pct"/>
            <w:tcBorders>
              <w:left w:val="nil"/>
              <w:right w:val="nil"/>
            </w:tcBorders>
            <w:shd w:val="clear" w:color="auto" w:fill="D3D8E9" w:themeFill="background2" w:themeFillTint="33"/>
            <w:vAlign w:val="center"/>
          </w:tcPr>
          <w:p w:rsidR="00111353" w:rsidRPr="009F2A5C" w:rsidRDefault="00111353" w:rsidP="00246E3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2" w:type="pct"/>
            <w:tcBorders>
              <w:left w:val="nil"/>
              <w:right w:val="nil"/>
            </w:tcBorders>
            <w:shd w:val="clear" w:color="auto" w:fill="D3D8E9" w:themeFill="background2" w:themeFillTint="33"/>
            <w:vAlign w:val="center"/>
          </w:tcPr>
          <w:p w:rsidR="00111353" w:rsidRPr="009F2A5C" w:rsidRDefault="00111353" w:rsidP="00246E3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3" w:type="pct"/>
            <w:tcBorders>
              <w:left w:val="nil"/>
              <w:right w:val="nil"/>
            </w:tcBorders>
            <w:shd w:val="clear" w:color="auto" w:fill="D3D8E9" w:themeFill="background2" w:themeFillTint="33"/>
            <w:vAlign w:val="center"/>
          </w:tcPr>
          <w:p w:rsidR="00111353" w:rsidRPr="009F2A5C" w:rsidRDefault="00111353" w:rsidP="00246E3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right w:val="nil"/>
            </w:tcBorders>
            <w:shd w:val="clear" w:color="auto" w:fill="D3D8E9" w:themeFill="background2" w:themeFillTint="33"/>
            <w:vAlign w:val="center"/>
          </w:tcPr>
          <w:p w:rsidR="00111353" w:rsidRPr="009F2A5C" w:rsidRDefault="00111353" w:rsidP="00246E3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1" w:type="pct"/>
            <w:tcBorders>
              <w:left w:val="nil"/>
              <w:right w:val="nil"/>
            </w:tcBorders>
            <w:shd w:val="clear" w:color="auto" w:fill="D3D8E9" w:themeFill="background2" w:themeFillTint="33"/>
            <w:vAlign w:val="center"/>
          </w:tcPr>
          <w:p w:rsidR="00111353" w:rsidRPr="009F2A5C" w:rsidRDefault="00111353" w:rsidP="00246E3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8" w:type="pct"/>
            <w:tcBorders>
              <w:left w:val="nil"/>
              <w:right w:val="nil"/>
            </w:tcBorders>
            <w:shd w:val="clear" w:color="auto" w:fill="D3D8E9" w:themeFill="background2" w:themeFillTint="33"/>
            <w:vAlign w:val="center"/>
          </w:tcPr>
          <w:p w:rsidR="00111353" w:rsidRPr="009F2A5C" w:rsidRDefault="00111353" w:rsidP="00246E3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111353" w:rsidRPr="009F2A5C" w:rsidRDefault="00111353" w:rsidP="00246E3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111353" w:rsidRPr="009F2A5C" w:rsidRDefault="00111353" w:rsidP="00246E3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111353" w:rsidRPr="009F2A5C" w:rsidRDefault="00111353" w:rsidP="00246E3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111353" w:rsidRPr="009F2A5C" w:rsidRDefault="00111353" w:rsidP="00246E3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76" w:type="pct"/>
            <w:tcBorders>
              <w:left w:val="nil"/>
              <w:right w:val="nil"/>
            </w:tcBorders>
            <w:shd w:val="clear" w:color="auto" w:fill="D3D8E9" w:themeFill="background2" w:themeFillTint="33"/>
            <w:vAlign w:val="center"/>
          </w:tcPr>
          <w:p w:rsidR="00111353" w:rsidRPr="009F2A5C" w:rsidRDefault="00111353" w:rsidP="00246E3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92" w:type="pct"/>
            <w:tcBorders>
              <w:left w:val="nil"/>
              <w:right w:val="nil"/>
            </w:tcBorders>
            <w:shd w:val="clear" w:color="auto" w:fill="D3D8E9" w:themeFill="background2" w:themeFillTint="33"/>
            <w:vAlign w:val="center"/>
          </w:tcPr>
          <w:p w:rsidR="00111353" w:rsidRPr="009F2A5C" w:rsidRDefault="00111353" w:rsidP="00246E3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84" w:type="pct"/>
            <w:tcBorders>
              <w:left w:val="nil"/>
            </w:tcBorders>
            <w:shd w:val="clear" w:color="auto" w:fill="D3D8E9" w:themeFill="background2" w:themeFillTint="33"/>
            <w:vAlign w:val="center"/>
          </w:tcPr>
          <w:p w:rsidR="00111353" w:rsidRPr="009F2A5C" w:rsidRDefault="00111353" w:rsidP="00246E30">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D10318" w:rsidRPr="009F2A5C" w:rsidTr="00246E30">
        <w:tc>
          <w:tcPr>
            <w:cnfStyle w:val="001000000000" w:firstRow="0" w:lastRow="0" w:firstColumn="1" w:lastColumn="0" w:oddVBand="0" w:evenVBand="0" w:oddHBand="0" w:evenHBand="0" w:firstRowFirstColumn="0" w:firstRowLastColumn="0" w:lastRowFirstColumn="0" w:lastRowLastColumn="0"/>
            <w:tcW w:w="1156" w:type="pct"/>
            <w:vAlign w:val="center"/>
          </w:tcPr>
          <w:p w:rsidR="00D10318" w:rsidRPr="008A601C" w:rsidRDefault="00D10318" w:rsidP="00246E30">
            <w:pPr>
              <w:pStyle w:val="TableText"/>
              <w:keepNext/>
              <w:widowControl w:val="0"/>
              <w:tabs>
                <w:tab w:val="left" w:pos="9356"/>
              </w:tabs>
              <w:spacing w:line="240" w:lineRule="auto"/>
              <w:ind w:left="-57" w:right="-57"/>
              <w:rPr>
                <w:rFonts w:asciiTheme="minorHAnsi" w:hAnsiTheme="minorHAnsi"/>
                <w:i/>
                <w:noProof/>
                <w:sz w:val="16"/>
                <w:szCs w:val="16"/>
              </w:rPr>
            </w:pPr>
            <w:r w:rsidRPr="008A601C">
              <w:rPr>
                <w:rFonts w:asciiTheme="minorHAnsi" w:hAnsiTheme="minorHAnsi"/>
                <w:i/>
                <w:sz w:val="16"/>
                <w:szCs w:val="16"/>
              </w:rPr>
              <w:t>Personal income tax</w:t>
            </w:r>
          </w:p>
        </w:tc>
        <w:tc>
          <w:tcPr>
            <w:tcW w:w="283" w:type="pct"/>
            <w:vAlign w:val="center"/>
          </w:tcPr>
          <w:p w:rsidR="00D10318" w:rsidRPr="008A601C" w:rsidRDefault="00D10318">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A601C">
              <w:rPr>
                <w:rFonts w:ascii="Calibri" w:hAnsi="Calibri"/>
                <w:i/>
                <w:iCs/>
                <w:color w:val="000000"/>
                <w:sz w:val="16"/>
                <w:szCs w:val="16"/>
              </w:rPr>
              <w:t>-</w:t>
            </w:r>
          </w:p>
        </w:tc>
        <w:tc>
          <w:tcPr>
            <w:tcW w:w="282" w:type="pct"/>
            <w:vAlign w:val="center"/>
          </w:tcPr>
          <w:p w:rsidR="00D10318" w:rsidRPr="008A601C" w:rsidRDefault="00D10318">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A601C">
              <w:rPr>
                <w:rFonts w:ascii="Calibri" w:hAnsi="Calibri"/>
                <w:i/>
                <w:iCs/>
                <w:color w:val="000000"/>
                <w:sz w:val="16"/>
                <w:szCs w:val="16"/>
              </w:rPr>
              <w:t>-20</w:t>
            </w:r>
          </w:p>
        </w:tc>
        <w:tc>
          <w:tcPr>
            <w:tcW w:w="283" w:type="pct"/>
            <w:vAlign w:val="center"/>
          </w:tcPr>
          <w:p w:rsidR="00D10318" w:rsidRPr="008A601C" w:rsidRDefault="00D10318">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A601C">
              <w:rPr>
                <w:rFonts w:ascii="Calibri" w:hAnsi="Calibri"/>
                <w:i/>
                <w:iCs/>
                <w:color w:val="000000"/>
                <w:sz w:val="16"/>
                <w:szCs w:val="16"/>
              </w:rPr>
              <w:t>-40</w:t>
            </w:r>
          </w:p>
        </w:tc>
        <w:tc>
          <w:tcPr>
            <w:tcW w:w="281" w:type="pct"/>
            <w:vAlign w:val="center"/>
          </w:tcPr>
          <w:p w:rsidR="00D10318" w:rsidRPr="008A601C" w:rsidRDefault="00D10318">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A601C">
              <w:rPr>
                <w:rFonts w:ascii="Calibri" w:hAnsi="Calibri"/>
                <w:i/>
                <w:iCs/>
                <w:color w:val="000000"/>
                <w:sz w:val="16"/>
                <w:szCs w:val="16"/>
              </w:rPr>
              <w:t>-90</w:t>
            </w:r>
          </w:p>
        </w:tc>
        <w:tc>
          <w:tcPr>
            <w:tcW w:w="281" w:type="pct"/>
            <w:vAlign w:val="center"/>
          </w:tcPr>
          <w:p w:rsidR="00D10318" w:rsidRPr="008A601C" w:rsidRDefault="00D10318">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A601C">
              <w:rPr>
                <w:rFonts w:ascii="Calibri" w:hAnsi="Calibri"/>
                <w:i/>
                <w:iCs/>
                <w:color w:val="000000"/>
                <w:sz w:val="16"/>
                <w:szCs w:val="16"/>
              </w:rPr>
              <w:t>-160</w:t>
            </w:r>
          </w:p>
        </w:tc>
        <w:tc>
          <w:tcPr>
            <w:tcW w:w="278" w:type="pct"/>
            <w:vAlign w:val="center"/>
          </w:tcPr>
          <w:p w:rsidR="00D10318" w:rsidRPr="008A601C" w:rsidRDefault="00D10318">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A601C">
              <w:rPr>
                <w:rFonts w:ascii="Calibri" w:hAnsi="Calibri"/>
                <w:i/>
                <w:iCs/>
                <w:color w:val="000000"/>
                <w:sz w:val="16"/>
                <w:szCs w:val="16"/>
              </w:rPr>
              <w:t>-250</w:t>
            </w:r>
          </w:p>
        </w:tc>
        <w:tc>
          <w:tcPr>
            <w:tcW w:w="276" w:type="pct"/>
            <w:vAlign w:val="center"/>
          </w:tcPr>
          <w:p w:rsidR="00D10318" w:rsidRPr="008A601C" w:rsidRDefault="00D10318">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A601C">
              <w:rPr>
                <w:rFonts w:ascii="Calibri" w:hAnsi="Calibri"/>
                <w:i/>
                <w:iCs/>
                <w:color w:val="000000"/>
                <w:sz w:val="16"/>
                <w:szCs w:val="16"/>
              </w:rPr>
              <w:t>-350</w:t>
            </w:r>
          </w:p>
        </w:tc>
        <w:tc>
          <w:tcPr>
            <w:tcW w:w="276" w:type="pct"/>
            <w:vAlign w:val="center"/>
          </w:tcPr>
          <w:p w:rsidR="00D10318" w:rsidRPr="008A601C" w:rsidRDefault="00D10318">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A601C">
              <w:rPr>
                <w:rFonts w:ascii="Calibri" w:hAnsi="Calibri"/>
                <w:i/>
                <w:iCs/>
                <w:color w:val="000000"/>
                <w:sz w:val="16"/>
                <w:szCs w:val="16"/>
              </w:rPr>
              <w:t>-460</w:t>
            </w:r>
          </w:p>
        </w:tc>
        <w:tc>
          <w:tcPr>
            <w:tcW w:w="276" w:type="pct"/>
            <w:vAlign w:val="center"/>
          </w:tcPr>
          <w:p w:rsidR="00D10318" w:rsidRPr="008A601C" w:rsidRDefault="00D10318">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A601C">
              <w:rPr>
                <w:rFonts w:ascii="Calibri" w:hAnsi="Calibri"/>
                <w:i/>
                <w:iCs/>
                <w:color w:val="000000"/>
                <w:sz w:val="16"/>
                <w:szCs w:val="16"/>
              </w:rPr>
              <w:t>-580</w:t>
            </w:r>
          </w:p>
        </w:tc>
        <w:tc>
          <w:tcPr>
            <w:tcW w:w="276" w:type="pct"/>
            <w:vAlign w:val="center"/>
          </w:tcPr>
          <w:p w:rsidR="00D10318" w:rsidRPr="008A601C" w:rsidRDefault="00D10318">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A601C">
              <w:rPr>
                <w:rFonts w:ascii="Calibri" w:hAnsi="Calibri"/>
                <w:i/>
                <w:iCs/>
                <w:color w:val="000000"/>
                <w:sz w:val="16"/>
                <w:szCs w:val="16"/>
              </w:rPr>
              <w:t>-690</w:t>
            </w:r>
          </w:p>
        </w:tc>
        <w:tc>
          <w:tcPr>
            <w:tcW w:w="276" w:type="pct"/>
            <w:vAlign w:val="center"/>
          </w:tcPr>
          <w:p w:rsidR="00D10318" w:rsidRPr="008A601C" w:rsidRDefault="00D10318">
            <w:pPr>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8A601C">
              <w:rPr>
                <w:rFonts w:ascii="Calibri" w:hAnsi="Calibri"/>
                <w:i/>
                <w:iCs/>
                <w:color w:val="000000"/>
                <w:sz w:val="16"/>
                <w:szCs w:val="16"/>
              </w:rPr>
              <w:t>-830</w:t>
            </w:r>
          </w:p>
        </w:tc>
        <w:tc>
          <w:tcPr>
            <w:tcW w:w="392" w:type="pct"/>
            <w:vAlign w:val="center"/>
          </w:tcPr>
          <w:p w:rsidR="00D10318" w:rsidRPr="008A601C" w:rsidRDefault="00D10318">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8A601C">
              <w:rPr>
                <w:rFonts w:ascii="Calibri" w:hAnsi="Calibri"/>
                <w:b/>
                <w:i/>
                <w:iCs/>
                <w:color w:val="000000"/>
                <w:sz w:val="16"/>
                <w:szCs w:val="16"/>
              </w:rPr>
              <w:t>-140</w:t>
            </w:r>
          </w:p>
        </w:tc>
        <w:tc>
          <w:tcPr>
            <w:tcW w:w="384" w:type="pct"/>
            <w:vAlign w:val="center"/>
          </w:tcPr>
          <w:p w:rsidR="00D10318" w:rsidRPr="008A601C" w:rsidRDefault="00D10318">
            <w:pPr>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8A601C">
              <w:rPr>
                <w:rFonts w:ascii="Calibri" w:hAnsi="Calibri"/>
                <w:b/>
                <w:i/>
                <w:iCs/>
                <w:color w:val="000000"/>
                <w:sz w:val="16"/>
                <w:szCs w:val="16"/>
              </w:rPr>
              <w:t>-3,480</w:t>
            </w:r>
          </w:p>
        </w:tc>
      </w:tr>
      <w:tr w:rsidR="00D10318" w:rsidRPr="009F2A5C" w:rsidTr="00246E30">
        <w:tc>
          <w:tcPr>
            <w:cnfStyle w:val="001000000000" w:firstRow="0" w:lastRow="0" w:firstColumn="1" w:lastColumn="0" w:oddVBand="0" w:evenVBand="0" w:oddHBand="0" w:evenHBand="0" w:firstRowFirstColumn="0" w:firstRowLastColumn="0" w:lastRowFirstColumn="0" w:lastRowLastColumn="0"/>
            <w:tcW w:w="1156" w:type="pct"/>
            <w:vAlign w:val="center"/>
          </w:tcPr>
          <w:p w:rsidR="00D10318" w:rsidRPr="009F2A5C" w:rsidRDefault="00D10318" w:rsidP="00246E30">
            <w:pPr>
              <w:pStyle w:val="TableText"/>
              <w:keepNext/>
              <w:widowControl w:val="0"/>
              <w:tabs>
                <w:tab w:val="left" w:pos="9356"/>
              </w:tabs>
              <w:spacing w:line="240" w:lineRule="auto"/>
              <w:ind w:left="-57" w:right="-57"/>
              <w:rPr>
                <w:rFonts w:asciiTheme="minorHAnsi" w:hAnsiTheme="minorHAnsi"/>
                <w:b/>
                <w:sz w:val="16"/>
                <w:szCs w:val="16"/>
              </w:rPr>
            </w:pPr>
            <w:r w:rsidRPr="009F2A5C">
              <w:rPr>
                <w:rFonts w:asciiTheme="minorHAnsi" w:hAnsiTheme="minorHAnsi"/>
                <w:b/>
                <w:sz w:val="16"/>
                <w:szCs w:val="16"/>
              </w:rPr>
              <w:t>Total – revenue</w:t>
            </w:r>
          </w:p>
        </w:tc>
        <w:tc>
          <w:tcPr>
            <w:tcW w:w="283" w:type="pct"/>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w:t>
            </w:r>
          </w:p>
        </w:tc>
        <w:tc>
          <w:tcPr>
            <w:tcW w:w="282" w:type="pct"/>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-20</w:t>
            </w:r>
          </w:p>
        </w:tc>
        <w:tc>
          <w:tcPr>
            <w:tcW w:w="283" w:type="pct"/>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-40</w:t>
            </w:r>
          </w:p>
        </w:tc>
        <w:tc>
          <w:tcPr>
            <w:tcW w:w="281" w:type="pct"/>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-90</w:t>
            </w:r>
          </w:p>
        </w:tc>
        <w:tc>
          <w:tcPr>
            <w:tcW w:w="281" w:type="pct"/>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-160</w:t>
            </w:r>
          </w:p>
        </w:tc>
        <w:tc>
          <w:tcPr>
            <w:tcW w:w="278" w:type="pct"/>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-250</w:t>
            </w:r>
          </w:p>
        </w:tc>
        <w:tc>
          <w:tcPr>
            <w:tcW w:w="276" w:type="pct"/>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-350</w:t>
            </w:r>
          </w:p>
        </w:tc>
        <w:tc>
          <w:tcPr>
            <w:tcW w:w="276" w:type="pct"/>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-460</w:t>
            </w:r>
          </w:p>
        </w:tc>
        <w:tc>
          <w:tcPr>
            <w:tcW w:w="276" w:type="pct"/>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-580</w:t>
            </w:r>
          </w:p>
        </w:tc>
        <w:tc>
          <w:tcPr>
            <w:tcW w:w="276" w:type="pct"/>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-690</w:t>
            </w:r>
          </w:p>
        </w:tc>
        <w:tc>
          <w:tcPr>
            <w:tcW w:w="276" w:type="pct"/>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-830</w:t>
            </w:r>
          </w:p>
        </w:tc>
        <w:tc>
          <w:tcPr>
            <w:tcW w:w="392" w:type="pct"/>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-140</w:t>
            </w:r>
          </w:p>
        </w:tc>
        <w:tc>
          <w:tcPr>
            <w:tcW w:w="384" w:type="pct"/>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-3,480</w:t>
            </w:r>
          </w:p>
        </w:tc>
      </w:tr>
      <w:tr w:rsidR="00D10318" w:rsidRPr="009F2A5C" w:rsidTr="00CB3134">
        <w:tc>
          <w:tcPr>
            <w:cnfStyle w:val="001000000000" w:firstRow="0" w:lastRow="0" w:firstColumn="1" w:lastColumn="0" w:oddVBand="0" w:evenVBand="0" w:oddHBand="0" w:evenHBand="0" w:firstRowFirstColumn="0" w:firstRowLastColumn="0" w:lastRowFirstColumn="0" w:lastRowLastColumn="0"/>
            <w:tcW w:w="1156" w:type="pct"/>
            <w:shd w:val="clear" w:color="auto" w:fill="A7B2D4" w:themeFill="background2" w:themeFillTint="66"/>
            <w:vAlign w:val="center"/>
          </w:tcPr>
          <w:p w:rsidR="00D10318" w:rsidRPr="009F2A5C" w:rsidRDefault="00D10318" w:rsidP="00111353">
            <w:pPr>
              <w:pStyle w:val="TableText"/>
              <w:keepNext/>
              <w:widowControl w:val="0"/>
              <w:tabs>
                <w:tab w:val="left" w:pos="9356"/>
              </w:tabs>
              <w:spacing w:line="240" w:lineRule="auto"/>
              <w:ind w:left="-57" w:right="-57"/>
              <w:rPr>
                <w:rFonts w:asciiTheme="minorHAnsi" w:hAnsiTheme="minorHAnsi"/>
                <w:b/>
                <w:sz w:val="16"/>
                <w:szCs w:val="16"/>
              </w:rPr>
            </w:pPr>
            <w:r>
              <w:rPr>
                <w:rFonts w:asciiTheme="minorHAnsi" w:hAnsiTheme="minorHAnsi"/>
                <w:b/>
                <w:sz w:val="16"/>
                <w:szCs w:val="16"/>
              </w:rPr>
              <w:t>Total</w:t>
            </w:r>
          </w:p>
        </w:tc>
        <w:tc>
          <w:tcPr>
            <w:tcW w:w="283" w:type="pct"/>
            <w:shd w:val="clear" w:color="auto" w:fill="A7B2D4" w:themeFill="background2" w:themeFillTint="66"/>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w:t>
            </w:r>
          </w:p>
        </w:tc>
        <w:tc>
          <w:tcPr>
            <w:tcW w:w="282" w:type="pct"/>
            <w:shd w:val="clear" w:color="auto" w:fill="A7B2D4" w:themeFill="background2" w:themeFillTint="66"/>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-20</w:t>
            </w:r>
          </w:p>
        </w:tc>
        <w:tc>
          <w:tcPr>
            <w:tcW w:w="283" w:type="pct"/>
            <w:shd w:val="clear" w:color="auto" w:fill="A7B2D4" w:themeFill="background2" w:themeFillTint="66"/>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-40</w:t>
            </w:r>
          </w:p>
        </w:tc>
        <w:tc>
          <w:tcPr>
            <w:tcW w:w="281" w:type="pct"/>
            <w:shd w:val="clear" w:color="auto" w:fill="A7B2D4" w:themeFill="background2" w:themeFillTint="66"/>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-90</w:t>
            </w:r>
          </w:p>
        </w:tc>
        <w:tc>
          <w:tcPr>
            <w:tcW w:w="281" w:type="pct"/>
            <w:shd w:val="clear" w:color="auto" w:fill="A7B2D4" w:themeFill="background2" w:themeFillTint="66"/>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-160</w:t>
            </w:r>
          </w:p>
        </w:tc>
        <w:tc>
          <w:tcPr>
            <w:tcW w:w="278" w:type="pct"/>
            <w:shd w:val="clear" w:color="auto" w:fill="A7B2D4" w:themeFill="background2" w:themeFillTint="66"/>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-250</w:t>
            </w:r>
          </w:p>
        </w:tc>
        <w:tc>
          <w:tcPr>
            <w:tcW w:w="276" w:type="pct"/>
            <w:shd w:val="clear" w:color="auto" w:fill="A7B2D4" w:themeFill="background2" w:themeFillTint="66"/>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-350</w:t>
            </w:r>
          </w:p>
        </w:tc>
        <w:tc>
          <w:tcPr>
            <w:tcW w:w="276" w:type="pct"/>
            <w:shd w:val="clear" w:color="auto" w:fill="A7B2D4" w:themeFill="background2" w:themeFillTint="66"/>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-460</w:t>
            </w:r>
          </w:p>
        </w:tc>
        <w:tc>
          <w:tcPr>
            <w:tcW w:w="276" w:type="pct"/>
            <w:shd w:val="clear" w:color="auto" w:fill="A7B2D4" w:themeFill="background2" w:themeFillTint="66"/>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-580</w:t>
            </w:r>
          </w:p>
        </w:tc>
        <w:tc>
          <w:tcPr>
            <w:tcW w:w="276" w:type="pct"/>
            <w:shd w:val="clear" w:color="auto" w:fill="A7B2D4" w:themeFill="background2" w:themeFillTint="66"/>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-690</w:t>
            </w:r>
          </w:p>
        </w:tc>
        <w:tc>
          <w:tcPr>
            <w:tcW w:w="276" w:type="pct"/>
            <w:shd w:val="clear" w:color="auto" w:fill="A7B2D4" w:themeFill="background2" w:themeFillTint="66"/>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-830</w:t>
            </w:r>
          </w:p>
        </w:tc>
        <w:tc>
          <w:tcPr>
            <w:tcW w:w="392" w:type="pct"/>
            <w:shd w:val="clear" w:color="auto" w:fill="A7B2D4" w:themeFill="background2" w:themeFillTint="66"/>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-140</w:t>
            </w:r>
          </w:p>
        </w:tc>
        <w:tc>
          <w:tcPr>
            <w:tcW w:w="384" w:type="pct"/>
            <w:shd w:val="clear" w:color="auto" w:fill="A7B2D4" w:themeFill="background2" w:themeFillTint="66"/>
            <w:vAlign w:val="center"/>
          </w:tcPr>
          <w:p w:rsidR="00D10318" w:rsidRPr="00D10318" w:rsidRDefault="00D10318" w:rsidP="008E6BD9">
            <w:pPr>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D10318">
              <w:rPr>
                <w:rFonts w:ascii="Calibri" w:hAnsi="Calibri"/>
                <w:b/>
                <w:iCs/>
                <w:color w:val="000000"/>
                <w:sz w:val="16"/>
                <w:szCs w:val="16"/>
              </w:rPr>
              <w:t>-3,480</w:t>
            </w:r>
          </w:p>
        </w:tc>
      </w:tr>
    </w:tbl>
    <w:p w:rsidR="00111353" w:rsidRPr="009F2A5C" w:rsidRDefault="00111353" w:rsidP="00246E30">
      <w:pPr>
        <w:keepNext/>
        <w:widowControl w:val="0"/>
        <w:tabs>
          <w:tab w:val="left" w:pos="9356"/>
        </w:tabs>
        <w:spacing w:line="260" w:lineRule="atLeast"/>
        <w:ind w:left="284" w:hanging="284"/>
        <w:rPr>
          <w:sz w:val="16"/>
          <w:szCs w:val="16"/>
        </w:rPr>
      </w:pPr>
      <w:r w:rsidRPr="009F2A5C">
        <w:rPr>
          <w:sz w:val="16"/>
          <w:szCs w:val="16"/>
        </w:rPr>
        <w:t>(a)</w:t>
      </w:r>
      <w:r w:rsidRPr="009F2A5C">
        <w:rPr>
          <w:sz w:val="16"/>
          <w:szCs w:val="16"/>
        </w:rPr>
        <w:tab/>
        <w:t xml:space="preserve">A negative number for the fiscal balance indicates a decrease in revenue in accrual terms.  A negative number for the underlying cash balance indicates a decrease in receipts in cash terms.  </w:t>
      </w:r>
    </w:p>
    <w:p w:rsidR="00111353" w:rsidRPr="009F2A5C" w:rsidRDefault="00111353" w:rsidP="00246E30">
      <w:pPr>
        <w:keepNext/>
        <w:widowControl w:val="0"/>
        <w:tabs>
          <w:tab w:val="left" w:pos="9356"/>
        </w:tabs>
        <w:spacing w:line="260" w:lineRule="atLeast"/>
        <w:ind w:left="284" w:hanging="284"/>
        <w:rPr>
          <w:sz w:val="16"/>
          <w:szCs w:val="16"/>
        </w:rPr>
      </w:pPr>
      <w:r w:rsidRPr="009F2A5C">
        <w:rPr>
          <w:sz w:val="16"/>
          <w:szCs w:val="16"/>
        </w:rPr>
        <w:t>(b)</w:t>
      </w:r>
      <w:r w:rsidRPr="009F2A5C">
        <w:rPr>
          <w:sz w:val="16"/>
          <w:szCs w:val="16"/>
        </w:rPr>
        <w:tab/>
        <w:t>Figures may not sum to totals due to rounding.</w:t>
      </w:r>
    </w:p>
    <w:p w:rsidR="00111353" w:rsidRPr="009F2A5C" w:rsidRDefault="00111353" w:rsidP="00111353">
      <w:pPr>
        <w:pStyle w:val="TableFootnotes"/>
        <w:keepLines w:val="0"/>
        <w:numPr>
          <w:ilvl w:val="0"/>
          <w:numId w:val="11"/>
        </w:numPr>
        <w:tabs>
          <w:tab w:val="left" w:pos="9356"/>
        </w:tabs>
        <w:ind w:left="284" w:hanging="284"/>
        <w:rPr>
          <w:sz w:val="16"/>
          <w:szCs w:val="16"/>
        </w:rPr>
      </w:pPr>
      <w:r w:rsidRPr="009F2A5C">
        <w:rPr>
          <w:sz w:val="16"/>
          <w:szCs w:val="16"/>
        </w:rPr>
        <w:t>Indicates nil.</w:t>
      </w:r>
    </w:p>
    <w:p w:rsidR="00131861" w:rsidRPr="00131861" w:rsidRDefault="00131861" w:rsidP="00131861">
      <w:pPr>
        <w:pStyle w:val="BodyText"/>
      </w:pPr>
    </w:p>
    <w:sectPr w:rsidR="00131861" w:rsidRPr="00131861" w:rsidSect="00131861">
      <w:footerReference w:type="default" r:id="rId13"/>
      <w:pgSz w:w="11907" w:h="16839" w:code="9"/>
      <w:pgMar w:top="1134" w:right="992" w:bottom="1134" w:left="992" w:header="284"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C2D" w:rsidRDefault="00545C2D" w:rsidP="00A20802">
      <w:pPr>
        <w:spacing w:line="240" w:lineRule="auto"/>
      </w:pPr>
      <w:r>
        <w:separator/>
      </w:r>
    </w:p>
    <w:p w:rsidR="00545C2D" w:rsidRDefault="00545C2D"/>
    <w:p w:rsidR="00545C2D" w:rsidRDefault="00545C2D"/>
  </w:endnote>
  <w:endnote w:type="continuationSeparator" w:id="0">
    <w:p w:rsidR="00545C2D" w:rsidRDefault="00545C2D" w:rsidP="00A20802">
      <w:pPr>
        <w:spacing w:line="240" w:lineRule="auto"/>
      </w:pPr>
      <w:r>
        <w:continuationSeparator/>
      </w:r>
    </w:p>
    <w:p w:rsidR="00545C2D" w:rsidRDefault="00545C2D"/>
    <w:p w:rsidR="00545C2D" w:rsidRDefault="00545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D48" w:rsidRPr="00015E04" w:rsidRDefault="00C91D48" w:rsidP="00425534">
    <w:pPr>
      <w:pStyle w:val="Footer"/>
      <w:tabs>
        <w:tab w:val="center" w:pos="4536"/>
        <w:tab w:val="right" w:pos="9072"/>
      </w:tabs>
      <w:spacing w:before="120"/>
      <w:rPr>
        <w:rFonts w:ascii="Calibri" w:hAnsi="Calibri" w:cs="Arial"/>
        <w:color w:val="FF0000"/>
        <w:sz w:val="40"/>
        <w:szCs w:val="40"/>
      </w:rPr>
    </w:pPr>
    <w:r>
      <w:rPr>
        <w:rStyle w:val="FooterChar"/>
        <w:rFonts w:ascii="Calibri" w:hAnsi="Calibri" w:cs="Arial"/>
        <w:b/>
        <w:color w:val="FF0000"/>
        <w:sz w:val="40"/>
        <w:szCs w:val="40"/>
      </w:rPr>
      <w:tab/>
    </w:r>
    <w:r w:rsidRPr="0000052F">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00052F">
      <w:rPr>
        <w:rStyle w:val="FooterChar"/>
        <w:b/>
        <w:noProof/>
      </w:rPr>
      <w:t>2</w:t>
    </w:r>
    <w:r w:rsidRPr="002C4DA6">
      <w:rPr>
        <w:rStyle w:val="FooterChar"/>
        <w:b/>
      </w:rPr>
      <w:fldChar w:fldCharType="end"/>
    </w:r>
    <w:r w:rsidRPr="002C4DA6">
      <w:rPr>
        <w:rStyle w:val="FooterChar"/>
        <w:b/>
      </w:rPr>
      <w:t xml:space="preserve"> of </w:t>
    </w:r>
    <w:r>
      <w:rPr>
        <w:rStyle w:val="FooterChar"/>
        <w:b/>
      </w:rPr>
      <w:fldChar w:fldCharType="begin"/>
    </w:r>
    <w:r>
      <w:rPr>
        <w:rStyle w:val="FooterChar"/>
        <w:b/>
      </w:rPr>
      <w:instrText xml:space="preserve"> = </w:instrText>
    </w:r>
    <w:r>
      <w:rPr>
        <w:rStyle w:val="FooterChar"/>
        <w:b/>
      </w:rPr>
      <w:fldChar w:fldCharType="begin"/>
    </w:r>
    <w:r>
      <w:rPr>
        <w:rStyle w:val="FooterChar"/>
        <w:b/>
      </w:rPr>
      <w:instrText xml:space="preserve"> NUMPAGES  </w:instrText>
    </w:r>
    <w:r>
      <w:rPr>
        <w:rStyle w:val="FooterChar"/>
        <w:b/>
      </w:rPr>
      <w:fldChar w:fldCharType="separate"/>
    </w:r>
    <w:r w:rsidR="0000052F">
      <w:rPr>
        <w:rStyle w:val="FooterChar"/>
        <w:b/>
        <w:noProof/>
      </w:rPr>
      <w:instrText>4</w:instrText>
    </w:r>
    <w:r>
      <w:rPr>
        <w:rStyle w:val="FooterChar"/>
        <w:b/>
      </w:rPr>
      <w:fldChar w:fldCharType="end"/>
    </w:r>
    <w:r>
      <w:rPr>
        <w:rStyle w:val="FooterChar"/>
        <w:b/>
      </w:rPr>
      <w:instrText xml:space="preserve">  </w:instrText>
    </w:r>
    <w:r>
      <w:rPr>
        <w:rStyle w:val="FooterChar"/>
        <w:b/>
      </w:rPr>
      <w:fldChar w:fldCharType="separate"/>
    </w:r>
    <w:r w:rsidR="0000052F">
      <w:rPr>
        <w:rStyle w:val="FooterChar"/>
        <w:b/>
        <w:noProof/>
      </w:rPr>
      <w:t>4</w:t>
    </w:r>
    <w:r>
      <w:rPr>
        <w:rStyle w:val="FooterCha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D48" w:rsidRPr="00111353" w:rsidRDefault="003E41B2" w:rsidP="00015E04">
    <w:pPr>
      <w:pStyle w:val="Footer"/>
      <w:tabs>
        <w:tab w:val="center" w:pos="4536"/>
        <w:tab w:val="right" w:pos="9072"/>
      </w:tabs>
      <w:spacing w:before="120"/>
      <w:rPr>
        <w:rFonts w:ascii="Calibri" w:hAnsi="Calibri" w:cs="Arial"/>
      </w:rPr>
    </w:pPr>
    <w:r w:rsidRPr="00DD281D">
      <w:rPr>
        <w:rStyle w:val="FooterChar"/>
        <w:rFonts w:ascii="Calibri" w:hAnsi="Calibri" w:cs="Arial"/>
        <w:b/>
      </w:rPr>
      <w:t>PBO</w:t>
    </w:r>
    <w:r>
      <w:rPr>
        <w:rStyle w:val="FooterChar"/>
        <w:rFonts w:ascii="Calibri" w:hAnsi="Calibri" w:cs="Arial"/>
        <w:b/>
      </w:rPr>
      <w:t xml:space="preserve"> reference </w:t>
    </w:r>
    <w:r w:rsidRPr="003E41B2">
      <w:rPr>
        <w:rStyle w:val="FooterChar"/>
        <w:rFonts w:ascii="Calibri" w:hAnsi="Calibri" w:cs="Arial"/>
        <w:b/>
      </w:rPr>
      <w:t>PR1</w:t>
    </w:r>
    <w:r w:rsidR="009B424D">
      <w:rPr>
        <w:rStyle w:val="FooterChar"/>
        <w:rFonts w:ascii="Calibri" w:hAnsi="Calibri" w:cs="Arial"/>
        <w:b/>
      </w:rPr>
      <w:t>8</w:t>
    </w:r>
    <w:r w:rsidR="00111353">
      <w:rPr>
        <w:rStyle w:val="FooterChar"/>
        <w:rFonts w:ascii="Calibri" w:hAnsi="Calibri" w:cs="Arial"/>
        <w:b/>
      </w:rPr>
      <w:t>/00605#03</w:t>
    </w:r>
    <w:r w:rsidR="00C91D48" w:rsidRPr="009B70E6">
      <w:rPr>
        <w:rStyle w:val="FooterChar"/>
        <w:rFonts w:ascii="Calibri" w:hAnsi="Calibri" w:cs="Arial"/>
        <w:b/>
        <w:sz w:val="20"/>
        <w:szCs w:val="20"/>
      </w:rPr>
      <w:tab/>
    </w:r>
    <w:r w:rsidR="00C91D48" w:rsidRPr="0000052F">
      <w:rPr>
        <w:rStyle w:val="FooterChar"/>
        <w:rFonts w:ascii="Calibri" w:hAnsi="Calibri" w:cs="Arial"/>
        <w:b/>
        <w:strike/>
        <w:color w:val="FF0000"/>
        <w:sz w:val="40"/>
        <w:szCs w:val="40"/>
      </w:rPr>
      <w:t>Sensitive</w:t>
    </w:r>
    <w:r w:rsidR="00C91D48">
      <w:rPr>
        <w:rStyle w:val="FooterChar"/>
        <w:rFonts w:ascii="Calibri" w:hAnsi="Calibri" w:cs="Arial"/>
        <w:b/>
        <w:color w:val="FF0000"/>
        <w:sz w:val="40"/>
        <w:szCs w:val="40"/>
      </w:rPr>
      <w:tab/>
    </w:r>
    <w:r w:rsidR="00C91D48" w:rsidRPr="002C4DA6">
      <w:rPr>
        <w:rStyle w:val="FooterChar"/>
        <w:b/>
      </w:rPr>
      <w:t xml:space="preserve">Page </w:t>
    </w:r>
    <w:r w:rsidR="00C91D48" w:rsidRPr="002C4DA6">
      <w:rPr>
        <w:rStyle w:val="FooterChar"/>
        <w:b/>
      </w:rPr>
      <w:fldChar w:fldCharType="begin"/>
    </w:r>
    <w:r w:rsidR="00C91D48" w:rsidRPr="002C4DA6">
      <w:rPr>
        <w:rStyle w:val="FooterChar"/>
        <w:b/>
      </w:rPr>
      <w:instrText xml:space="preserve"> PAGE  \* Arabic  \* MERGEFORMAT </w:instrText>
    </w:r>
    <w:r w:rsidR="00C91D48" w:rsidRPr="002C4DA6">
      <w:rPr>
        <w:rStyle w:val="FooterChar"/>
        <w:b/>
      </w:rPr>
      <w:fldChar w:fldCharType="separate"/>
    </w:r>
    <w:r w:rsidR="00C124D1">
      <w:rPr>
        <w:rStyle w:val="FooterChar"/>
        <w:b/>
        <w:noProof/>
      </w:rPr>
      <w:t>1</w:t>
    </w:r>
    <w:r w:rsidR="00C91D48" w:rsidRPr="002C4DA6">
      <w:rPr>
        <w:rStyle w:val="FooterChar"/>
        <w:b/>
      </w:rPr>
      <w:fldChar w:fldCharType="end"/>
    </w:r>
    <w:r w:rsidR="00C91D48" w:rsidRPr="002C4DA6">
      <w:rPr>
        <w:rStyle w:val="FooterChar"/>
        <w:b/>
      </w:rPr>
      <w:t xml:space="preserve"> of </w:t>
    </w:r>
    <w:r w:rsidR="00C91D48">
      <w:rPr>
        <w:rStyle w:val="FooterChar"/>
        <w:b/>
      </w:rPr>
      <w:fldChar w:fldCharType="begin"/>
    </w:r>
    <w:r w:rsidR="00C91D48">
      <w:rPr>
        <w:rStyle w:val="FooterChar"/>
        <w:b/>
      </w:rPr>
      <w:instrText xml:space="preserve"> = </w:instrText>
    </w:r>
    <w:r w:rsidR="00C91D48">
      <w:rPr>
        <w:rStyle w:val="FooterChar"/>
        <w:b/>
      </w:rPr>
      <w:fldChar w:fldCharType="begin"/>
    </w:r>
    <w:r w:rsidR="00C91D48">
      <w:rPr>
        <w:rStyle w:val="FooterChar"/>
        <w:b/>
      </w:rPr>
      <w:instrText xml:space="preserve"> NUMPAGES  </w:instrText>
    </w:r>
    <w:r w:rsidR="00C91D48">
      <w:rPr>
        <w:rStyle w:val="FooterChar"/>
        <w:b/>
      </w:rPr>
      <w:fldChar w:fldCharType="separate"/>
    </w:r>
    <w:r w:rsidR="00C124D1">
      <w:rPr>
        <w:rStyle w:val="FooterChar"/>
        <w:b/>
        <w:noProof/>
      </w:rPr>
      <w:instrText>4</w:instrText>
    </w:r>
    <w:r w:rsidR="00C91D48">
      <w:rPr>
        <w:rStyle w:val="FooterChar"/>
        <w:b/>
      </w:rPr>
      <w:fldChar w:fldCharType="end"/>
    </w:r>
    <w:r w:rsidR="00C91D48">
      <w:rPr>
        <w:rStyle w:val="FooterChar"/>
        <w:b/>
      </w:rPr>
      <w:instrText xml:space="preserve">  </w:instrText>
    </w:r>
    <w:r w:rsidR="00C91D48">
      <w:rPr>
        <w:rStyle w:val="FooterChar"/>
        <w:b/>
      </w:rPr>
      <w:fldChar w:fldCharType="separate"/>
    </w:r>
    <w:r w:rsidR="00C124D1">
      <w:rPr>
        <w:rStyle w:val="FooterChar"/>
        <w:b/>
        <w:noProof/>
      </w:rPr>
      <w:t>4</w:t>
    </w:r>
    <w:r w:rsidR="00C91D48">
      <w:rPr>
        <w:rStyle w:val="FooterCha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D48" w:rsidRPr="00015E04" w:rsidRDefault="00C91D48" w:rsidP="002E5CE6">
    <w:pPr>
      <w:pStyle w:val="Footer"/>
      <w:tabs>
        <w:tab w:val="center" w:pos="4962"/>
        <w:tab w:val="right" w:pos="9923"/>
      </w:tabs>
      <w:spacing w:before="120"/>
      <w:rPr>
        <w:rFonts w:ascii="Calibri" w:hAnsi="Calibri" w:cs="Arial"/>
        <w:color w:val="FF0000"/>
        <w:sz w:val="40"/>
        <w:szCs w:val="40"/>
      </w:rPr>
    </w:pPr>
    <w:r>
      <w:rPr>
        <w:rStyle w:val="FooterChar"/>
        <w:rFonts w:ascii="Calibri" w:hAnsi="Calibri" w:cs="Arial"/>
        <w:b/>
        <w:color w:val="FF0000"/>
        <w:sz w:val="40"/>
        <w:szCs w:val="40"/>
      </w:rPr>
      <w:tab/>
    </w:r>
    <w:r w:rsidRPr="0000052F">
      <w:rPr>
        <w:rStyle w:val="FooterChar"/>
        <w:rFonts w:ascii="Calibri" w:hAnsi="Calibri" w:cs="Arial"/>
        <w:b/>
        <w:strike/>
        <w:color w:val="FF0000"/>
        <w:sz w:val="40"/>
        <w:szCs w:val="40"/>
      </w:rPr>
      <w:t>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00052F">
      <w:rPr>
        <w:rStyle w:val="FooterChar"/>
        <w:b/>
        <w:noProof/>
      </w:rPr>
      <w:t>4</w:t>
    </w:r>
    <w:r w:rsidRPr="002C4DA6">
      <w:rPr>
        <w:rStyle w:val="FooterChar"/>
        <w:b/>
      </w:rPr>
      <w:fldChar w:fldCharType="end"/>
    </w:r>
    <w:r w:rsidRPr="002C4DA6">
      <w:rPr>
        <w:rStyle w:val="FooterChar"/>
        <w:b/>
      </w:rPr>
      <w:t xml:space="preserve"> of </w:t>
    </w:r>
    <w:r>
      <w:rPr>
        <w:rStyle w:val="FooterChar"/>
        <w:b/>
      </w:rPr>
      <w:fldChar w:fldCharType="begin"/>
    </w:r>
    <w:r>
      <w:rPr>
        <w:rStyle w:val="FooterChar"/>
        <w:b/>
      </w:rPr>
      <w:instrText xml:space="preserve"> = </w:instrText>
    </w:r>
    <w:r>
      <w:rPr>
        <w:rStyle w:val="FooterChar"/>
        <w:b/>
      </w:rPr>
      <w:fldChar w:fldCharType="begin"/>
    </w:r>
    <w:r>
      <w:rPr>
        <w:rStyle w:val="FooterChar"/>
        <w:b/>
      </w:rPr>
      <w:instrText xml:space="preserve"> NUMPAGES  </w:instrText>
    </w:r>
    <w:r>
      <w:rPr>
        <w:rStyle w:val="FooterChar"/>
        <w:b/>
      </w:rPr>
      <w:fldChar w:fldCharType="separate"/>
    </w:r>
    <w:r w:rsidR="0000052F">
      <w:rPr>
        <w:rStyle w:val="FooterChar"/>
        <w:b/>
        <w:noProof/>
      </w:rPr>
      <w:instrText>4</w:instrText>
    </w:r>
    <w:r>
      <w:rPr>
        <w:rStyle w:val="FooterChar"/>
        <w:b/>
      </w:rPr>
      <w:fldChar w:fldCharType="end"/>
    </w:r>
    <w:r>
      <w:rPr>
        <w:rStyle w:val="FooterChar"/>
        <w:b/>
      </w:rPr>
      <w:instrText xml:space="preserve">  </w:instrText>
    </w:r>
    <w:r>
      <w:rPr>
        <w:rStyle w:val="FooterChar"/>
        <w:b/>
      </w:rPr>
      <w:fldChar w:fldCharType="separate"/>
    </w:r>
    <w:r w:rsidR="0000052F">
      <w:rPr>
        <w:rStyle w:val="FooterChar"/>
        <w:b/>
        <w:noProof/>
      </w:rPr>
      <w:t>4</w:t>
    </w:r>
    <w:r>
      <w:rPr>
        <w:rStyle w:val="FooterCha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C2D" w:rsidRPr="000557A7" w:rsidRDefault="00545C2D" w:rsidP="008D5A11">
      <w:pPr>
        <w:pBdr>
          <w:top w:val="single" w:sz="4" w:space="1" w:color="auto"/>
        </w:pBdr>
        <w:spacing w:before="240" w:line="60" w:lineRule="exact"/>
        <w:rPr>
          <w:sz w:val="16"/>
          <w:szCs w:val="16"/>
        </w:rPr>
      </w:pPr>
    </w:p>
  </w:footnote>
  <w:footnote w:type="continuationSeparator" w:id="0">
    <w:p w:rsidR="00545C2D" w:rsidRDefault="00545C2D" w:rsidP="00A20802">
      <w:pPr>
        <w:spacing w:line="240" w:lineRule="auto"/>
      </w:pPr>
      <w:r>
        <w:continuationSeparator/>
      </w:r>
    </w:p>
    <w:p w:rsidR="00545C2D" w:rsidRDefault="00545C2D"/>
    <w:p w:rsidR="00545C2D" w:rsidRDefault="00545C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52F" w:rsidRPr="0000052F" w:rsidRDefault="0000052F" w:rsidP="0000052F">
    <w:pPr>
      <w:pStyle w:val="Header"/>
      <w:jc w:val="center"/>
      <w:rPr>
        <w:rFonts w:ascii="Calibri" w:hAnsi="Calibri"/>
        <w:b/>
        <w:strike/>
        <w:color w:val="FF0000"/>
        <w:sz w:val="40"/>
        <w:szCs w:val="40"/>
      </w:rPr>
    </w:pPr>
    <w:r w:rsidRPr="0000052F">
      <w:rPr>
        <w:rFonts w:ascii="Calibri" w:hAnsi="Calibri"/>
        <w:b/>
        <w:strike/>
        <w:color w:val="FF0000"/>
        <w:sz w:val="40"/>
        <w:szCs w:val="40"/>
      </w:rPr>
      <w:t>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D48" w:rsidRPr="0000052F" w:rsidRDefault="00C91D48" w:rsidP="002C4DA6">
    <w:pPr>
      <w:pStyle w:val="Header"/>
      <w:jc w:val="center"/>
      <w:rPr>
        <w:rFonts w:ascii="Calibri" w:hAnsi="Calibri"/>
        <w:b/>
        <w:strike/>
        <w:color w:val="FF0000"/>
        <w:sz w:val="40"/>
        <w:szCs w:val="40"/>
      </w:rPr>
    </w:pPr>
    <w:r w:rsidRPr="0000052F">
      <w:rPr>
        <w:rFonts w:ascii="Calibri" w:hAnsi="Calibri"/>
        <w:b/>
        <w:strike/>
        <w:color w:val="FF0000"/>
        <w:sz w:val="40"/>
        <w:szCs w:val="40"/>
      </w:rPr>
      <w:t>Sensitive</w:t>
    </w:r>
  </w:p>
  <w:p w:rsidR="00C91D48" w:rsidRPr="0046444F" w:rsidRDefault="001616E8" w:rsidP="0046444F">
    <w:pPr>
      <w:pStyle w:val="Header"/>
    </w:pPr>
    <w:r>
      <w:rPr>
        <w:noProof/>
        <w:lang w:eastAsia="en-AU"/>
      </w:rPr>
      <w:drawing>
        <wp:inline distT="0" distB="0" distL="0" distR="0" wp14:anchorId="0482569C" wp14:editId="17415632">
          <wp:extent cx="1934491" cy="576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BO Logo In Line_Black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4491" cy="57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640"/>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8B37FE"/>
    <w:multiLevelType w:val="multilevel"/>
    <w:tmpl w:val="2CA8A22A"/>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9AD6A00"/>
    <w:multiLevelType w:val="hybridMultilevel"/>
    <w:tmpl w:val="4B3A4D4E"/>
    <w:lvl w:ilvl="0" w:tplc="18CCC816">
      <w:start w:val="1"/>
      <w:numFmt w:val="lowerLetter"/>
      <w:lvlText w:val="(%1)"/>
      <w:lvlJc w:val="left"/>
      <w:pPr>
        <w:ind w:left="720" w:hanging="360"/>
      </w:pPr>
      <w:rPr>
        <w:rFonts w:ascii="Calibri" w:hAnsi="Calibr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D745448"/>
    <w:multiLevelType w:val="multilevel"/>
    <w:tmpl w:val="B9B2787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5">
    <w:nsid w:val="147F785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nsid w:val="1A154848"/>
    <w:multiLevelType w:val="hybridMultilevel"/>
    <w:tmpl w:val="09B261B0"/>
    <w:lvl w:ilvl="0" w:tplc="0652CEDE">
      <w:start w:val="1"/>
      <w:numFmt w:val="bullet"/>
      <w:pStyle w:val="Letter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EE60DA"/>
    <w:multiLevelType w:val="hybridMultilevel"/>
    <w:tmpl w:val="8F4E44D6"/>
    <w:lvl w:ilvl="0" w:tplc="CABC4C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nsid w:val="32D14000"/>
    <w:multiLevelType w:val="hybridMultilevel"/>
    <w:tmpl w:val="7BEEEA2A"/>
    <w:lvl w:ilvl="0" w:tplc="FC10A6DC">
      <w:start w:val="1"/>
      <w:numFmt w:val="lowerLetter"/>
      <w:lvlText w:val="(%1)"/>
      <w:lvlJc w:val="left"/>
      <w:pPr>
        <w:ind w:left="720" w:hanging="360"/>
      </w:pPr>
      <w:rPr>
        <w:rFonts w:asciiTheme="minorHAnsi" w:eastAsiaTheme="minorHAnsi" w:hAnsiTheme="minorHAnsi" w:cstheme="minorBid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7CD034B"/>
    <w:multiLevelType w:val="hybridMultilevel"/>
    <w:tmpl w:val="AC467CF0"/>
    <w:lvl w:ilvl="0" w:tplc="E8FC92E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38F13100"/>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9AB13AF"/>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2A568AF"/>
    <w:multiLevelType w:val="hybridMultilevel"/>
    <w:tmpl w:val="50BA43C4"/>
    <w:lvl w:ilvl="0" w:tplc="138EAD40">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36B2E15"/>
    <w:multiLevelType w:val="multilevel"/>
    <w:tmpl w:val="7BEEEA2A"/>
    <w:lvl w:ilvl="0">
      <w:start w:val="1"/>
      <w:numFmt w:val="lowerLetter"/>
      <w:lvlText w:val="(%1)"/>
      <w:lvlJc w:val="left"/>
      <w:pPr>
        <w:ind w:left="720" w:hanging="360"/>
      </w:pPr>
      <w:rPr>
        <w:rFonts w:asciiTheme="minorHAnsi" w:eastAsiaTheme="minorHAnsi" w:hAnsiTheme="minorHAnsi" w:cstheme="minorBidi"/>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50359A8"/>
    <w:multiLevelType w:val="hybridMultilevel"/>
    <w:tmpl w:val="D098FA50"/>
    <w:lvl w:ilvl="0" w:tplc="62C45750">
      <w:start w:val="1"/>
      <w:numFmt w:val="lowerLetter"/>
      <w:lvlText w:val="(%1)"/>
      <w:lvlJc w:val="left"/>
      <w:pPr>
        <w:ind w:left="720" w:hanging="360"/>
      </w:pPr>
      <w:rPr>
        <w:rFonts w:ascii="Calibri" w:hAnsi="Calibri" w:hint="default"/>
        <w:b w:val="0"/>
        <w:i w:val="0"/>
        <w:sz w:val="16"/>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80E7FD1"/>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20D7EE9"/>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27A4897"/>
    <w:multiLevelType w:val="hybridMultilevel"/>
    <w:tmpl w:val="17683AEC"/>
    <w:lvl w:ilvl="0" w:tplc="CEA06770">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4">
    <w:nsid w:val="62A77F1C"/>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5DB45AC"/>
    <w:multiLevelType w:val="hybridMultilevel"/>
    <w:tmpl w:val="FDD6AE4E"/>
    <w:lvl w:ilvl="0" w:tplc="6CCC4AE4">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9CE4BDD"/>
    <w:multiLevelType w:val="hybridMultilevel"/>
    <w:tmpl w:val="B5D41A40"/>
    <w:lvl w:ilvl="0" w:tplc="497A32CA">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C1771C9"/>
    <w:multiLevelType w:val="hybridMultilevel"/>
    <w:tmpl w:val="1CC8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9778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0">
    <w:nsid w:val="707C1A2E"/>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2">
    <w:nsid w:val="78A76270"/>
    <w:multiLevelType w:val="hybridMultilevel"/>
    <w:tmpl w:val="9ACE365C"/>
    <w:lvl w:ilvl="0" w:tplc="BB36BB8E">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F2804D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1"/>
  </w:num>
  <w:num w:numId="3">
    <w:abstractNumId w:val="31"/>
  </w:num>
  <w:num w:numId="4">
    <w:abstractNumId w:val="13"/>
  </w:num>
  <w:num w:numId="5">
    <w:abstractNumId w:val="10"/>
  </w:num>
  <w:num w:numId="6">
    <w:abstractNumId w:val="29"/>
  </w:num>
  <w:num w:numId="7">
    <w:abstractNumId w:val="4"/>
  </w:num>
  <w:num w:numId="8">
    <w:abstractNumId w:val="6"/>
  </w:num>
  <w:num w:numId="9">
    <w:abstractNumId w:val="28"/>
  </w:num>
  <w:num w:numId="10">
    <w:abstractNumId w:val="3"/>
  </w:num>
  <w:num w:numId="11">
    <w:abstractNumId w:val="8"/>
  </w:num>
  <w:num w:numId="12">
    <w:abstractNumId w:val="2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0"/>
  </w:num>
  <w:num w:numId="18">
    <w:abstractNumId w:val="33"/>
  </w:num>
  <w:num w:numId="19">
    <w:abstractNumId w:val="0"/>
  </w:num>
  <w:num w:numId="20">
    <w:abstractNumId w:val="19"/>
  </w:num>
  <w:num w:numId="21">
    <w:abstractNumId w:val="21"/>
  </w:num>
  <w:num w:numId="22">
    <w:abstractNumId w:val="15"/>
  </w:num>
  <w:num w:numId="23">
    <w:abstractNumId w:val="16"/>
  </w:num>
  <w:num w:numId="24">
    <w:abstractNumId w:val="25"/>
  </w:num>
  <w:num w:numId="25">
    <w:abstractNumId w:val="14"/>
  </w:num>
  <w:num w:numId="26">
    <w:abstractNumId w:val="5"/>
  </w:num>
  <w:num w:numId="27">
    <w:abstractNumId w:val="24"/>
  </w:num>
  <w:num w:numId="28">
    <w:abstractNumId w:val="22"/>
  </w:num>
  <w:num w:numId="29">
    <w:abstractNumId w:val="26"/>
  </w:num>
  <w:num w:numId="30">
    <w:abstractNumId w:val="32"/>
  </w:num>
  <w:num w:numId="31">
    <w:abstractNumId w:val="20"/>
  </w:num>
  <w:num w:numId="32">
    <w:abstractNumId w:val="11"/>
  </w:num>
  <w:num w:numId="33">
    <w:abstractNumId w:val="17"/>
  </w:num>
  <w:num w:numId="34">
    <w:abstractNumId w:val="9"/>
  </w:num>
  <w:num w:numId="35">
    <w:abstractNumId w:val="3"/>
  </w:num>
  <w:num w:numId="36">
    <w:abstractNumId w:val="1"/>
  </w:num>
  <w:num w:numId="37">
    <w:abstractNumId w:val="7"/>
  </w:num>
  <w:num w:numId="38">
    <w:abstractNumId w:val="4"/>
  </w:num>
  <w:num w:numId="39">
    <w:abstractNumId w:val="4"/>
  </w:num>
  <w:num w:numId="40">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545C2D"/>
    <w:rsid w:val="0000052F"/>
    <w:rsid w:val="0000071C"/>
    <w:rsid w:val="0000322C"/>
    <w:rsid w:val="00003CDD"/>
    <w:rsid w:val="00013620"/>
    <w:rsid w:val="0001406F"/>
    <w:rsid w:val="00015E04"/>
    <w:rsid w:val="000168A7"/>
    <w:rsid w:val="00016D53"/>
    <w:rsid w:val="000278D0"/>
    <w:rsid w:val="00027E62"/>
    <w:rsid w:val="000307C8"/>
    <w:rsid w:val="00030F73"/>
    <w:rsid w:val="00033326"/>
    <w:rsid w:val="00035ADE"/>
    <w:rsid w:val="0004224B"/>
    <w:rsid w:val="00046226"/>
    <w:rsid w:val="000505FB"/>
    <w:rsid w:val="0005330D"/>
    <w:rsid w:val="000557A7"/>
    <w:rsid w:val="00055805"/>
    <w:rsid w:val="00056CB3"/>
    <w:rsid w:val="0005793B"/>
    <w:rsid w:val="00061758"/>
    <w:rsid w:val="00065125"/>
    <w:rsid w:val="00066D54"/>
    <w:rsid w:val="00067A28"/>
    <w:rsid w:val="0007260F"/>
    <w:rsid w:val="000739CB"/>
    <w:rsid w:val="00073C89"/>
    <w:rsid w:val="0007488E"/>
    <w:rsid w:val="00075D91"/>
    <w:rsid w:val="000805D5"/>
    <w:rsid w:val="0008103B"/>
    <w:rsid w:val="00085F97"/>
    <w:rsid w:val="000879B1"/>
    <w:rsid w:val="00092A33"/>
    <w:rsid w:val="000973F9"/>
    <w:rsid w:val="00097A23"/>
    <w:rsid w:val="000A0848"/>
    <w:rsid w:val="000A2FEC"/>
    <w:rsid w:val="000A348F"/>
    <w:rsid w:val="000B1B0C"/>
    <w:rsid w:val="000B2C35"/>
    <w:rsid w:val="000B4345"/>
    <w:rsid w:val="000B5900"/>
    <w:rsid w:val="000B60AE"/>
    <w:rsid w:val="000B6942"/>
    <w:rsid w:val="000B6D00"/>
    <w:rsid w:val="000C09FA"/>
    <w:rsid w:val="000C1AB0"/>
    <w:rsid w:val="000C37A9"/>
    <w:rsid w:val="000C6728"/>
    <w:rsid w:val="000C702E"/>
    <w:rsid w:val="000D15E9"/>
    <w:rsid w:val="000D3182"/>
    <w:rsid w:val="000D45C4"/>
    <w:rsid w:val="000D46B3"/>
    <w:rsid w:val="000E18F3"/>
    <w:rsid w:val="000E19AC"/>
    <w:rsid w:val="000E266E"/>
    <w:rsid w:val="000E4C7B"/>
    <w:rsid w:val="000F1515"/>
    <w:rsid w:val="000F16B5"/>
    <w:rsid w:val="000F616E"/>
    <w:rsid w:val="000F7D50"/>
    <w:rsid w:val="00110D43"/>
    <w:rsid w:val="00111353"/>
    <w:rsid w:val="001159EA"/>
    <w:rsid w:val="00120A75"/>
    <w:rsid w:val="00125410"/>
    <w:rsid w:val="00130858"/>
    <w:rsid w:val="00131861"/>
    <w:rsid w:val="00136C26"/>
    <w:rsid w:val="0014059F"/>
    <w:rsid w:val="00141551"/>
    <w:rsid w:val="001417CE"/>
    <w:rsid w:val="0014479F"/>
    <w:rsid w:val="00146B30"/>
    <w:rsid w:val="00146EAD"/>
    <w:rsid w:val="001541BF"/>
    <w:rsid w:val="00154DC5"/>
    <w:rsid w:val="00155D0D"/>
    <w:rsid w:val="00160C8D"/>
    <w:rsid w:val="001616E8"/>
    <w:rsid w:val="001629C0"/>
    <w:rsid w:val="00165122"/>
    <w:rsid w:val="00165854"/>
    <w:rsid w:val="00166078"/>
    <w:rsid w:val="00166A15"/>
    <w:rsid w:val="001711BC"/>
    <w:rsid w:val="001738DB"/>
    <w:rsid w:val="001738F5"/>
    <w:rsid w:val="00173DFD"/>
    <w:rsid w:val="00180FF9"/>
    <w:rsid w:val="0019204F"/>
    <w:rsid w:val="00195228"/>
    <w:rsid w:val="00195696"/>
    <w:rsid w:val="00196532"/>
    <w:rsid w:val="001A1503"/>
    <w:rsid w:val="001A1EFC"/>
    <w:rsid w:val="001A48EF"/>
    <w:rsid w:val="001A49CC"/>
    <w:rsid w:val="001A5553"/>
    <w:rsid w:val="001A716E"/>
    <w:rsid w:val="001B18C6"/>
    <w:rsid w:val="001B2C65"/>
    <w:rsid w:val="001B4255"/>
    <w:rsid w:val="001B7058"/>
    <w:rsid w:val="001C3A4F"/>
    <w:rsid w:val="001C4121"/>
    <w:rsid w:val="001C48DE"/>
    <w:rsid w:val="001C7F8D"/>
    <w:rsid w:val="001D30C1"/>
    <w:rsid w:val="001D52E3"/>
    <w:rsid w:val="001D576F"/>
    <w:rsid w:val="001D6333"/>
    <w:rsid w:val="001D7C29"/>
    <w:rsid w:val="001E0475"/>
    <w:rsid w:val="001E33C2"/>
    <w:rsid w:val="001E708A"/>
    <w:rsid w:val="001F2AAD"/>
    <w:rsid w:val="001F3701"/>
    <w:rsid w:val="001F5C90"/>
    <w:rsid w:val="001F767C"/>
    <w:rsid w:val="001F7B10"/>
    <w:rsid w:val="00203A7B"/>
    <w:rsid w:val="002057EF"/>
    <w:rsid w:val="00205C6E"/>
    <w:rsid w:val="00210074"/>
    <w:rsid w:val="00210FCF"/>
    <w:rsid w:val="002179B6"/>
    <w:rsid w:val="00222EFF"/>
    <w:rsid w:val="002240D5"/>
    <w:rsid w:val="002261A7"/>
    <w:rsid w:val="00226AEC"/>
    <w:rsid w:val="0023077A"/>
    <w:rsid w:val="00235C95"/>
    <w:rsid w:val="002545F3"/>
    <w:rsid w:val="0026257E"/>
    <w:rsid w:val="0026344F"/>
    <w:rsid w:val="00266A17"/>
    <w:rsid w:val="00270372"/>
    <w:rsid w:val="00275534"/>
    <w:rsid w:val="00277075"/>
    <w:rsid w:val="002775D2"/>
    <w:rsid w:val="00281ADD"/>
    <w:rsid w:val="0028563E"/>
    <w:rsid w:val="00287823"/>
    <w:rsid w:val="0028792D"/>
    <w:rsid w:val="00293E0D"/>
    <w:rsid w:val="00293E80"/>
    <w:rsid w:val="002973B0"/>
    <w:rsid w:val="00297C14"/>
    <w:rsid w:val="002A220F"/>
    <w:rsid w:val="002A24F1"/>
    <w:rsid w:val="002A43A0"/>
    <w:rsid w:val="002A45A3"/>
    <w:rsid w:val="002A5778"/>
    <w:rsid w:val="002A6E3B"/>
    <w:rsid w:val="002B1C24"/>
    <w:rsid w:val="002B1E84"/>
    <w:rsid w:val="002B2085"/>
    <w:rsid w:val="002B3EC4"/>
    <w:rsid w:val="002C37D5"/>
    <w:rsid w:val="002C4DA6"/>
    <w:rsid w:val="002C60A0"/>
    <w:rsid w:val="002D0BAB"/>
    <w:rsid w:val="002D18E1"/>
    <w:rsid w:val="002D239A"/>
    <w:rsid w:val="002D34DB"/>
    <w:rsid w:val="002D48BE"/>
    <w:rsid w:val="002D4B11"/>
    <w:rsid w:val="002E5633"/>
    <w:rsid w:val="002E5CE6"/>
    <w:rsid w:val="002F1963"/>
    <w:rsid w:val="002F5B6E"/>
    <w:rsid w:val="002F61B5"/>
    <w:rsid w:val="00300066"/>
    <w:rsid w:val="0030209B"/>
    <w:rsid w:val="003116DE"/>
    <w:rsid w:val="00312494"/>
    <w:rsid w:val="003127E4"/>
    <w:rsid w:val="00312C42"/>
    <w:rsid w:val="00313215"/>
    <w:rsid w:val="00313DA1"/>
    <w:rsid w:val="003174C3"/>
    <w:rsid w:val="003230D5"/>
    <w:rsid w:val="0032557A"/>
    <w:rsid w:val="00326E3E"/>
    <w:rsid w:val="003318BA"/>
    <w:rsid w:val="003326F7"/>
    <w:rsid w:val="00340778"/>
    <w:rsid w:val="00343205"/>
    <w:rsid w:val="00344D2C"/>
    <w:rsid w:val="003458CE"/>
    <w:rsid w:val="00345A57"/>
    <w:rsid w:val="00345F82"/>
    <w:rsid w:val="00346D90"/>
    <w:rsid w:val="00351F62"/>
    <w:rsid w:val="00352B4F"/>
    <w:rsid w:val="0035792C"/>
    <w:rsid w:val="003601F4"/>
    <w:rsid w:val="00361150"/>
    <w:rsid w:val="003671E2"/>
    <w:rsid w:val="00370320"/>
    <w:rsid w:val="00372AE6"/>
    <w:rsid w:val="00376C3A"/>
    <w:rsid w:val="0038082C"/>
    <w:rsid w:val="003837E1"/>
    <w:rsid w:val="0038542D"/>
    <w:rsid w:val="0038584D"/>
    <w:rsid w:val="00387E70"/>
    <w:rsid w:val="0039257F"/>
    <w:rsid w:val="003931DE"/>
    <w:rsid w:val="00397D1A"/>
    <w:rsid w:val="003A163C"/>
    <w:rsid w:val="003A2B08"/>
    <w:rsid w:val="003A2B4E"/>
    <w:rsid w:val="003A2FBB"/>
    <w:rsid w:val="003A3799"/>
    <w:rsid w:val="003A4913"/>
    <w:rsid w:val="003A54A9"/>
    <w:rsid w:val="003A62A5"/>
    <w:rsid w:val="003A7083"/>
    <w:rsid w:val="003B2CF2"/>
    <w:rsid w:val="003B3103"/>
    <w:rsid w:val="003B38B3"/>
    <w:rsid w:val="003B3A97"/>
    <w:rsid w:val="003B3D44"/>
    <w:rsid w:val="003B47BC"/>
    <w:rsid w:val="003C2540"/>
    <w:rsid w:val="003C6BB5"/>
    <w:rsid w:val="003C7CC2"/>
    <w:rsid w:val="003D3379"/>
    <w:rsid w:val="003D50B6"/>
    <w:rsid w:val="003E05DF"/>
    <w:rsid w:val="003E1562"/>
    <w:rsid w:val="003E41B2"/>
    <w:rsid w:val="003E6085"/>
    <w:rsid w:val="003E6CA3"/>
    <w:rsid w:val="003F4C96"/>
    <w:rsid w:val="00401C49"/>
    <w:rsid w:val="00404CFE"/>
    <w:rsid w:val="00406002"/>
    <w:rsid w:val="00406AD3"/>
    <w:rsid w:val="00410731"/>
    <w:rsid w:val="00410B35"/>
    <w:rsid w:val="00412B16"/>
    <w:rsid w:val="00412E42"/>
    <w:rsid w:val="00413EC1"/>
    <w:rsid w:val="00415776"/>
    <w:rsid w:val="0042112A"/>
    <w:rsid w:val="00425534"/>
    <w:rsid w:val="00425C05"/>
    <w:rsid w:val="00426356"/>
    <w:rsid w:val="00426929"/>
    <w:rsid w:val="00433D11"/>
    <w:rsid w:val="00440108"/>
    <w:rsid w:val="00441A6D"/>
    <w:rsid w:val="00442C16"/>
    <w:rsid w:val="00445410"/>
    <w:rsid w:val="00446439"/>
    <w:rsid w:val="00450BDA"/>
    <w:rsid w:val="00453A3E"/>
    <w:rsid w:val="0045452F"/>
    <w:rsid w:val="0045766B"/>
    <w:rsid w:val="00457EA9"/>
    <w:rsid w:val="004618A2"/>
    <w:rsid w:val="0046444F"/>
    <w:rsid w:val="00464FF9"/>
    <w:rsid w:val="004650AC"/>
    <w:rsid w:val="004716E3"/>
    <w:rsid w:val="00474BB7"/>
    <w:rsid w:val="00476133"/>
    <w:rsid w:val="00476800"/>
    <w:rsid w:val="004816D7"/>
    <w:rsid w:val="00482F63"/>
    <w:rsid w:val="0048342E"/>
    <w:rsid w:val="00487478"/>
    <w:rsid w:val="0048782D"/>
    <w:rsid w:val="00490873"/>
    <w:rsid w:val="00491703"/>
    <w:rsid w:val="00494DC1"/>
    <w:rsid w:val="004A3F56"/>
    <w:rsid w:val="004A4F1C"/>
    <w:rsid w:val="004A5E21"/>
    <w:rsid w:val="004A666A"/>
    <w:rsid w:val="004B143F"/>
    <w:rsid w:val="004B3022"/>
    <w:rsid w:val="004B49A0"/>
    <w:rsid w:val="004C3BDA"/>
    <w:rsid w:val="004C563B"/>
    <w:rsid w:val="004C6306"/>
    <w:rsid w:val="004C6F5E"/>
    <w:rsid w:val="004C7E94"/>
    <w:rsid w:val="004D4551"/>
    <w:rsid w:val="004D7CF8"/>
    <w:rsid w:val="004D7EDA"/>
    <w:rsid w:val="004E0E49"/>
    <w:rsid w:val="004E197A"/>
    <w:rsid w:val="004E5D52"/>
    <w:rsid w:val="004F07D7"/>
    <w:rsid w:val="004F1297"/>
    <w:rsid w:val="004F16DB"/>
    <w:rsid w:val="004F4D7E"/>
    <w:rsid w:val="004F5B16"/>
    <w:rsid w:val="004F5D9D"/>
    <w:rsid w:val="004F68E5"/>
    <w:rsid w:val="004F7037"/>
    <w:rsid w:val="004F741B"/>
    <w:rsid w:val="00500F08"/>
    <w:rsid w:val="0050132A"/>
    <w:rsid w:val="00503253"/>
    <w:rsid w:val="00503BB0"/>
    <w:rsid w:val="00503E03"/>
    <w:rsid w:val="005064F0"/>
    <w:rsid w:val="00511F0B"/>
    <w:rsid w:val="00512226"/>
    <w:rsid w:val="00512B31"/>
    <w:rsid w:val="005147C6"/>
    <w:rsid w:val="00514D5C"/>
    <w:rsid w:val="005159B1"/>
    <w:rsid w:val="00522502"/>
    <w:rsid w:val="00522530"/>
    <w:rsid w:val="005255A1"/>
    <w:rsid w:val="00525825"/>
    <w:rsid w:val="0052641C"/>
    <w:rsid w:val="005311C2"/>
    <w:rsid w:val="00532B17"/>
    <w:rsid w:val="0053795D"/>
    <w:rsid w:val="00541653"/>
    <w:rsid w:val="00544522"/>
    <w:rsid w:val="00545C2D"/>
    <w:rsid w:val="00545D37"/>
    <w:rsid w:val="005467E2"/>
    <w:rsid w:val="005468AB"/>
    <w:rsid w:val="005501A0"/>
    <w:rsid w:val="0055026B"/>
    <w:rsid w:val="00550831"/>
    <w:rsid w:val="00550A6C"/>
    <w:rsid w:val="005525B0"/>
    <w:rsid w:val="00554273"/>
    <w:rsid w:val="0056001A"/>
    <w:rsid w:val="005642B6"/>
    <w:rsid w:val="00566A97"/>
    <w:rsid w:val="00571D5E"/>
    <w:rsid w:val="005814CA"/>
    <w:rsid w:val="005823D0"/>
    <w:rsid w:val="00582D54"/>
    <w:rsid w:val="00583AAF"/>
    <w:rsid w:val="00587AF9"/>
    <w:rsid w:val="005962D5"/>
    <w:rsid w:val="005979D8"/>
    <w:rsid w:val="005A2748"/>
    <w:rsid w:val="005A443F"/>
    <w:rsid w:val="005A5215"/>
    <w:rsid w:val="005A7C26"/>
    <w:rsid w:val="005B0970"/>
    <w:rsid w:val="005B0E43"/>
    <w:rsid w:val="005B54F9"/>
    <w:rsid w:val="005B58D4"/>
    <w:rsid w:val="005B5B58"/>
    <w:rsid w:val="005B6BA1"/>
    <w:rsid w:val="005B7DC9"/>
    <w:rsid w:val="005C07B3"/>
    <w:rsid w:val="005C284E"/>
    <w:rsid w:val="005C47D4"/>
    <w:rsid w:val="005D4B99"/>
    <w:rsid w:val="005D51D0"/>
    <w:rsid w:val="005D6F83"/>
    <w:rsid w:val="005D7877"/>
    <w:rsid w:val="005D7B5B"/>
    <w:rsid w:val="005D7CCF"/>
    <w:rsid w:val="005E04CF"/>
    <w:rsid w:val="005E58C4"/>
    <w:rsid w:val="005E5D8F"/>
    <w:rsid w:val="005F5A5C"/>
    <w:rsid w:val="005F5CD9"/>
    <w:rsid w:val="00602664"/>
    <w:rsid w:val="0061135C"/>
    <w:rsid w:val="006136DD"/>
    <w:rsid w:val="006149F0"/>
    <w:rsid w:val="006220A5"/>
    <w:rsid w:val="00622D86"/>
    <w:rsid w:val="00624AC8"/>
    <w:rsid w:val="006262CF"/>
    <w:rsid w:val="00633812"/>
    <w:rsid w:val="00633C60"/>
    <w:rsid w:val="0064126D"/>
    <w:rsid w:val="006451B8"/>
    <w:rsid w:val="00645722"/>
    <w:rsid w:val="006509C3"/>
    <w:rsid w:val="00652432"/>
    <w:rsid w:val="00657840"/>
    <w:rsid w:val="0066003C"/>
    <w:rsid w:val="0066041E"/>
    <w:rsid w:val="006619BB"/>
    <w:rsid w:val="00673CCC"/>
    <w:rsid w:val="00675C98"/>
    <w:rsid w:val="006839BC"/>
    <w:rsid w:val="0069026B"/>
    <w:rsid w:val="006956EA"/>
    <w:rsid w:val="00696DCC"/>
    <w:rsid w:val="006A0D82"/>
    <w:rsid w:val="006A490C"/>
    <w:rsid w:val="006A5881"/>
    <w:rsid w:val="006A766E"/>
    <w:rsid w:val="006B2F3C"/>
    <w:rsid w:val="006B4F7D"/>
    <w:rsid w:val="006B63B1"/>
    <w:rsid w:val="006C114C"/>
    <w:rsid w:val="006C1152"/>
    <w:rsid w:val="006C3668"/>
    <w:rsid w:val="006C3864"/>
    <w:rsid w:val="006C5383"/>
    <w:rsid w:val="006C5E72"/>
    <w:rsid w:val="006D2AEC"/>
    <w:rsid w:val="006D438F"/>
    <w:rsid w:val="006D4B1C"/>
    <w:rsid w:val="006D4C8E"/>
    <w:rsid w:val="006E19D1"/>
    <w:rsid w:val="006E1CBB"/>
    <w:rsid w:val="006E4B27"/>
    <w:rsid w:val="006E5E7E"/>
    <w:rsid w:val="006F100B"/>
    <w:rsid w:val="006F239A"/>
    <w:rsid w:val="006F2C9D"/>
    <w:rsid w:val="006F4201"/>
    <w:rsid w:val="006F6B51"/>
    <w:rsid w:val="007048DB"/>
    <w:rsid w:val="0070637D"/>
    <w:rsid w:val="007071DD"/>
    <w:rsid w:val="0070771F"/>
    <w:rsid w:val="00712A14"/>
    <w:rsid w:val="00713208"/>
    <w:rsid w:val="00716C04"/>
    <w:rsid w:val="00717180"/>
    <w:rsid w:val="007179D2"/>
    <w:rsid w:val="00720750"/>
    <w:rsid w:val="00724B92"/>
    <w:rsid w:val="0072549C"/>
    <w:rsid w:val="00725A80"/>
    <w:rsid w:val="00726E61"/>
    <w:rsid w:val="0073102A"/>
    <w:rsid w:val="00733970"/>
    <w:rsid w:val="007375FE"/>
    <w:rsid w:val="0074148C"/>
    <w:rsid w:val="00741D0B"/>
    <w:rsid w:val="00754C58"/>
    <w:rsid w:val="0077436E"/>
    <w:rsid w:val="00776E78"/>
    <w:rsid w:val="0078138A"/>
    <w:rsid w:val="00781804"/>
    <w:rsid w:val="00783014"/>
    <w:rsid w:val="007834DC"/>
    <w:rsid w:val="00790768"/>
    <w:rsid w:val="007959D8"/>
    <w:rsid w:val="0079630F"/>
    <w:rsid w:val="007A04C2"/>
    <w:rsid w:val="007A4188"/>
    <w:rsid w:val="007A4238"/>
    <w:rsid w:val="007A47D0"/>
    <w:rsid w:val="007B146A"/>
    <w:rsid w:val="007B57C9"/>
    <w:rsid w:val="007C0E7C"/>
    <w:rsid w:val="007C0EAA"/>
    <w:rsid w:val="007C19C3"/>
    <w:rsid w:val="007C44B2"/>
    <w:rsid w:val="007C54EE"/>
    <w:rsid w:val="007C6496"/>
    <w:rsid w:val="007C745E"/>
    <w:rsid w:val="007D0ABE"/>
    <w:rsid w:val="007E0E53"/>
    <w:rsid w:val="007E319A"/>
    <w:rsid w:val="007E356F"/>
    <w:rsid w:val="007E3F8C"/>
    <w:rsid w:val="007F171C"/>
    <w:rsid w:val="007F2058"/>
    <w:rsid w:val="007F41A3"/>
    <w:rsid w:val="007F6C98"/>
    <w:rsid w:val="007F7685"/>
    <w:rsid w:val="0080011D"/>
    <w:rsid w:val="00800EA5"/>
    <w:rsid w:val="00801C01"/>
    <w:rsid w:val="008112CC"/>
    <w:rsid w:val="008130BB"/>
    <w:rsid w:val="00813D7D"/>
    <w:rsid w:val="008147C6"/>
    <w:rsid w:val="00817406"/>
    <w:rsid w:val="008208A7"/>
    <w:rsid w:val="008237FA"/>
    <w:rsid w:val="00825D37"/>
    <w:rsid w:val="00827E22"/>
    <w:rsid w:val="008369B0"/>
    <w:rsid w:val="008372D1"/>
    <w:rsid w:val="00845C1E"/>
    <w:rsid w:val="0085732C"/>
    <w:rsid w:val="00857C91"/>
    <w:rsid w:val="00860B45"/>
    <w:rsid w:val="00861F68"/>
    <w:rsid w:val="00863860"/>
    <w:rsid w:val="008638B5"/>
    <w:rsid w:val="00866B47"/>
    <w:rsid w:val="008734DB"/>
    <w:rsid w:val="0087390B"/>
    <w:rsid w:val="00874035"/>
    <w:rsid w:val="008745A1"/>
    <w:rsid w:val="008768E9"/>
    <w:rsid w:val="0087751B"/>
    <w:rsid w:val="00881A32"/>
    <w:rsid w:val="00890995"/>
    <w:rsid w:val="008914FB"/>
    <w:rsid w:val="00892428"/>
    <w:rsid w:val="00892516"/>
    <w:rsid w:val="0089737A"/>
    <w:rsid w:val="00897E99"/>
    <w:rsid w:val="00897F60"/>
    <w:rsid w:val="008A4829"/>
    <w:rsid w:val="008A601C"/>
    <w:rsid w:val="008B2384"/>
    <w:rsid w:val="008B38D6"/>
    <w:rsid w:val="008B4802"/>
    <w:rsid w:val="008B545D"/>
    <w:rsid w:val="008B69E3"/>
    <w:rsid w:val="008C1FD1"/>
    <w:rsid w:val="008C24A8"/>
    <w:rsid w:val="008C35EF"/>
    <w:rsid w:val="008C3664"/>
    <w:rsid w:val="008C5996"/>
    <w:rsid w:val="008D4FA9"/>
    <w:rsid w:val="008D5A11"/>
    <w:rsid w:val="008D5E23"/>
    <w:rsid w:val="008D77AF"/>
    <w:rsid w:val="008E6D59"/>
    <w:rsid w:val="008F30C7"/>
    <w:rsid w:val="008F4527"/>
    <w:rsid w:val="008F5D66"/>
    <w:rsid w:val="00901D5B"/>
    <w:rsid w:val="009028AA"/>
    <w:rsid w:val="00903E3F"/>
    <w:rsid w:val="009049C3"/>
    <w:rsid w:val="00904AB8"/>
    <w:rsid w:val="009057D9"/>
    <w:rsid w:val="0090774A"/>
    <w:rsid w:val="00907C97"/>
    <w:rsid w:val="00910D07"/>
    <w:rsid w:val="00914B2F"/>
    <w:rsid w:val="009150E6"/>
    <w:rsid w:val="00916290"/>
    <w:rsid w:val="00916F37"/>
    <w:rsid w:val="00917F89"/>
    <w:rsid w:val="009223BE"/>
    <w:rsid w:val="0092499B"/>
    <w:rsid w:val="009255EE"/>
    <w:rsid w:val="00925603"/>
    <w:rsid w:val="00925F76"/>
    <w:rsid w:val="00925FCE"/>
    <w:rsid w:val="00932E89"/>
    <w:rsid w:val="0093359D"/>
    <w:rsid w:val="00933F2B"/>
    <w:rsid w:val="00942EEB"/>
    <w:rsid w:val="0094468E"/>
    <w:rsid w:val="00944B6E"/>
    <w:rsid w:val="00945261"/>
    <w:rsid w:val="00947377"/>
    <w:rsid w:val="009506A5"/>
    <w:rsid w:val="00951452"/>
    <w:rsid w:val="009541CC"/>
    <w:rsid w:val="00955868"/>
    <w:rsid w:val="00956564"/>
    <w:rsid w:val="009567A6"/>
    <w:rsid w:val="00956D5A"/>
    <w:rsid w:val="00961B2C"/>
    <w:rsid w:val="00961DBB"/>
    <w:rsid w:val="00963D2B"/>
    <w:rsid w:val="0096618E"/>
    <w:rsid w:val="009758AE"/>
    <w:rsid w:val="009763D7"/>
    <w:rsid w:val="00981433"/>
    <w:rsid w:val="0098222F"/>
    <w:rsid w:val="0098244F"/>
    <w:rsid w:val="00983122"/>
    <w:rsid w:val="00985C07"/>
    <w:rsid w:val="00991F70"/>
    <w:rsid w:val="00995B4F"/>
    <w:rsid w:val="00995FA3"/>
    <w:rsid w:val="00997582"/>
    <w:rsid w:val="009A22F8"/>
    <w:rsid w:val="009A29EF"/>
    <w:rsid w:val="009A2C21"/>
    <w:rsid w:val="009A3E58"/>
    <w:rsid w:val="009A5F02"/>
    <w:rsid w:val="009A7AB1"/>
    <w:rsid w:val="009B424D"/>
    <w:rsid w:val="009B6408"/>
    <w:rsid w:val="009B70E6"/>
    <w:rsid w:val="009C6DAA"/>
    <w:rsid w:val="009D0E74"/>
    <w:rsid w:val="009D1A96"/>
    <w:rsid w:val="009D370B"/>
    <w:rsid w:val="009D7EE0"/>
    <w:rsid w:val="009E2087"/>
    <w:rsid w:val="009E252B"/>
    <w:rsid w:val="009E3265"/>
    <w:rsid w:val="009E3353"/>
    <w:rsid w:val="009E446D"/>
    <w:rsid w:val="009E7C09"/>
    <w:rsid w:val="009F146D"/>
    <w:rsid w:val="009F4F1E"/>
    <w:rsid w:val="009F5D6A"/>
    <w:rsid w:val="00A015E4"/>
    <w:rsid w:val="00A075BC"/>
    <w:rsid w:val="00A11222"/>
    <w:rsid w:val="00A12C39"/>
    <w:rsid w:val="00A132C3"/>
    <w:rsid w:val="00A134FB"/>
    <w:rsid w:val="00A162FE"/>
    <w:rsid w:val="00A20802"/>
    <w:rsid w:val="00A25B4F"/>
    <w:rsid w:val="00A261B3"/>
    <w:rsid w:val="00A27E8B"/>
    <w:rsid w:val="00A311CF"/>
    <w:rsid w:val="00A442BF"/>
    <w:rsid w:val="00A50BC1"/>
    <w:rsid w:val="00A517D0"/>
    <w:rsid w:val="00A51B96"/>
    <w:rsid w:val="00A53716"/>
    <w:rsid w:val="00A5629E"/>
    <w:rsid w:val="00A64832"/>
    <w:rsid w:val="00A732DB"/>
    <w:rsid w:val="00A75338"/>
    <w:rsid w:val="00A838D2"/>
    <w:rsid w:val="00A86F04"/>
    <w:rsid w:val="00A92C08"/>
    <w:rsid w:val="00A946C4"/>
    <w:rsid w:val="00A960C2"/>
    <w:rsid w:val="00AA478E"/>
    <w:rsid w:val="00AB137D"/>
    <w:rsid w:val="00AC01F8"/>
    <w:rsid w:val="00AC059A"/>
    <w:rsid w:val="00AC3BE3"/>
    <w:rsid w:val="00AC41CF"/>
    <w:rsid w:val="00AC59F9"/>
    <w:rsid w:val="00AD0308"/>
    <w:rsid w:val="00AD377A"/>
    <w:rsid w:val="00AD67BB"/>
    <w:rsid w:val="00AE1CC1"/>
    <w:rsid w:val="00AE3EA4"/>
    <w:rsid w:val="00AE51FE"/>
    <w:rsid w:val="00AF1B02"/>
    <w:rsid w:val="00AF41E4"/>
    <w:rsid w:val="00AF568A"/>
    <w:rsid w:val="00AF60C1"/>
    <w:rsid w:val="00B05262"/>
    <w:rsid w:val="00B06A75"/>
    <w:rsid w:val="00B06BC3"/>
    <w:rsid w:val="00B15A0F"/>
    <w:rsid w:val="00B17FB2"/>
    <w:rsid w:val="00B20236"/>
    <w:rsid w:val="00B20937"/>
    <w:rsid w:val="00B220A0"/>
    <w:rsid w:val="00B22B64"/>
    <w:rsid w:val="00B22D72"/>
    <w:rsid w:val="00B22FEA"/>
    <w:rsid w:val="00B24321"/>
    <w:rsid w:val="00B30FEB"/>
    <w:rsid w:val="00B311BA"/>
    <w:rsid w:val="00B35B47"/>
    <w:rsid w:val="00B40AA3"/>
    <w:rsid w:val="00B43AF9"/>
    <w:rsid w:val="00B44478"/>
    <w:rsid w:val="00B4609C"/>
    <w:rsid w:val="00B508DA"/>
    <w:rsid w:val="00B538BA"/>
    <w:rsid w:val="00B6002C"/>
    <w:rsid w:val="00B620EE"/>
    <w:rsid w:val="00B717FF"/>
    <w:rsid w:val="00B75195"/>
    <w:rsid w:val="00B80FB4"/>
    <w:rsid w:val="00B85366"/>
    <w:rsid w:val="00B87F60"/>
    <w:rsid w:val="00B9079B"/>
    <w:rsid w:val="00B93B5E"/>
    <w:rsid w:val="00B93D3D"/>
    <w:rsid w:val="00B96341"/>
    <w:rsid w:val="00B96DC3"/>
    <w:rsid w:val="00BA471F"/>
    <w:rsid w:val="00BB3504"/>
    <w:rsid w:val="00BB5013"/>
    <w:rsid w:val="00BB528E"/>
    <w:rsid w:val="00BB615A"/>
    <w:rsid w:val="00BB78CD"/>
    <w:rsid w:val="00BC11EC"/>
    <w:rsid w:val="00BC2600"/>
    <w:rsid w:val="00BC36F0"/>
    <w:rsid w:val="00BC3E99"/>
    <w:rsid w:val="00BC4FA7"/>
    <w:rsid w:val="00BC5E30"/>
    <w:rsid w:val="00BD00ED"/>
    <w:rsid w:val="00BD02C5"/>
    <w:rsid w:val="00BD068D"/>
    <w:rsid w:val="00BE0D9A"/>
    <w:rsid w:val="00BE1A50"/>
    <w:rsid w:val="00BE2963"/>
    <w:rsid w:val="00BE2F0D"/>
    <w:rsid w:val="00BE5E2E"/>
    <w:rsid w:val="00BF0BD5"/>
    <w:rsid w:val="00BF0D35"/>
    <w:rsid w:val="00BF0DFD"/>
    <w:rsid w:val="00BF55F8"/>
    <w:rsid w:val="00C044DD"/>
    <w:rsid w:val="00C051FD"/>
    <w:rsid w:val="00C124D1"/>
    <w:rsid w:val="00C15FD2"/>
    <w:rsid w:val="00C1744F"/>
    <w:rsid w:val="00C20C7D"/>
    <w:rsid w:val="00C20DEF"/>
    <w:rsid w:val="00C24B25"/>
    <w:rsid w:val="00C24E89"/>
    <w:rsid w:val="00C32C2F"/>
    <w:rsid w:val="00C3738A"/>
    <w:rsid w:val="00C40859"/>
    <w:rsid w:val="00C42CB3"/>
    <w:rsid w:val="00C4315A"/>
    <w:rsid w:val="00C43F5E"/>
    <w:rsid w:val="00C44074"/>
    <w:rsid w:val="00C4651F"/>
    <w:rsid w:val="00C51D0B"/>
    <w:rsid w:val="00C52207"/>
    <w:rsid w:val="00C52A50"/>
    <w:rsid w:val="00C61628"/>
    <w:rsid w:val="00C642D4"/>
    <w:rsid w:val="00C66AF6"/>
    <w:rsid w:val="00C730F4"/>
    <w:rsid w:val="00C74311"/>
    <w:rsid w:val="00C75BF3"/>
    <w:rsid w:val="00C80200"/>
    <w:rsid w:val="00C804A5"/>
    <w:rsid w:val="00C80E0A"/>
    <w:rsid w:val="00C8264E"/>
    <w:rsid w:val="00C8270B"/>
    <w:rsid w:val="00C841A9"/>
    <w:rsid w:val="00C8728F"/>
    <w:rsid w:val="00C9102B"/>
    <w:rsid w:val="00C91D48"/>
    <w:rsid w:val="00C97FBC"/>
    <w:rsid w:val="00CA06C8"/>
    <w:rsid w:val="00CA0B7E"/>
    <w:rsid w:val="00CA37B6"/>
    <w:rsid w:val="00CA4C28"/>
    <w:rsid w:val="00CA4E33"/>
    <w:rsid w:val="00CA5598"/>
    <w:rsid w:val="00CA5EF8"/>
    <w:rsid w:val="00CB28A3"/>
    <w:rsid w:val="00CB73EC"/>
    <w:rsid w:val="00CC00A0"/>
    <w:rsid w:val="00CC0FED"/>
    <w:rsid w:val="00CC3C34"/>
    <w:rsid w:val="00CC5455"/>
    <w:rsid w:val="00CC6C06"/>
    <w:rsid w:val="00CD1526"/>
    <w:rsid w:val="00CD1546"/>
    <w:rsid w:val="00CD2807"/>
    <w:rsid w:val="00CD433A"/>
    <w:rsid w:val="00CD5509"/>
    <w:rsid w:val="00CE0215"/>
    <w:rsid w:val="00CE1EB0"/>
    <w:rsid w:val="00CE3DF2"/>
    <w:rsid w:val="00CF04D5"/>
    <w:rsid w:val="00CF0C0F"/>
    <w:rsid w:val="00CF1690"/>
    <w:rsid w:val="00CF1F2A"/>
    <w:rsid w:val="00CF349E"/>
    <w:rsid w:val="00CF5CE3"/>
    <w:rsid w:val="00CF7412"/>
    <w:rsid w:val="00D014E1"/>
    <w:rsid w:val="00D030F8"/>
    <w:rsid w:val="00D077B7"/>
    <w:rsid w:val="00D10318"/>
    <w:rsid w:val="00D20297"/>
    <w:rsid w:val="00D21E43"/>
    <w:rsid w:val="00D21E6B"/>
    <w:rsid w:val="00D2336A"/>
    <w:rsid w:val="00D23634"/>
    <w:rsid w:val="00D34551"/>
    <w:rsid w:val="00D36D27"/>
    <w:rsid w:val="00D41664"/>
    <w:rsid w:val="00D4569D"/>
    <w:rsid w:val="00D457D6"/>
    <w:rsid w:val="00D55013"/>
    <w:rsid w:val="00D64CE2"/>
    <w:rsid w:val="00D661D4"/>
    <w:rsid w:val="00D702E1"/>
    <w:rsid w:val="00D719B9"/>
    <w:rsid w:val="00D7270F"/>
    <w:rsid w:val="00D7596A"/>
    <w:rsid w:val="00D7751B"/>
    <w:rsid w:val="00D815DC"/>
    <w:rsid w:val="00D822B5"/>
    <w:rsid w:val="00D83D3C"/>
    <w:rsid w:val="00D84451"/>
    <w:rsid w:val="00D85C95"/>
    <w:rsid w:val="00D867AE"/>
    <w:rsid w:val="00D87BBB"/>
    <w:rsid w:val="00D87C87"/>
    <w:rsid w:val="00D921C4"/>
    <w:rsid w:val="00D9296A"/>
    <w:rsid w:val="00D93C23"/>
    <w:rsid w:val="00D95638"/>
    <w:rsid w:val="00D9584C"/>
    <w:rsid w:val="00D97180"/>
    <w:rsid w:val="00D97C79"/>
    <w:rsid w:val="00DA14D9"/>
    <w:rsid w:val="00DA7588"/>
    <w:rsid w:val="00DB13AD"/>
    <w:rsid w:val="00DB23F9"/>
    <w:rsid w:val="00DB58BE"/>
    <w:rsid w:val="00DB602E"/>
    <w:rsid w:val="00DB6176"/>
    <w:rsid w:val="00DB6AA0"/>
    <w:rsid w:val="00DB7C3A"/>
    <w:rsid w:val="00DC1D0D"/>
    <w:rsid w:val="00DD14EE"/>
    <w:rsid w:val="00DD32AB"/>
    <w:rsid w:val="00DD5BF6"/>
    <w:rsid w:val="00DD64DC"/>
    <w:rsid w:val="00DE1865"/>
    <w:rsid w:val="00DE6CEF"/>
    <w:rsid w:val="00DF11C2"/>
    <w:rsid w:val="00DF2134"/>
    <w:rsid w:val="00DF4593"/>
    <w:rsid w:val="00DF64E0"/>
    <w:rsid w:val="00DF714E"/>
    <w:rsid w:val="00E079EE"/>
    <w:rsid w:val="00E07FCB"/>
    <w:rsid w:val="00E10D05"/>
    <w:rsid w:val="00E21736"/>
    <w:rsid w:val="00E2223E"/>
    <w:rsid w:val="00E22D98"/>
    <w:rsid w:val="00E24623"/>
    <w:rsid w:val="00E252E3"/>
    <w:rsid w:val="00E25B1B"/>
    <w:rsid w:val="00E378A9"/>
    <w:rsid w:val="00E40505"/>
    <w:rsid w:val="00E42A41"/>
    <w:rsid w:val="00E45766"/>
    <w:rsid w:val="00E45AC5"/>
    <w:rsid w:val="00E567E5"/>
    <w:rsid w:val="00E64480"/>
    <w:rsid w:val="00E65807"/>
    <w:rsid w:val="00E66103"/>
    <w:rsid w:val="00E6708B"/>
    <w:rsid w:val="00E73A8C"/>
    <w:rsid w:val="00E75050"/>
    <w:rsid w:val="00E75D5E"/>
    <w:rsid w:val="00E76F42"/>
    <w:rsid w:val="00E77D6D"/>
    <w:rsid w:val="00E915E6"/>
    <w:rsid w:val="00EA18C2"/>
    <w:rsid w:val="00EA3E11"/>
    <w:rsid w:val="00EA6EB3"/>
    <w:rsid w:val="00EB4A8E"/>
    <w:rsid w:val="00EB5EF3"/>
    <w:rsid w:val="00EB62F7"/>
    <w:rsid w:val="00EB664D"/>
    <w:rsid w:val="00EB695D"/>
    <w:rsid w:val="00EB7C6D"/>
    <w:rsid w:val="00EC38F3"/>
    <w:rsid w:val="00EC4241"/>
    <w:rsid w:val="00ED0404"/>
    <w:rsid w:val="00ED1407"/>
    <w:rsid w:val="00ED39CE"/>
    <w:rsid w:val="00ED4134"/>
    <w:rsid w:val="00ED7A9F"/>
    <w:rsid w:val="00EE05F1"/>
    <w:rsid w:val="00EE1B0F"/>
    <w:rsid w:val="00EE3226"/>
    <w:rsid w:val="00EE471A"/>
    <w:rsid w:val="00EE5492"/>
    <w:rsid w:val="00EE583A"/>
    <w:rsid w:val="00EF0A00"/>
    <w:rsid w:val="00EF7395"/>
    <w:rsid w:val="00F0183C"/>
    <w:rsid w:val="00F0379D"/>
    <w:rsid w:val="00F03C79"/>
    <w:rsid w:val="00F07BD5"/>
    <w:rsid w:val="00F122D6"/>
    <w:rsid w:val="00F147EA"/>
    <w:rsid w:val="00F15BF4"/>
    <w:rsid w:val="00F171E0"/>
    <w:rsid w:val="00F17940"/>
    <w:rsid w:val="00F17DC0"/>
    <w:rsid w:val="00F2046C"/>
    <w:rsid w:val="00F20647"/>
    <w:rsid w:val="00F207FC"/>
    <w:rsid w:val="00F274DB"/>
    <w:rsid w:val="00F31392"/>
    <w:rsid w:val="00F348B5"/>
    <w:rsid w:val="00F3652B"/>
    <w:rsid w:val="00F36D95"/>
    <w:rsid w:val="00F377B9"/>
    <w:rsid w:val="00F45442"/>
    <w:rsid w:val="00F5145E"/>
    <w:rsid w:val="00F554DB"/>
    <w:rsid w:val="00F558EA"/>
    <w:rsid w:val="00F5681C"/>
    <w:rsid w:val="00F6045D"/>
    <w:rsid w:val="00F613CB"/>
    <w:rsid w:val="00F61F79"/>
    <w:rsid w:val="00F651DD"/>
    <w:rsid w:val="00F656A4"/>
    <w:rsid w:val="00F6665E"/>
    <w:rsid w:val="00F7075F"/>
    <w:rsid w:val="00F71D76"/>
    <w:rsid w:val="00F8349F"/>
    <w:rsid w:val="00F83FB7"/>
    <w:rsid w:val="00F85935"/>
    <w:rsid w:val="00F85D29"/>
    <w:rsid w:val="00F969D3"/>
    <w:rsid w:val="00F9789E"/>
    <w:rsid w:val="00FA190E"/>
    <w:rsid w:val="00FA54D8"/>
    <w:rsid w:val="00FB460E"/>
    <w:rsid w:val="00FC4FB7"/>
    <w:rsid w:val="00FC65B0"/>
    <w:rsid w:val="00FC65E5"/>
    <w:rsid w:val="00FC6998"/>
    <w:rsid w:val="00FD1EE0"/>
    <w:rsid w:val="00FD357B"/>
    <w:rsid w:val="00FD38FC"/>
    <w:rsid w:val="00FD6119"/>
    <w:rsid w:val="00FD688E"/>
    <w:rsid w:val="00FD7C0C"/>
    <w:rsid w:val="00FE045C"/>
    <w:rsid w:val="00FE0C52"/>
    <w:rsid w:val="00FE1692"/>
    <w:rsid w:val="00FE3069"/>
    <w:rsid w:val="00FE3B13"/>
    <w:rsid w:val="00FF0566"/>
    <w:rsid w:val="00FF15F5"/>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D014E1"/>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D014E1"/>
    <w:pPr>
      <w:keepNext/>
      <w:keepLines/>
      <w:numPr>
        <w:ilvl w:val="1"/>
        <w:numId w:val="10"/>
      </w:numPr>
      <w:tabs>
        <w:tab w:val="left" w:pos="1418"/>
        <w:tab w:val="left" w:pos="1701"/>
        <w:tab w:val="left" w:pos="1985"/>
      </w:tabs>
      <w:spacing w:before="24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D014E1"/>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D014E1"/>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D014E1"/>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D014E1"/>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D014E1"/>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D014E1"/>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D014E1"/>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D014E1"/>
    <w:rPr>
      <w:rFonts w:asciiTheme="majorHAnsi" w:hAnsiTheme="majorHAnsi"/>
      <w:color w:val="3D4D7D" w:themeColor="background2"/>
      <w:sz w:val="28"/>
    </w:rPr>
  </w:style>
  <w:style w:type="paragraph" w:customStyle="1" w:styleId="AttachmentHeading2">
    <w:name w:val="Attachment Heading 2"/>
    <w:basedOn w:val="Normal"/>
    <w:next w:val="BodyText"/>
    <w:uiPriority w:val="33"/>
    <w:qFormat/>
    <w:rsid w:val="00D014E1"/>
    <w:pPr>
      <w:keepNext/>
      <w:keepLines/>
      <w:numPr>
        <w:ilvl w:val="2"/>
        <w:numId w:val="1"/>
      </w:numPr>
      <w:tabs>
        <w:tab w:val="left" w:pos="1559"/>
        <w:tab w:val="left" w:pos="1843"/>
        <w:tab w:val="left" w:pos="2126"/>
        <w:tab w:val="left" w:pos="2410"/>
      </w:tabs>
      <w:spacing w:before="470" w:after="227"/>
    </w:pPr>
    <w:rPr>
      <w:rFonts w:asciiTheme="majorHAnsi" w:hAnsiTheme="majorHAnsi"/>
      <w:color w:val="3D4D7D" w:themeColor="background2"/>
      <w:sz w:val="28"/>
    </w:rPr>
  </w:style>
  <w:style w:type="paragraph" w:customStyle="1" w:styleId="AttachmentHeading3">
    <w:name w:val="Attachment Heading 3"/>
    <w:basedOn w:val="Normal"/>
    <w:next w:val="BodyText"/>
    <w:uiPriority w:val="34"/>
    <w:qFormat/>
    <w:rsid w:val="00D014E1"/>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D014E1"/>
    <w:pPr>
      <w:keepNext/>
      <w:keepLines/>
      <w:spacing w:before="36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tabs>
        <w:tab w:val="clear" w:pos="907"/>
        <w:tab w:val="num" w:pos="567"/>
      </w:tabs>
      <w:ind w:left="567" w:hanging="283"/>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9778B4"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D014E1"/>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D014E1"/>
    <w:pPr>
      <w:keepNext/>
      <w:keepLines/>
      <w:numPr>
        <w:ilvl w:val="1"/>
        <w:numId w:val="10"/>
      </w:numPr>
      <w:tabs>
        <w:tab w:val="left" w:pos="1418"/>
        <w:tab w:val="left" w:pos="1701"/>
        <w:tab w:val="left" w:pos="1985"/>
      </w:tabs>
      <w:spacing w:before="24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D014E1"/>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D014E1"/>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D014E1"/>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D014E1"/>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D014E1"/>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D014E1"/>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D014E1"/>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D014E1"/>
    <w:rPr>
      <w:rFonts w:asciiTheme="majorHAnsi" w:hAnsiTheme="majorHAnsi"/>
      <w:color w:val="3D4D7D" w:themeColor="background2"/>
      <w:sz w:val="28"/>
    </w:rPr>
  </w:style>
  <w:style w:type="paragraph" w:customStyle="1" w:styleId="AttachmentHeading2">
    <w:name w:val="Attachment Heading 2"/>
    <w:basedOn w:val="Normal"/>
    <w:next w:val="BodyText"/>
    <w:uiPriority w:val="33"/>
    <w:qFormat/>
    <w:rsid w:val="00D014E1"/>
    <w:pPr>
      <w:keepNext/>
      <w:keepLines/>
      <w:numPr>
        <w:ilvl w:val="2"/>
        <w:numId w:val="1"/>
      </w:numPr>
      <w:tabs>
        <w:tab w:val="left" w:pos="1559"/>
        <w:tab w:val="left" w:pos="1843"/>
        <w:tab w:val="left" w:pos="2126"/>
        <w:tab w:val="left" w:pos="2410"/>
      </w:tabs>
      <w:spacing w:before="470" w:after="227"/>
    </w:pPr>
    <w:rPr>
      <w:rFonts w:asciiTheme="majorHAnsi" w:hAnsiTheme="majorHAnsi"/>
      <w:color w:val="3D4D7D" w:themeColor="background2"/>
      <w:sz w:val="28"/>
    </w:rPr>
  </w:style>
  <w:style w:type="paragraph" w:customStyle="1" w:styleId="AttachmentHeading3">
    <w:name w:val="Attachment Heading 3"/>
    <w:basedOn w:val="Normal"/>
    <w:next w:val="BodyText"/>
    <w:uiPriority w:val="34"/>
    <w:qFormat/>
    <w:rsid w:val="00D014E1"/>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D014E1"/>
    <w:pPr>
      <w:keepNext/>
      <w:keepLines/>
      <w:spacing w:before="36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tabs>
        <w:tab w:val="clear" w:pos="907"/>
        <w:tab w:val="num" w:pos="567"/>
      </w:tabs>
      <w:ind w:left="567" w:hanging="283"/>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9778B4"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1.%20PR,%20IR\PRR%20-%20costing.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9E8A8DAB534ED6AB8506C0A05A3B0A"/>
        <w:category>
          <w:name w:val="General"/>
          <w:gallery w:val="placeholder"/>
        </w:category>
        <w:types>
          <w:type w:val="bbPlcHdr"/>
        </w:types>
        <w:behaviors>
          <w:behavior w:val="content"/>
        </w:behaviors>
        <w:guid w:val="{E11A51D6-5C99-4DD7-A19B-C43161842360}"/>
      </w:docPartPr>
      <w:docPartBody>
        <w:p w:rsidR="00BE41A6" w:rsidRDefault="00BE41A6">
          <w:pPr>
            <w:pStyle w:val="3C9E8A8DAB534ED6AB8506C0A05A3B0A"/>
          </w:pPr>
          <w:r w:rsidRPr="009253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1A6"/>
    <w:rsid w:val="00BE41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Pr>
      <w:color w:val="808080"/>
    </w:rPr>
  </w:style>
  <w:style w:type="paragraph" w:customStyle="1" w:styleId="22C5EECC19164B3C8D72DC5EDB9117A6">
    <w:name w:val="22C5EECC19164B3C8D72DC5EDB9117A6"/>
  </w:style>
  <w:style w:type="paragraph" w:customStyle="1" w:styleId="EA953280D97D45709DB887583C3855B5">
    <w:name w:val="EA953280D97D45709DB887583C3855B5"/>
  </w:style>
  <w:style w:type="paragraph" w:customStyle="1" w:styleId="D7B76C0B1D6E4F069A9E5D68EC36EED8">
    <w:name w:val="D7B76C0B1D6E4F069A9E5D68EC36EED8"/>
  </w:style>
  <w:style w:type="paragraph" w:customStyle="1" w:styleId="F13E12FD273B472B9E75FAF2B1BABE30">
    <w:name w:val="F13E12FD273B472B9E75FAF2B1BABE30"/>
  </w:style>
  <w:style w:type="paragraph" w:customStyle="1" w:styleId="3B12025BAB58411B9DA60416EE41ED52">
    <w:name w:val="3B12025BAB58411B9DA60416EE41ED52"/>
  </w:style>
  <w:style w:type="paragraph" w:customStyle="1" w:styleId="53E6F587ED6E47628762344305F627CC">
    <w:name w:val="53E6F587ED6E47628762344305F627CC"/>
  </w:style>
  <w:style w:type="paragraph" w:customStyle="1" w:styleId="038FA0A8D4CA4A4785EE9E05A5F25B6E">
    <w:name w:val="038FA0A8D4CA4A4785EE9E05A5F25B6E"/>
  </w:style>
  <w:style w:type="paragraph" w:customStyle="1" w:styleId="3C9E8A8DAB534ED6AB8506C0A05A3B0A">
    <w:name w:val="3C9E8A8DAB534ED6AB8506C0A05A3B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9"/>
    <w:rPr>
      <w:color w:val="808080"/>
    </w:rPr>
  </w:style>
  <w:style w:type="paragraph" w:customStyle="1" w:styleId="22C5EECC19164B3C8D72DC5EDB9117A6">
    <w:name w:val="22C5EECC19164B3C8D72DC5EDB9117A6"/>
  </w:style>
  <w:style w:type="paragraph" w:customStyle="1" w:styleId="EA953280D97D45709DB887583C3855B5">
    <w:name w:val="EA953280D97D45709DB887583C3855B5"/>
  </w:style>
  <w:style w:type="paragraph" w:customStyle="1" w:styleId="D7B76C0B1D6E4F069A9E5D68EC36EED8">
    <w:name w:val="D7B76C0B1D6E4F069A9E5D68EC36EED8"/>
  </w:style>
  <w:style w:type="paragraph" w:customStyle="1" w:styleId="F13E12FD273B472B9E75FAF2B1BABE30">
    <w:name w:val="F13E12FD273B472B9E75FAF2B1BABE30"/>
  </w:style>
  <w:style w:type="paragraph" w:customStyle="1" w:styleId="3B12025BAB58411B9DA60416EE41ED52">
    <w:name w:val="3B12025BAB58411B9DA60416EE41ED52"/>
  </w:style>
  <w:style w:type="paragraph" w:customStyle="1" w:styleId="53E6F587ED6E47628762344305F627CC">
    <w:name w:val="53E6F587ED6E47628762344305F627CC"/>
  </w:style>
  <w:style w:type="paragraph" w:customStyle="1" w:styleId="038FA0A8D4CA4A4785EE9E05A5F25B6E">
    <w:name w:val="038FA0A8D4CA4A4785EE9E05A5F25B6E"/>
  </w:style>
  <w:style w:type="paragraph" w:customStyle="1" w:styleId="3C9E8A8DAB534ED6AB8506C0A05A3B0A">
    <w:name w:val="3C9E8A8DAB534ED6AB8506C0A05A3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BO colours">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9508CAAD-EC9E-4D14-A610-93E72F9D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 - costing.dotm</Template>
  <TotalTime>2</TotalTime>
  <Pages>4</Pages>
  <Words>1330</Words>
  <Characters>7215</Characters>
  <Application>Microsoft Office Word</Application>
  <DocSecurity>0</DocSecurity>
  <Lines>225</Lines>
  <Paragraphs>167</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Revenue implications of changes to vehicle taxation measures – Fringe benefits tax exemption</dc:title>
  <dc:creator>PBO@pbo.gov.au</dc:creator>
  <cp:lastModifiedBy>Moorhouse, Helen (PBO)</cp:lastModifiedBy>
  <cp:revision>4</cp:revision>
  <cp:lastPrinted>2018-12-13T23:11:00Z</cp:lastPrinted>
  <dcterms:created xsi:type="dcterms:W3CDTF">2019-01-29T05:41:00Z</dcterms:created>
  <dcterms:modified xsi:type="dcterms:W3CDTF">2019-01-29T05:43:00Z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