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5D5EE0">
      <w:pPr>
        <w:pStyle w:val="Heading1spacebefore"/>
        <w:tabs>
          <w:tab w:val="left" w:pos="2694"/>
        </w:tabs>
        <w:spacing w:before="480" w:after="240"/>
        <w:rPr>
          <w:sz w:val="32"/>
        </w:rPr>
      </w:pPr>
      <w:r>
        <w:rPr>
          <w:sz w:val="32"/>
        </w:rPr>
        <w:t xml:space="preserve">Request for </w:t>
      </w:r>
      <w:r w:rsidR="002E5FC5">
        <w:rPr>
          <w:sz w:val="32"/>
        </w:rPr>
        <w:t>b</w:t>
      </w:r>
      <w:r>
        <w:rPr>
          <w:sz w:val="32"/>
        </w:rPr>
        <w:t xml:space="preserve">udget </w:t>
      </w:r>
      <w:r w:rsidR="002E5FC5">
        <w:rPr>
          <w:sz w:val="32"/>
        </w:rPr>
        <w:t>a</w:t>
      </w:r>
      <w:r>
        <w:rPr>
          <w:sz w:val="32"/>
        </w:rPr>
        <w:t>nalysis</w:t>
      </w:r>
    </w:p>
    <w:tbl>
      <w:tblPr>
        <w:tblStyle w:val="LightGrid-Accent6"/>
        <w:tblW w:w="4992" w:type="pct"/>
        <w:tblLook w:val="0600" w:firstRow="0" w:lastRow="0" w:firstColumn="0" w:lastColumn="0" w:noHBand="1" w:noVBand="1"/>
      </w:tblPr>
      <w:tblGrid>
        <w:gridCol w:w="3629"/>
        <w:gridCol w:w="2821"/>
        <w:gridCol w:w="2822"/>
      </w:tblGrid>
      <w:tr w:rsidR="00AA478E" w:rsidRPr="008D77AF" w:rsidTr="00013620">
        <w:tc>
          <w:tcPr>
            <w:tcW w:w="5000" w:type="pct"/>
            <w:gridSpan w:val="3"/>
            <w:shd w:val="clear" w:color="auto" w:fill="D7DDE9" w:themeFill="accent3"/>
          </w:tcPr>
          <w:p w:rsidR="00AA478E" w:rsidRPr="008D77AF" w:rsidRDefault="00372C9E" w:rsidP="00EB25FE">
            <w:pPr>
              <w:pStyle w:val="Nameofproposal"/>
            </w:pPr>
            <w:r>
              <w:t>Personal Income Tax Plan</w:t>
            </w:r>
          </w:p>
        </w:tc>
      </w:tr>
      <w:tr w:rsidR="00AA478E" w:rsidRPr="008D77AF" w:rsidTr="00013620">
        <w:tc>
          <w:tcPr>
            <w:tcW w:w="1957" w:type="pct"/>
          </w:tcPr>
          <w:p w:rsidR="00AA478E" w:rsidRPr="004F1362" w:rsidRDefault="00AA478E" w:rsidP="004F1362">
            <w:pPr>
              <w:pStyle w:val="BodyText"/>
            </w:pPr>
            <w:r w:rsidRPr="004F1362">
              <w:t xml:space="preserve">Person/party requesting the </w:t>
            </w:r>
            <w:r w:rsidR="005D5EE0" w:rsidRPr="004F1362">
              <w:t>analysis</w:t>
            </w:r>
            <w:r w:rsidRPr="004F1362">
              <w:t>:</w:t>
            </w:r>
          </w:p>
        </w:tc>
        <w:tc>
          <w:tcPr>
            <w:tcW w:w="3043" w:type="pct"/>
            <w:gridSpan w:val="2"/>
            <w:tcBorders>
              <w:bottom w:val="single" w:sz="8" w:space="0" w:color="788184" w:themeColor="accent6"/>
            </w:tcBorders>
          </w:tcPr>
          <w:p w:rsidR="00AA478E" w:rsidRPr="004F1362" w:rsidRDefault="007579FE" w:rsidP="004F1362">
            <w:pPr>
              <w:pStyle w:val="BodyText"/>
            </w:pPr>
            <w:sdt>
              <w:sdtPr>
                <w:alias w:val="Requestor"/>
                <w:tag w:val="Requestor"/>
                <w:id w:val="39022088"/>
                <w:placeholder>
                  <w:docPart w:val="9ED996A4252B48C399CB64816464D84A"/>
                </w:placeholder>
                <w:dropDownList>
                  <w:listItem w:value="Choose an item."/>
                  <w:listItem w:displayText="The Hon Chris Bowen MP, Australian Labor Party" w:value="The Hon Chris Bowen MP, Australian Labor Party"/>
                  <w:listItem w:displayText="Dr Jim Chalmers MP, Australian Labor Party" w:value="Dr Jim Chalmers MP, Australian Labor Party"/>
                  <w:listItem w:displayText="The Hon Dr Andrew Leigh MP, Australian Labor Party" w:value="The Hon Dr Andrew Leigh MP, Australian Labor Party"/>
                  <w:listItem w:displayText="Senator Richard Di Natale, Australian Greens" w:value="Senator Richard Di Natale, Australian Greens"/>
                  <w:listItem w:displayText="Senator David Leyonhjelm, Liberal Democratic Party" w:value="Senator David Leyonhjelm, Liberal Democratic Party"/>
                  <w:listItem w:displayText="Senator the Hon Kim Carr, Australian Labor Party" w:value="Senator the Hon Kim Carr, Australian Labor Party"/>
                  <w:listItem w:displayText="The Hon Tanya Plibersek MP, Australian Labor Party" w:value="The Hon Tanya Plibersek MP, Australian Labor Party"/>
                </w:dropDownList>
              </w:sdtPr>
              <w:sdtEndPr/>
              <w:sdtContent>
                <w:r w:rsidR="00372C9E">
                  <w:t>Senator Richard Di Natale, Australian Greens</w:t>
                </w:r>
              </w:sdtContent>
            </w:sdt>
          </w:p>
        </w:tc>
      </w:tr>
      <w:tr w:rsidR="00AA478E" w:rsidRPr="008D77AF" w:rsidTr="00013620">
        <w:tc>
          <w:tcPr>
            <w:tcW w:w="1957" w:type="pct"/>
          </w:tcPr>
          <w:p w:rsidR="00AA478E" w:rsidRPr="004F1362" w:rsidRDefault="00AA478E" w:rsidP="004F1362">
            <w:pPr>
              <w:pStyle w:val="BodyText"/>
            </w:pPr>
            <w:r w:rsidRPr="004F1362">
              <w:t xml:space="preserve">Date </w:t>
            </w:r>
            <w:r w:rsidR="005D5EE0" w:rsidRPr="004F1362">
              <w:t>analysis</w:t>
            </w:r>
            <w:r w:rsidRPr="004F1362">
              <w:t xml:space="preserve"> completed:</w:t>
            </w:r>
          </w:p>
        </w:tc>
        <w:tc>
          <w:tcPr>
            <w:tcW w:w="3043" w:type="pct"/>
            <w:gridSpan w:val="2"/>
          </w:tcPr>
          <w:p w:rsidR="00AA478E" w:rsidRPr="004F1362" w:rsidRDefault="0003044A" w:rsidP="007C72DB">
            <w:pPr>
              <w:pStyle w:val="BodyText"/>
            </w:pPr>
            <w:r>
              <w:t>1 June</w:t>
            </w:r>
            <w:r w:rsidR="00EB25FE">
              <w:t xml:space="preserve"> 2018</w:t>
            </w:r>
          </w:p>
        </w:tc>
      </w:tr>
      <w:tr w:rsidR="00AA478E" w:rsidRPr="008D77AF" w:rsidTr="00013620">
        <w:tc>
          <w:tcPr>
            <w:tcW w:w="1957" w:type="pct"/>
          </w:tcPr>
          <w:p w:rsidR="00AA478E" w:rsidRPr="004F1362" w:rsidRDefault="00AA478E" w:rsidP="004F1362">
            <w:pPr>
              <w:pStyle w:val="BodyText"/>
            </w:pPr>
            <w:r w:rsidRPr="004F1362">
              <w:t xml:space="preserve">Expiry date of the </w:t>
            </w:r>
            <w:r w:rsidR="005D5EE0" w:rsidRPr="004F1362">
              <w:t>analysis</w:t>
            </w:r>
            <w:r w:rsidRPr="004F1362">
              <w:t>:</w:t>
            </w:r>
          </w:p>
        </w:tc>
        <w:tc>
          <w:tcPr>
            <w:tcW w:w="3043" w:type="pct"/>
            <w:gridSpan w:val="2"/>
          </w:tcPr>
          <w:p w:rsidR="00AA478E" w:rsidRPr="004F1362" w:rsidRDefault="00AA478E" w:rsidP="004F1362">
            <w:pPr>
              <w:pStyle w:val="BodyText"/>
            </w:pPr>
            <w:r w:rsidRPr="004F1362">
              <w:t>Release of the next economic and fiscal outlook report.</w:t>
            </w:r>
          </w:p>
        </w:tc>
      </w:tr>
      <w:tr w:rsidR="005D5EE0" w:rsidRPr="008D77AF" w:rsidTr="005D5EE0">
        <w:tc>
          <w:tcPr>
            <w:tcW w:w="1957" w:type="pct"/>
          </w:tcPr>
          <w:p w:rsidR="005D5EE0" w:rsidRPr="004F1362" w:rsidRDefault="005D5EE0" w:rsidP="004F1362">
            <w:pPr>
              <w:pStyle w:val="BodyText"/>
            </w:pPr>
            <w:r w:rsidRPr="004F1362">
              <w:t>Status at time of request:</w:t>
            </w:r>
          </w:p>
        </w:tc>
        <w:tc>
          <w:tcPr>
            <w:tcW w:w="1521" w:type="pct"/>
            <w:tcBorders>
              <w:right w:val="nil"/>
            </w:tcBorders>
          </w:tcPr>
          <w:p w:rsidR="005D5EE0" w:rsidRPr="004F1362" w:rsidRDefault="007579FE" w:rsidP="004F1362">
            <w:pPr>
              <w:pStyle w:val="BodyText"/>
            </w:pPr>
            <w:sdt>
              <w:sdtPr>
                <w:id w:val="1782758815"/>
                <w14:checkbox>
                  <w14:checked w14:val="1"/>
                  <w14:checkedState w14:val="2612" w14:font="MS Gothic"/>
                  <w14:uncheckedState w14:val="2610" w14:font="MS Gothic"/>
                </w14:checkbox>
              </w:sdtPr>
              <w:sdtEndPr/>
              <w:sdtContent>
                <w:r w:rsidR="00EB25FE">
                  <w:rPr>
                    <w:rFonts w:ascii="MS Gothic" w:eastAsia="MS Gothic" w:hAnsi="MS Gothic" w:hint="eastAsia"/>
                  </w:rPr>
                  <w:t>☒</w:t>
                </w:r>
              </w:sdtContent>
            </w:sdt>
            <w:r w:rsidR="005D5EE0" w:rsidRPr="004F1362">
              <w:t xml:space="preserve"> Confidential</w:t>
            </w:r>
          </w:p>
        </w:tc>
        <w:tc>
          <w:tcPr>
            <w:tcW w:w="1522" w:type="pct"/>
            <w:tcBorders>
              <w:left w:val="nil"/>
            </w:tcBorders>
          </w:tcPr>
          <w:p w:rsidR="005D5EE0" w:rsidRPr="004F1362" w:rsidRDefault="007579FE" w:rsidP="004F1362">
            <w:pPr>
              <w:pStyle w:val="BodyText"/>
            </w:pPr>
            <w:sdt>
              <w:sdtPr>
                <w:id w:val="-219669282"/>
                <w14:checkbox>
                  <w14:checked w14:val="0"/>
                  <w14:checkedState w14:val="2612" w14:font="MS Gothic"/>
                  <w14:uncheckedState w14:val="2610" w14:font="MS Gothic"/>
                </w14:checkbox>
              </w:sdtPr>
              <w:sdtEndPr/>
              <w:sdtContent>
                <w:r w:rsidR="005D5EE0" w:rsidRPr="004F1362">
                  <w:rPr>
                    <w:rFonts w:ascii="MS Gothic" w:eastAsia="MS Gothic" w:hAnsi="MS Gothic" w:cs="MS Gothic" w:hint="eastAsia"/>
                  </w:rPr>
                  <w:t>☐</w:t>
                </w:r>
              </w:sdtContent>
            </w:sdt>
            <w:r w:rsidR="005D5EE0" w:rsidRPr="004F1362">
              <w:t xml:space="preserve"> Not confidential</w:t>
            </w:r>
          </w:p>
        </w:tc>
      </w:tr>
      <w:tr w:rsidR="00AA478E" w:rsidRPr="008D77AF" w:rsidTr="00013620">
        <w:tc>
          <w:tcPr>
            <w:tcW w:w="5000" w:type="pct"/>
            <w:gridSpan w:val="3"/>
          </w:tcPr>
          <w:p w:rsidR="00AA478E" w:rsidRPr="004F1362" w:rsidRDefault="00AA478E" w:rsidP="004F1362">
            <w:pPr>
              <w:pStyle w:val="BodyText"/>
            </w:pPr>
            <w:r w:rsidRPr="004F1362">
              <w:t xml:space="preserve">Summary of </w:t>
            </w:r>
            <w:r w:rsidR="001775EA">
              <w:t>request</w:t>
            </w:r>
            <w:r w:rsidRPr="004F1362">
              <w:t>:</w:t>
            </w:r>
          </w:p>
          <w:p w:rsidR="0063771A" w:rsidRDefault="00EB25FE" w:rsidP="004F1362">
            <w:pPr>
              <w:pStyle w:val="BodyText"/>
            </w:pPr>
            <w:r>
              <w:t xml:space="preserve">The request sought the financial implications of </w:t>
            </w:r>
            <w:r w:rsidR="0010030B">
              <w:t>the 2018</w:t>
            </w:r>
            <w:r w:rsidR="0010030B">
              <w:noBreakHyphen/>
              <w:t xml:space="preserve">19 Budget measure </w:t>
            </w:r>
            <w:r w:rsidR="0010030B">
              <w:rPr>
                <w:i/>
              </w:rPr>
              <w:t>Personal Income Ta</w:t>
            </w:r>
            <w:r w:rsidR="00C963A2">
              <w:rPr>
                <w:i/>
              </w:rPr>
              <w:t>x Plan</w:t>
            </w:r>
            <w:r w:rsidR="00C963A2">
              <w:t>.  The information was requested over the period to 2028</w:t>
            </w:r>
            <w:r w:rsidR="00C963A2">
              <w:noBreakHyphen/>
              <w:t>29, and disaggregated into the components of the measure which start on 1 July 2018</w:t>
            </w:r>
            <w:r w:rsidR="0063771A">
              <w:t xml:space="preserve"> (Component</w:t>
            </w:r>
            <w:r w:rsidR="007C72DB">
              <w:t>s</w:t>
            </w:r>
            <w:r w:rsidR="0063771A">
              <w:t xml:space="preserve"> 1</w:t>
            </w:r>
            <w:r w:rsidR="007C72DB">
              <w:t xml:space="preserve"> and 2</w:t>
            </w:r>
            <w:r w:rsidR="0063771A">
              <w:t>)</w:t>
            </w:r>
            <w:r w:rsidR="00C963A2">
              <w:t>, 1 July 2022</w:t>
            </w:r>
            <w:r w:rsidR="0063771A">
              <w:t xml:space="preserve"> (Component</w:t>
            </w:r>
            <w:r w:rsidR="007C72DB">
              <w:t>s</w:t>
            </w:r>
            <w:r w:rsidR="0063771A">
              <w:t xml:space="preserve"> </w:t>
            </w:r>
            <w:r w:rsidR="007C72DB">
              <w:t>3, 4 and 5</w:t>
            </w:r>
            <w:r w:rsidR="0063771A">
              <w:t>)</w:t>
            </w:r>
            <w:r w:rsidR="00C963A2">
              <w:t>, and 1 July 2024</w:t>
            </w:r>
            <w:r w:rsidR="0063771A">
              <w:t xml:space="preserve"> (Component</w:t>
            </w:r>
            <w:r w:rsidR="007C72DB">
              <w:t>s 6 and 7</w:t>
            </w:r>
            <w:r w:rsidR="0063771A">
              <w:t>)</w:t>
            </w:r>
            <w:r w:rsidR="00C963A2">
              <w:t>.</w:t>
            </w:r>
          </w:p>
          <w:p w:rsidR="00901A97" w:rsidRDefault="0063771A" w:rsidP="0063771A">
            <w:pPr>
              <w:pStyle w:val="BodyText"/>
            </w:pPr>
            <w:r>
              <w:t xml:space="preserve">Component 1 </w:t>
            </w:r>
            <w:r w:rsidR="00637E99">
              <w:t xml:space="preserve">increases </w:t>
            </w:r>
            <w:r>
              <w:t>the upper threshold for the 32.5 per cent marginal tax rate from $87,000 to $90,000</w:t>
            </w:r>
            <w:r w:rsidR="00901A97">
              <w:t xml:space="preserve"> from 1 July 2018.</w:t>
            </w:r>
          </w:p>
          <w:p w:rsidR="0063771A" w:rsidRDefault="00901A97" w:rsidP="0063771A">
            <w:pPr>
              <w:pStyle w:val="BodyText"/>
            </w:pPr>
            <w:r>
              <w:t>Component 2</w:t>
            </w:r>
            <w:r w:rsidR="0063771A">
              <w:t xml:space="preserve"> </w:t>
            </w:r>
            <w:r w:rsidR="00637E99">
              <w:t xml:space="preserve">introduces </w:t>
            </w:r>
            <w:r w:rsidR="0063771A">
              <w:t>the Low and Middle Income Tax Offset</w:t>
            </w:r>
            <w:r w:rsidR="00637E99">
              <w:t xml:space="preserve"> of up to $530 for individuals with taxable income up to $125,333</w:t>
            </w:r>
            <w:r w:rsidR="00531B32">
              <w:t xml:space="preserve"> </w:t>
            </w:r>
            <w:r>
              <w:t>for the 2018-19, 2019-20, 2020-21 and 2021-22 financial years</w:t>
            </w:r>
            <w:r w:rsidR="0063771A">
              <w:t>.</w:t>
            </w:r>
          </w:p>
          <w:p w:rsidR="00901A97" w:rsidRDefault="00901A97" w:rsidP="00901A97">
            <w:pPr>
              <w:pStyle w:val="BodyText"/>
            </w:pPr>
            <w:r>
              <w:t>Component 3 increases the upper threshold for the 32.5 per cent marginal tax rate from $90,000 to $120,000 from 1 July 2022.</w:t>
            </w:r>
          </w:p>
          <w:p w:rsidR="00901A97" w:rsidRDefault="00901A97" w:rsidP="00901A97">
            <w:pPr>
              <w:pStyle w:val="BodyText"/>
            </w:pPr>
            <w:r>
              <w:t>Component 4 increases the upper threshold for the 19 per cent marginal tax rate from $37,000 to $41,000 from 1 July 2022.</w:t>
            </w:r>
          </w:p>
          <w:p w:rsidR="00901A97" w:rsidRDefault="0063771A" w:rsidP="0063771A">
            <w:pPr>
              <w:pStyle w:val="BodyText"/>
            </w:pPr>
            <w:r>
              <w:t xml:space="preserve">Component </w:t>
            </w:r>
            <w:r w:rsidR="00901A97">
              <w:t>5</w:t>
            </w:r>
            <w:r>
              <w:t xml:space="preserve"> </w:t>
            </w:r>
            <w:r w:rsidR="00637E99">
              <w:t xml:space="preserve">increases </w:t>
            </w:r>
            <w:r>
              <w:t xml:space="preserve">the Low Income Tax Offset to </w:t>
            </w:r>
            <w:r w:rsidR="00CD2ED6">
              <w:t xml:space="preserve">up to </w:t>
            </w:r>
            <w:r>
              <w:t>$645</w:t>
            </w:r>
            <w:r w:rsidR="00CD2ED6">
              <w:t xml:space="preserve"> for taxable incomes up to $</w:t>
            </w:r>
            <w:r w:rsidR="00445CF4">
              <w:t>66,667</w:t>
            </w:r>
            <w:r w:rsidR="00901A97">
              <w:t xml:space="preserve"> from 1 July 2022.</w:t>
            </w:r>
          </w:p>
          <w:p w:rsidR="0063771A" w:rsidRDefault="0063771A" w:rsidP="00901A97">
            <w:pPr>
              <w:pStyle w:val="BodyText"/>
            </w:pPr>
            <w:r>
              <w:t xml:space="preserve">Component </w:t>
            </w:r>
            <w:r w:rsidR="00901A97">
              <w:t>6</w:t>
            </w:r>
            <w:r w:rsidR="00637E99">
              <w:t xml:space="preserve"> </w:t>
            </w:r>
            <w:r w:rsidR="00901A97">
              <w:t>increases the lower threshold for the 45 per cent marginal tax rate from $180,001</w:t>
            </w:r>
            <w:r w:rsidR="000C5C7A">
              <w:t xml:space="preserve"> to </w:t>
            </w:r>
            <w:r w:rsidR="00637E99">
              <w:t>$200,00</w:t>
            </w:r>
            <w:r w:rsidR="00293152">
              <w:t>1</w:t>
            </w:r>
            <w:r w:rsidR="00531B32">
              <w:t xml:space="preserve"> from 1 July 2024</w:t>
            </w:r>
            <w:r w:rsidR="00637E99">
              <w:t xml:space="preserve">. </w:t>
            </w:r>
          </w:p>
          <w:p w:rsidR="00901A97" w:rsidRPr="00C963A2" w:rsidRDefault="00901A97" w:rsidP="00D37CA2">
            <w:pPr>
              <w:pStyle w:val="BodyText"/>
            </w:pPr>
            <w:r>
              <w:t xml:space="preserve">Component 7 </w:t>
            </w:r>
            <w:r w:rsidR="00D37CA2">
              <w:t xml:space="preserve">removes </w:t>
            </w:r>
            <w:r>
              <w:t xml:space="preserve">the 37 per cent marginal tax rate, so that all income from $41,001 to $200,000 is taxed at a marginal rate of </w:t>
            </w:r>
            <w:r w:rsidR="004023A1">
              <w:t>32.5</w:t>
            </w:r>
            <w:r>
              <w:t xml:space="preserve"> per cent</w:t>
            </w:r>
            <w:r w:rsidR="00E36C6A">
              <w:t xml:space="preserve"> from 1 July 2024</w:t>
            </w:r>
            <w:r>
              <w:t>.</w:t>
            </w:r>
          </w:p>
        </w:tc>
      </w:tr>
    </w:tbl>
    <w:p w:rsidR="00AA478E" w:rsidRPr="008D77AF" w:rsidRDefault="005D5EE0" w:rsidP="00AA478E">
      <w:pPr>
        <w:pStyle w:val="Heading1"/>
      </w:pPr>
      <w:r>
        <w:t>O</w:t>
      </w:r>
      <w:r w:rsidR="00AA478E" w:rsidRPr="008D77AF">
        <w:t>verview</w:t>
      </w:r>
    </w:p>
    <w:p w:rsidR="002E0468" w:rsidRPr="0063771A" w:rsidRDefault="003822ED" w:rsidP="004F1362">
      <w:pPr>
        <w:pStyle w:val="BodyText"/>
      </w:pPr>
      <w:r>
        <w:t>The financial implications of the 2018</w:t>
      </w:r>
      <w:r>
        <w:noBreakHyphen/>
        <w:t xml:space="preserve">19 Budget measure </w:t>
      </w:r>
      <w:r>
        <w:rPr>
          <w:i/>
        </w:rPr>
        <w:t>Personal Income Tax Plan</w:t>
      </w:r>
      <w:r w:rsidR="00666430">
        <w:t xml:space="preserve"> </w:t>
      </w:r>
      <w:r w:rsidR="0063771A">
        <w:t xml:space="preserve">are provided at </w:t>
      </w:r>
      <w:r w:rsidR="0063771A" w:rsidRPr="0063771A">
        <w:rPr>
          <w:u w:val="single"/>
        </w:rPr>
        <w:t>Attachment A</w:t>
      </w:r>
      <w:r w:rsidR="0063771A">
        <w:t xml:space="preserve">. </w:t>
      </w:r>
      <w:r w:rsidR="00C87C8C">
        <w:t xml:space="preserve"> </w:t>
      </w:r>
      <w:r w:rsidR="00666430" w:rsidRPr="00666430">
        <w:t>The financial implications of the proposal over</w:t>
      </w:r>
      <w:r w:rsidR="00666430">
        <w:t xml:space="preserve"> the period 2022</w:t>
      </w:r>
      <w:r w:rsidR="00666430">
        <w:noBreakHyphen/>
        <w:t>23 to 2028</w:t>
      </w:r>
      <w:r w:rsidR="00666430">
        <w:noBreakHyphen/>
        <w:t>29 are Parliamentary Budget Office</w:t>
      </w:r>
      <w:r w:rsidR="00C40BD0">
        <w:t xml:space="preserve"> (PBO)</w:t>
      </w:r>
      <w:r w:rsidR="00666430">
        <w:t xml:space="preserve"> estimates</w:t>
      </w:r>
      <w:r w:rsidR="00666430" w:rsidRPr="00666430">
        <w:t>.</w:t>
      </w:r>
    </w:p>
    <w:p w:rsidR="00FE3B13" w:rsidRPr="00CA06C8" w:rsidRDefault="00FE3B13">
      <w:pPr>
        <w:pStyle w:val="Heading1"/>
      </w:pPr>
      <w:r w:rsidRPr="00CA06C8">
        <w:lastRenderedPageBreak/>
        <w:t>Key assumptions</w:t>
      </w:r>
    </w:p>
    <w:p w:rsidR="005F7D60" w:rsidRDefault="005F7D60" w:rsidP="0003044A">
      <w:pPr>
        <w:pStyle w:val="ListBullet"/>
        <w:keepNext/>
        <w:numPr>
          <w:ilvl w:val="0"/>
          <w:numId w:val="0"/>
        </w:numPr>
        <w:ind w:left="284" w:hanging="284"/>
      </w:pPr>
      <w:r w:rsidRPr="005F7D60">
        <w:t xml:space="preserve">The </w:t>
      </w:r>
      <w:r>
        <w:t>PBO</w:t>
      </w:r>
      <w:r w:rsidRPr="005F7D60">
        <w:t xml:space="preserve"> has made the following assumptions.</w:t>
      </w:r>
    </w:p>
    <w:p w:rsidR="006F4DB8" w:rsidRDefault="0063771A" w:rsidP="00AF72A0">
      <w:pPr>
        <w:pStyle w:val="ListBullet"/>
      </w:pPr>
      <w:r>
        <w:t xml:space="preserve">The financial implications of the proposal over the </w:t>
      </w:r>
      <w:r w:rsidR="00CD2ED6">
        <w:t>2018</w:t>
      </w:r>
      <w:r w:rsidR="00CD2ED6">
        <w:noBreakHyphen/>
        <w:t xml:space="preserve">19 Budget </w:t>
      </w:r>
      <w:r>
        <w:t>forward estimates are assumed to be equal to those published in the 2018</w:t>
      </w:r>
      <w:r>
        <w:noBreakHyphen/>
        <w:t>19 Budget</w:t>
      </w:r>
      <w:r w:rsidR="00AF72A0">
        <w:t xml:space="preserve"> and the further information provided by </w:t>
      </w:r>
      <w:r w:rsidR="003E2070">
        <w:t>the Treasury</w:t>
      </w:r>
      <w:r w:rsidR="00BD6D94">
        <w:t> </w:t>
      </w:r>
      <w:r w:rsidR="003E2070">
        <w:t>Secretary</w:t>
      </w:r>
      <w:r w:rsidR="00AE15FD">
        <w:t>,</w:t>
      </w:r>
      <w:r w:rsidR="003E2070">
        <w:t xml:space="preserve"> </w:t>
      </w:r>
      <w:r w:rsidR="00AF72A0">
        <w:t>John </w:t>
      </w:r>
      <w:r w:rsidR="00AF72A0" w:rsidRPr="00AF72A0">
        <w:t>Fraser</w:t>
      </w:r>
      <w:r w:rsidR="00AE15FD">
        <w:t>,</w:t>
      </w:r>
      <w:r w:rsidR="00AF72A0" w:rsidRPr="00AF72A0">
        <w:t xml:space="preserve"> at Senate Estimates on 29 May 2018</w:t>
      </w:r>
      <w:r>
        <w:t xml:space="preserve">, and </w:t>
      </w:r>
      <w:proofErr w:type="gramStart"/>
      <w:r>
        <w:t>are</w:t>
      </w:r>
      <w:proofErr w:type="gramEnd"/>
      <w:r>
        <w:t xml:space="preserve"> entirely attributable to Component</w:t>
      </w:r>
      <w:r w:rsidR="00DF533A">
        <w:t>s</w:t>
      </w:r>
      <w:r w:rsidR="00124341">
        <w:t> </w:t>
      </w:r>
      <w:r>
        <w:t>1</w:t>
      </w:r>
      <w:r w:rsidR="00DF533A">
        <w:t xml:space="preserve"> and 2</w:t>
      </w:r>
      <w:r>
        <w:t>.</w:t>
      </w:r>
    </w:p>
    <w:p w:rsidR="00195888" w:rsidRDefault="000B2F45" w:rsidP="00195888">
      <w:pPr>
        <w:pStyle w:val="ListBullet"/>
      </w:pPr>
      <w:r>
        <w:t xml:space="preserve">The components have been costed in the order presented.  The costings </w:t>
      </w:r>
      <w:r w:rsidR="00D7224B">
        <w:t>have been undertaken after incorporating all other relevant 2018</w:t>
      </w:r>
      <w:r w:rsidR="00D7224B">
        <w:noBreakHyphen/>
        <w:t xml:space="preserve">19 Budget measures, including </w:t>
      </w:r>
      <w:r>
        <w:t xml:space="preserve">the 2018-19 Budget measure </w:t>
      </w:r>
      <w:r>
        <w:rPr>
          <w:i/>
        </w:rPr>
        <w:t>Personal</w:t>
      </w:r>
      <w:r w:rsidR="00BD6D94">
        <w:rPr>
          <w:i/>
        </w:rPr>
        <w:t> </w:t>
      </w:r>
      <w:r>
        <w:rPr>
          <w:i/>
        </w:rPr>
        <w:t>Income Tax – retaining the Medicare levy rate at 2 per cent</w:t>
      </w:r>
      <w:r>
        <w:t>.</w:t>
      </w:r>
    </w:p>
    <w:p w:rsidR="0084176E" w:rsidRDefault="003822ED" w:rsidP="0084176E">
      <w:pPr>
        <w:pStyle w:val="ListBullet"/>
      </w:pPr>
      <w:r>
        <w:t xml:space="preserve">The </w:t>
      </w:r>
      <w:r w:rsidR="0084176E">
        <w:t xml:space="preserve">estimates </w:t>
      </w:r>
      <w:r w:rsidR="00BD713B">
        <w:t xml:space="preserve">do not consider the implications of </w:t>
      </w:r>
      <w:r w:rsidR="000507A0">
        <w:t xml:space="preserve">the </w:t>
      </w:r>
      <w:r w:rsidR="00BD713B">
        <w:t xml:space="preserve">Government’s announced policy to </w:t>
      </w:r>
      <w:r w:rsidR="00337ABD">
        <w:t>constrain</w:t>
      </w:r>
      <w:r w:rsidR="00BD713B">
        <w:t xml:space="preserve"> the </w:t>
      </w:r>
      <w:r w:rsidR="00195888">
        <w:t xml:space="preserve">tax to </w:t>
      </w:r>
      <w:r w:rsidR="0084176E">
        <w:t>G</w:t>
      </w:r>
      <w:r w:rsidR="00195888">
        <w:t xml:space="preserve">ross </w:t>
      </w:r>
      <w:r w:rsidR="0084176E">
        <w:t>D</w:t>
      </w:r>
      <w:r w:rsidR="00195888">
        <w:t xml:space="preserve">omestic </w:t>
      </w:r>
      <w:r w:rsidR="0084176E">
        <w:t>P</w:t>
      </w:r>
      <w:r w:rsidR="00195888">
        <w:t>roduct</w:t>
      </w:r>
      <w:r w:rsidR="0084176E">
        <w:t xml:space="preserve"> </w:t>
      </w:r>
      <w:r w:rsidR="00AE15FD">
        <w:t xml:space="preserve">(GDP) </w:t>
      </w:r>
      <w:r w:rsidR="00BD713B">
        <w:t>ratio at or below 23.9 per cent</w:t>
      </w:r>
      <w:r w:rsidR="0084176E">
        <w:t xml:space="preserve">. </w:t>
      </w:r>
      <w:r w:rsidR="00195888">
        <w:t xml:space="preserve"> </w:t>
      </w:r>
      <w:r w:rsidR="0084176E">
        <w:t xml:space="preserve">As shown in Chart 2 in Box 2 in </w:t>
      </w:r>
      <w:r w:rsidR="00D3757E">
        <w:t xml:space="preserve">Statement 3 of </w:t>
      </w:r>
      <w:r w:rsidR="00195888">
        <w:t>2018</w:t>
      </w:r>
      <w:r w:rsidR="00195888">
        <w:noBreakHyphen/>
        <w:t xml:space="preserve">19 </w:t>
      </w:r>
      <w:r w:rsidR="0084176E">
        <w:t xml:space="preserve">Budget Paper No. 1, </w:t>
      </w:r>
      <w:r w:rsidR="00BD6D94">
        <w:t>tax receipts are projected to be below 23.9 </w:t>
      </w:r>
      <w:r w:rsidR="0084176E">
        <w:t>per</w:t>
      </w:r>
      <w:r w:rsidR="009E600B">
        <w:t> </w:t>
      </w:r>
      <w:r w:rsidR="0084176E">
        <w:t>cent of GDP until 2026-27</w:t>
      </w:r>
      <w:r w:rsidR="007A37CA">
        <w:t xml:space="preserve"> after taking into account the 2018</w:t>
      </w:r>
      <w:r w:rsidR="007A37CA">
        <w:noBreakHyphen/>
        <w:t xml:space="preserve">19 Budget measure </w:t>
      </w:r>
      <w:r w:rsidR="007A37CA" w:rsidRPr="00235BC7">
        <w:rPr>
          <w:i/>
        </w:rPr>
        <w:t>Personal</w:t>
      </w:r>
      <w:r w:rsidR="00BD6D94">
        <w:rPr>
          <w:i/>
        </w:rPr>
        <w:t> </w:t>
      </w:r>
      <w:r w:rsidR="007A37CA" w:rsidRPr="00235BC7">
        <w:rPr>
          <w:i/>
        </w:rPr>
        <w:t>Income Tax Plan</w:t>
      </w:r>
      <w:r w:rsidR="0084176E">
        <w:t xml:space="preserve">, while without the </w:t>
      </w:r>
      <w:r w:rsidR="0084176E" w:rsidRPr="00235BC7">
        <w:rPr>
          <w:i/>
        </w:rPr>
        <w:t>Personal Income Tax Plan</w:t>
      </w:r>
      <w:r w:rsidR="0084176E">
        <w:t xml:space="preserve"> </w:t>
      </w:r>
      <w:r w:rsidR="008107C7">
        <w:t xml:space="preserve">measure </w:t>
      </w:r>
      <w:r w:rsidR="0084176E">
        <w:t>receipts would exceed 23.9 per cent of GDP from 2021-22.</w:t>
      </w:r>
    </w:p>
    <w:p w:rsidR="005467E2" w:rsidRDefault="00FE3B13" w:rsidP="004F1362">
      <w:pPr>
        <w:pStyle w:val="Heading1"/>
      </w:pPr>
      <w:r>
        <w:t>Methodology</w:t>
      </w:r>
    </w:p>
    <w:p w:rsidR="008014B6" w:rsidRDefault="008014B6" w:rsidP="005467E2">
      <w:pPr>
        <w:pStyle w:val="ListBullet"/>
      </w:pPr>
      <w:r>
        <w:t>The financial implications of the 2018</w:t>
      </w:r>
      <w:r>
        <w:noBreakHyphen/>
        <w:t xml:space="preserve">19 Budget measure </w:t>
      </w:r>
      <w:r>
        <w:rPr>
          <w:i/>
        </w:rPr>
        <w:t>Personal Income Tax Plan</w:t>
      </w:r>
      <w:r>
        <w:t xml:space="preserve"> over the period from 2022-23 to 2028-29 were estimated using a 16 per cent sample of de-identified personal income tax and superannuation returns for 2014-15 provided by the Australian Taxation Office (ATO).  The data was used to estimate the change in tax payable under current and proposed policy, with the difference representing the reduction in revenue under the measure.</w:t>
      </w:r>
    </w:p>
    <w:p w:rsidR="00F6775B" w:rsidRDefault="00F6775B" w:rsidP="00F6775B">
      <w:pPr>
        <w:pStyle w:val="ListBullet"/>
      </w:pPr>
      <w:r>
        <w:t>The financial implications of the measure over the</w:t>
      </w:r>
      <w:r w:rsidR="00CD2ED6">
        <w:t xml:space="preserve"> 2018</w:t>
      </w:r>
      <w:r w:rsidR="00CD2ED6">
        <w:noBreakHyphen/>
        <w:t xml:space="preserve">19 Budget </w:t>
      </w:r>
      <w:r>
        <w:t xml:space="preserve">forward estimates </w:t>
      </w:r>
      <w:r w:rsidR="00EC4A02">
        <w:t xml:space="preserve">period </w:t>
      </w:r>
      <w:r>
        <w:t>are set equal to those detailed in the 2018-19 Budget, and have not been separately modelled by the PBO.</w:t>
      </w:r>
      <w:r w:rsidR="00FE0DC6">
        <w:t xml:space="preserve">  </w:t>
      </w:r>
      <w:r w:rsidR="00293152">
        <w:t xml:space="preserve">The financial implications </w:t>
      </w:r>
      <w:r w:rsidR="00FE0DC6">
        <w:t xml:space="preserve">beyond the </w:t>
      </w:r>
      <w:r w:rsidR="00D63363">
        <w:t xml:space="preserve">2018-19 Budget </w:t>
      </w:r>
      <w:r w:rsidR="00FE0DC6">
        <w:t xml:space="preserve">forward estimates </w:t>
      </w:r>
      <w:r w:rsidR="00D63363">
        <w:t xml:space="preserve">period </w:t>
      </w:r>
      <w:r w:rsidR="00FE0DC6">
        <w:t xml:space="preserve">have been </w:t>
      </w:r>
      <w:r w:rsidR="00293152">
        <w:t xml:space="preserve">estimated by the PBO and </w:t>
      </w:r>
      <w:r w:rsidR="00FE0DC6">
        <w:t xml:space="preserve">benchmarked to the </w:t>
      </w:r>
      <w:r w:rsidR="003E2070">
        <w:t xml:space="preserve">aggregated </w:t>
      </w:r>
      <w:r w:rsidR="00FE0DC6">
        <w:t>medium term financial implications of the measure announced by the Treasurer in the House of Representatives on 23 May 2018</w:t>
      </w:r>
      <w:r w:rsidR="00604EA9">
        <w:t xml:space="preserve"> and </w:t>
      </w:r>
      <w:r w:rsidR="004E195E">
        <w:t>the tabled information as part of the opening statement by John Fraser at Senate Estimates on 29 May 2018</w:t>
      </w:r>
      <w:r w:rsidR="00FE0DC6">
        <w:t>.</w:t>
      </w:r>
    </w:p>
    <w:p w:rsidR="008014B6" w:rsidRDefault="008014B6" w:rsidP="005467E2">
      <w:pPr>
        <w:pStyle w:val="ListBullet"/>
      </w:pPr>
      <w:r>
        <w:t>The modelling takes account of the timing of tax collections.</w:t>
      </w:r>
    </w:p>
    <w:p w:rsidR="005467E2" w:rsidRPr="00002D5D" w:rsidRDefault="008014B6" w:rsidP="005467E2">
      <w:pPr>
        <w:pStyle w:val="ListBullet"/>
      </w:pPr>
      <w:r>
        <w:t>Estimates of revenue beyond the forward estimates have been rounded to the nearest $</w:t>
      </w:r>
      <w:r w:rsidR="00CB6B9D">
        <w:t>50</w:t>
      </w:r>
      <w:r>
        <w:t xml:space="preserve"> million. </w:t>
      </w:r>
    </w:p>
    <w:p w:rsidR="00FE3B13" w:rsidRDefault="00FE3B13" w:rsidP="00FE3B13">
      <w:pPr>
        <w:pStyle w:val="Heading1"/>
      </w:pPr>
      <w:r>
        <w:t>Data sources</w:t>
      </w:r>
    </w:p>
    <w:p w:rsidR="007D0ABE" w:rsidRDefault="008014B6" w:rsidP="008014B6">
      <w:pPr>
        <w:pStyle w:val="ListBullet"/>
      </w:pPr>
      <w:r>
        <w:t>16 per cent samples of de-identified personal income tax and superannuation returns for the 2014</w:t>
      </w:r>
      <w:r>
        <w:noBreakHyphen/>
        <w:t>15 financial year from the ATO.</w:t>
      </w:r>
    </w:p>
    <w:p w:rsidR="008014B6" w:rsidRDefault="005E3C8F" w:rsidP="008014B6">
      <w:pPr>
        <w:pStyle w:val="ListBullet"/>
      </w:pPr>
      <w:r>
        <w:t xml:space="preserve">Treasury provided the model for the </w:t>
      </w:r>
      <w:r w:rsidR="008014B6">
        <w:t>2018</w:t>
      </w:r>
      <w:r w:rsidR="008014B6">
        <w:noBreakHyphen/>
        <w:t>19 Budget measure</w:t>
      </w:r>
      <w:r w:rsidR="00254CA1">
        <w:t xml:space="preserve"> </w:t>
      </w:r>
      <w:r w:rsidR="00254CA1">
        <w:rPr>
          <w:i/>
        </w:rPr>
        <w:t>Personal Income Tax Plan</w:t>
      </w:r>
      <w:r>
        <w:t xml:space="preserve"> and economic and policy parameters as of the 2018</w:t>
      </w:r>
      <w:r>
        <w:noBreakHyphen/>
        <w:t>19 Budget</w:t>
      </w:r>
      <w:r w:rsidR="00254CA1">
        <w:t>.</w:t>
      </w:r>
    </w:p>
    <w:p w:rsidR="00022335" w:rsidRDefault="00893254" w:rsidP="008014B6">
      <w:pPr>
        <w:pStyle w:val="ListBullet"/>
      </w:pPr>
      <w:r>
        <w:t xml:space="preserve">Morrison, S 2018, </w:t>
      </w:r>
      <w:r>
        <w:rPr>
          <w:i/>
        </w:rPr>
        <w:t>House of Representatives Hansard – Wednesday, 23 May 2018</w:t>
      </w:r>
      <w:r>
        <w:t xml:space="preserve">, </w:t>
      </w:r>
      <w:r w:rsidR="00B00952">
        <w:t xml:space="preserve">page 81, </w:t>
      </w:r>
      <w:r>
        <w:t>Commonwealth of Australia.</w:t>
      </w:r>
    </w:p>
    <w:p w:rsidR="00254CA1" w:rsidRDefault="004E195E" w:rsidP="00B311BA">
      <w:pPr>
        <w:pStyle w:val="ListBullet"/>
      </w:pPr>
      <w:r>
        <w:t xml:space="preserve">Fraser, </w:t>
      </w:r>
      <w:r w:rsidRPr="004E195E">
        <w:t>J</w:t>
      </w:r>
      <w:r>
        <w:t xml:space="preserve"> 2018, </w:t>
      </w:r>
      <w:r w:rsidRPr="004E195E">
        <w:t>Secretary to the Treasury</w:t>
      </w:r>
      <w:r>
        <w:t xml:space="preserve">, </w:t>
      </w:r>
      <w:r w:rsidR="007311E2" w:rsidRPr="00203D0B">
        <w:rPr>
          <w:i/>
        </w:rPr>
        <w:t>Opening statement – May 2018 Senate Estimates</w:t>
      </w:r>
      <w:r w:rsidR="00E60499">
        <w:rPr>
          <w:i/>
        </w:rPr>
        <w:t xml:space="preserve"> </w:t>
      </w:r>
      <w:r w:rsidR="00E60499" w:rsidRPr="00203D0B">
        <w:t>(including</w:t>
      </w:r>
      <w:r w:rsidR="00E60499">
        <w:rPr>
          <w:i/>
        </w:rPr>
        <w:t xml:space="preserve"> </w:t>
      </w:r>
      <w:r w:rsidR="00E60499">
        <w:t xml:space="preserve">the tabled document </w:t>
      </w:r>
      <w:r w:rsidR="00E60499" w:rsidRPr="00E60499">
        <w:rPr>
          <w:i/>
        </w:rPr>
        <w:t>Personal Income Tax Plan –</w:t>
      </w:r>
      <w:r w:rsidR="00E60499">
        <w:rPr>
          <w:i/>
        </w:rPr>
        <w:t xml:space="preserve"> further information</w:t>
      </w:r>
      <w:r w:rsidR="00E60499" w:rsidRPr="00203D0B">
        <w:t>)</w:t>
      </w:r>
      <w:r w:rsidRPr="00D6141C">
        <w:t>,</w:t>
      </w:r>
      <w:r>
        <w:t xml:space="preserve"> 29 May 2018</w:t>
      </w:r>
      <w:r w:rsidR="00B02C40">
        <w:t>.</w:t>
      </w:r>
    </w:p>
    <w:p w:rsidR="00BD6D94" w:rsidRDefault="00BD6D94" w:rsidP="00BD6D94">
      <w:pPr>
        <w:pStyle w:val="ListBullet"/>
        <w:numPr>
          <w:ilvl w:val="0"/>
          <w:numId w:val="0"/>
        </w:numPr>
        <w:sectPr w:rsidR="00BD6D94" w:rsidSect="0003044A">
          <w:headerReference w:type="even" r:id="rId9"/>
          <w:headerReference w:type="default" r:id="rId10"/>
          <w:footerReference w:type="even" r:id="rId11"/>
          <w:footerReference w:type="default" r:id="rId12"/>
          <w:headerReference w:type="first" r:id="rId13"/>
          <w:footerReference w:type="first" r:id="rId14"/>
          <w:pgSz w:w="11907" w:h="16839" w:code="9"/>
          <w:pgMar w:top="1134" w:right="1418" w:bottom="1134" w:left="1418" w:header="284" w:footer="454" w:gutter="0"/>
          <w:pgNumType w:start="1"/>
          <w:cols w:space="708"/>
          <w:formProt w:val="0"/>
          <w:titlePg/>
          <w:docGrid w:linePitch="360"/>
        </w:sectPr>
      </w:pPr>
    </w:p>
    <w:p w:rsidR="00016D53" w:rsidRDefault="00016D53" w:rsidP="00412E1C">
      <w:pPr>
        <w:pStyle w:val="Heading8"/>
      </w:pPr>
      <w:r w:rsidRPr="002D239A">
        <w:lastRenderedPageBreak/>
        <w:t xml:space="preserve">– </w:t>
      </w:r>
      <w:r w:rsidR="00412E1C">
        <w:t>Personal Income Tax P</w:t>
      </w:r>
      <w:r w:rsidR="00E929EC">
        <w:t>l</w:t>
      </w:r>
      <w:r w:rsidR="00412E1C">
        <w:t xml:space="preserve">an </w:t>
      </w:r>
      <w:r w:rsidR="00412E1C" w:rsidRPr="00412E1C">
        <w:t>–</w:t>
      </w:r>
      <w:r w:rsidR="00412E1C">
        <w:t xml:space="preserve"> financial implications</w:t>
      </w:r>
    </w:p>
    <w:p w:rsidR="00EF1A1B" w:rsidRDefault="00EF1A1B" w:rsidP="00355421">
      <w:pPr>
        <w:pStyle w:val="Caption"/>
        <w:widowControl w:val="0"/>
        <w:tabs>
          <w:tab w:val="left" w:pos="9356"/>
        </w:tabs>
        <w:spacing w:before="360"/>
        <w:rPr>
          <w:vertAlign w:val="superscript"/>
        </w:rPr>
      </w:pPr>
      <w:r w:rsidRPr="002D239A">
        <w:t xml:space="preserve">Table </w:t>
      </w:r>
      <w:fldSimple w:instr=" STYLEREF 8 \s ">
        <w:r w:rsidR="00DC1A4B">
          <w:rPr>
            <w:noProof/>
          </w:rPr>
          <w:t>A</w:t>
        </w:r>
      </w:fldSimple>
      <w:fldSimple w:instr=" SEQ AppendixTable\s 8 ">
        <w:r w:rsidR="00DC1A4B">
          <w:rPr>
            <w:noProof/>
          </w:rPr>
          <w:t>1</w:t>
        </w:r>
      </w:fldSimple>
      <w:r w:rsidRPr="002D239A">
        <w:t xml:space="preserve">: </w:t>
      </w:r>
      <w:fldSimple w:instr=" STYLEREF  &quot;Name of proposal&quot;  \* MERGEFORMAT ">
        <w:r w:rsidR="00DC1A4B">
          <w:rPr>
            <w:noProof/>
          </w:rPr>
          <w:t>Personal Income Tax Plan</w:t>
        </w:r>
      </w:fldSimple>
      <w:r>
        <w:t xml:space="preserve"> –</w:t>
      </w:r>
      <w:r w:rsidR="00732B6D">
        <w:t xml:space="preserve"> </w:t>
      </w:r>
      <w:r>
        <w:t>Fiscal and underlying cash balances ($m</w:t>
      </w:r>
      <w:proofErr w:type="gramStart"/>
      <w:r>
        <w:t>)</w:t>
      </w:r>
      <w:r w:rsidRPr="002D239A">
        <w:rPr>
          <w:vertAlign w:val="superscript"/>
        </w:rPr>
        <w:t>(</w:t>
      </w:r>
      <w:proofErr w:type="gramEnd"/>
      <w:r w:rsidRPr="002D239A">
        <w:rPr>
          <w:vertAlign w:val="superscript"/>
        </w:rPr>
        <w:t>a)(b)</w:t>
      </w:r>
    </w:p>
    <w:tbl>
      <w:tblPr>
        <w:tblStyle w:val="LightGrid-Accent6"/>
        <w:tblW w:w="5054" w:type="pct"/>
        <w:tblLayout w:type="fixed"/>
        <w:tblLook w:val="0680" w:firstRow="0" w:lastRow="0" w:firstColumn="1" w:lastColumn="0" w:noHBand="1" w:noVBand="1"/>
      </w:tblPr>
      <w:tblGrid>
        <w:gridCol w:w="2098"/>
        <w:gridCol w:w="569"/>
        <w:gridCol w:w="584"/>
        <w:gridCol w:w="568"/>
        <w:gridCol w:w="590"/>
        <w:gridCol w:w="6"/>
        <w:gridCol w:w="631"/>
        <w:gridCol w:w="629"/>
        <w:gridCol w:w="10"/>
        <w:gridCol w:w="613"/>
        <w:gridCol w:w="10"/>
        <w:gridCol w:w="613"/>
        <w:gridCol w:w="10"/>
        <w:gridCol w:w="613"/>
        <w:gridCol w:w="10"/>
        <w:gridCol w:w="613"/>
        <w:gridCol w:w="10"/>
        <w:gridCol w:w="617"/>
        <w:gridCol w:w="738"/>
        <w:gridCol w:w="717"/>
      </w:tblGrid>
      <w:tr w:rsidR="0003044A" w:rsidRPr="003869F7" w:rsidTr="004C45B6">
        <w:tc>
          <w:tcPr>
            <w:cnfStyle w:val="001000000000" w:firstRow="0" w:lastRow="0" w:firstColumn="1" w:lastColumn="0" w:oddVBand="0" w:evenVBand="0" w:oddHBand="0" w:evenHBand="0" w:firstRowFirstColumn="0" w:firstRowLastColumn="0" w:lastRowFirstColumn="0" w:lastRowLastColumn="0"/>
            <w:tcW w:w="1023" w:type="pct"/>
            <w:shd w:val="clear" w:color="auto" w:fill="D7DDE9" w:themeFill="accent3"/>
            <w:vAlign w:val="center"/>
          </w:tcPr>
          <w:p w:rsidR="00EF1A1B" w:rsidRPr="0003044A" w:rsidRDefault="00EF1A1B" w:rsidP="00355421">
            <w:pPr>
              <w:pStyle w:val="TableHeading"/>
              <w:keepLines w:val="0"/>
              <w:widowControl w:val="0"/>
              <w:tabs>
                <w:tab w:val="left" w:pos="9356"/>
              </w:tabs>
              <w:spacing w:line="240" w:lineRule="auto"/>
              <w:ind w:left="-57" w:right="-57"/>
              <w:rPr>
                <w:rFonts w:asciiTheme="minorHAnsi" w:hAnsiTheme="minorHAnsi"/>
                <w:b w:val="0"/>
                <w:sz w:val="16"/>
                <w:szCs w:val="16"/>
              </w:rPr>
            </w:pPr>
          </w:p>
        </w:tc>
        <w:tc>
          <w:tcPr>
            <w:tcW w:w="277" w:type="pct"/>
            <w:shd w:val="clear" w:color="auto" w:fill="D7DDE9" w:themeFill="accent3"/>
            <w:vAlign w:val="center"/>
          </w:tcPr>
          <w:p w:rsidR="00EF1A1B" w:rsidRPr="0003044A" w:rsidRDefault="00EF1A1B" w:rsidP="00355421">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2018–</w:t>
            </w:r>
          </w:p>
          <w:p w:rsidR="00EF1A1B" w:rsidRPr="0003044A" w:rsidRDefault="00EF1A1B" w:rsidP="00355421">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19</w:t>
            </w:r>
          </w:p>
        </w:tc>
        <w:tc>
          <w:tcPr>
            <w:tcW w:w="285" w:type="pct"/>
            <w:shd w:val="clear" w:color="auto" w:fill="D7DDE9" w:themeFill="accent3"/>
            <w:vAlign w:val="center"/>
          </w:tcPr>
          <w:p w:rsidR="00EF1A1B" w:rsidRPr="0003044A" w:rsidRDefault="00EF1A1B" w:rsidP="00355421">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2019–</w:t>
            </w:r>
          </w:p>
          <w:p w:rsidR="00EF1A1B" w:rsidRPr="0003044A" w:rsidRDefault="00EF1A1B" w:rsidP="00355421">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20</w:t>
            </w:r>
          </w:p>
        </w:tc>
        <w:tc>
          <w:tcPr>
            <w:tcW w:w="277" w:type="pct"/>
            <w:shd w:val="clear" w:color="auto" w:fill="D7DDE9" w:themeFill="accent3"/>
            <w:vAlign w:val="center"/>
          </w:tcPr>
          <w:p w:rsidR="00EF1A1B" w:rsidRPr="0003044A" w:rsidRDefault="00EF1A1B" w:rsidP="00355421">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2020–</w:t>
            </w:r>
          </w:p>
          <w:p w:rsidR="00EF1A1B" w:rsidRPr="0003044A" w:rsidRDefault="00EF1A1B" w:rsidP="00355421">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21</w:t>
            </w:r>
          </w:p>
        </w:tc>
        <w:tc>
          <w:tcPr>
            <w:tcW w:w="291" w:type="pct"/>
            <w:gridSpan w:val="2"/>
            <w:shd w:val="clear" w:color="auto" w:fill="D7DDE9" w:themeFill="accent3"/>
            <w:vAlign w:val="center"/>
          </w:tcPr>
          <w:p w:rsidR="00EF1A1B" w:rsidRPr="0003044A" w:rsidRDefault="00EF1A1B" w:rsidP="00355421">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2021–</w:t>
            </w:r>
          </w:p>
          <w:p w:rsidR="00EF1A1B" w:rsidRPr="0003044A" w:rsidRDefault="00EF1A1B" w:rsidP="00355421">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22</w:t>
            </w:r>
          </w:p>
        </w:tc>
        <w:tc>
          <w:tcPr>
            <w:tcW w:w="308" w:type="pct"/>
            <w:shd w:val="clear" w:color="auto" w:fill="D7DDE9" w:themeFill="accent3"/>
            <w:vAlign w:val="center"/>
          </w:tcPr>
          <w:p w:rsidR="00EF1A1B" w:rsidRPr="0003044A" w:rsidRDefault="00EF1A1B" w:rsidP="00355421">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2022–</w:t>
            </w:r>
          </w:p>
          <w:p w:rsidR="00EF1A1B" w:rsidRPr="0003044A" w:rsidRDefault="00EF1A1B" w:rsidP="00355421">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23</w:t>
            </w:r>
          </w:p>
        </w:tc>
        <w:tc>
          <w:tcPr>
            <w:tcW w:w="307" w:type="pct"/>
            <w:shd w:val="clear" w:color="auto" w:fill="D7DDE9" w:themeFill="accent3"/>
            <w:vAlign w:val="center"/>
          </w:tcPr>
          <w:p w:rsidR="00EF1A1B" w:rsidRPr="0003044A" w:rsidRDefault="00EF1A1B" w:rsidP="00355421">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2023–</w:t>
            </w:r>
          </w:p>
          <w:p w:rsidR="00EF1A1B" w:rsidRPr="0003044A" w:rsidRDefault="00EF1A1B" w:rsidP="00355421">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24</w:t>
            </w:r>
          </w:p>
        </w:tc>
        <w:tc>
          <w:tcPr>
            <w:tcW w:w="304" w:type="pct"/>
            <w:gridSpan w:val="2"/>
            <w:shd w:val="clear" w:color="auto" w:fill="D7DDE9" w:themeFill="accent3"/>
            <w:vAlign w:val="center"/>
          </w:tcPr>
          <w:p w:rsidR="00EF1A1B" w:rsidRPr="0003044A" w:rsidRDefault="00EF1A1B" w:rsidP="00355421">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2024–</w:t>
            </w:r>
          </w:p>
          <w:p w:rsidR="00EF1A1B" w:rsidRPr="0003044A" w:rsidRDefault="00EF1A1B" w:rsidP="00355421">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25</w:t>
            </w:r>
          </w:p>
        </w:tc>
        <w:tc>
          <w:tcPr>
            <w:tcW w:w="304" w:type="pct"/>
            <w:gridSpan w:val="2"/>
            <w:shd w:val="clear" w:color="auto" w:fill="D7DDE9" w:themeFill="accent3"/>
            <w:vAlign w:val="center"/>
          </w:tcPr>
          <w:p w:rsidR="00EF1A1B" w:rsidRPr="0003044A" w:rsidRDefault="00EF1A1B" w:rsidP="00355421">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2025–</w:t>
            </w:r>
          </w:p>
          <w:p w:rsidR="00EF1A1B" w:rsidRPr="0003044A" w:rsidRDefault="00EF1A1B" w:rsidP="00355421">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26</w:t>
            </w:r>
          </w:p>
        </w:tc>
        <w:tc>
          <w:tcPr>
            <w:tcW w:w="304" w:type="pct"/>
            <w:gridSpan w:val="2"/>
            <w:shd w:val="clear" w:color="auto" w:fill="D7DDE9" w:themeFill="accent3"/>
            <w:vAlign w:val="center"/>
          </w:tcPr>
          <w:p w:rsidR="00EF1A1B" w:rsidRPr="0003044A" w:rsidRDefault="00EF1A1B" w:rsidP="00355421">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2026–</w:t>
            </w:r>
          </w:p>
          <w:p w:rsidR="00EF1A1B" w:rsidRPr="0003044A" w:rsidRDefault="00EF1A1B" w:rsidP="00355421">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27</w:t>
            </w:r>
          </w:p>
        </w:tc>
        <w:tc>
          <w:tcPr>
            <w:tcW w:w="304" w:type="pct"/>
            <w:gridSpan w:val="2"/>
            <w:shd w:val="clear" w:color="auto" w:fill="D7DDE9" w:themeFill="accent3"/>
            <w:vAlign w:val="center"/>
          </w:tcPr>
          <w:p w:rsidR="00EF1A1B" w:rsidRPr="0003044A" w:rsidRDefault="00EF1A1B" w:rsidP="00355421">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2027–</w:t>
            </w:r>
          </w:p>
          <w:p w:rsidR="00EF1A1B" w:rsidRPr="0003044A" w:rsidRDefault="00EF1A1B" w:rsidP="00355421">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28</w:t>
            </w:r>
          </w:p>
        </w:tc>
        <w:tc>
          <w:tcPr>
            <w:tcW w:w="306" w:type="pct"/>
            <w:gridSpan w:val="2"/>
            <w:shd w:val="clear" w:color="auto" w:fill="D7DDE9" w:themeFill="accent3"/>
            <w:vAlign w:val="center"/>
          </w:tcPr>
          <w:p w:rsidR="00EF1A1B" w:rsidRPr="0003044A" w:rsidRDefault="00EF1A1B" w:rsidP="00355421">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2028–</w:t>
            </w:r>
          </w:p>
          <w:p w:rsidR="00EF1A1B" w:rsidRPr="0003044A" w:rsidRDefault="00EF1A1B" w:rsidP="00355421">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b w:val="0"/>
                <w:sz w:val="16"/>
                <w:szCs w:val="16"/>
              </w:rPr>
              <w:t>29</w:t>
            </w:r>
          </w:p>
        </w:tc>
        <w:tc>
          <w:tcPr>
            <w:tcW w:w="360" w:type="pct"/>
            <w:shd w:val="clear" w:color="auto" w:fill="D7DDE9" w:themeFill="accent3"/>
            <w:vAlign w:val="center"/>
          </w:tcPr>
          <w:p w:rsidR="00EF1A1B" w:rsidRPr="0003044A" w:rsidRDefault="00EF1A1B" w:rsidP="00355421">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03044A">
              <w:rPr>
                <w:rFonts w:asciiTheme="minorHAnsi" w:hAnsiTheme="minorHAnsi"/>
                <w:sz w:val="16"/>
                <w:szCs w:val="16"/>
              </w:rPr>
              <w:t>Total to 2021–22</w:t>
            </w:r>
          </w:p>
        </w:tc>
        <w:tc>
          <w:tcPr>
            <w:tcW w:w="349" w:type="pct"/>
            <w:shd w:val="clear" w:color="auto" w:fill="D7DDE9" w:themeFill="accent3"/>
            <w:vAlign w:val="center"/>
          </w:tcPr>
          <w:p w:rsidR="00EF1A1B" w:rsidRPr="0003044A" w:rsidRDefault="00EF1A1B" w:rsidP="00355421">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03044A">
              <w:rPr>
                <w:rFonts w:asciiTheme="minorHAnsi" w:hAnsiTheme="minorHAnsi"/>
                <w:sz w:val="16"/>
                <w:szCs w:val="16"/>
              </w:rPr>
              <w:t>Total to 2028–29</w:t>
            </w:r>
          </w:p>
        </w:tc>
      </w:tr>
      <w:tr w:rsidR="0003044A" w:rsidRPr="003869F7" w:rsidTr="004C45B6">
        <w:tc>
          <w:tcPr>
            <w:cnfStyle w:val="001000000000" w:firstRow="0" w:lastRow="0" w:firstColumn="1" w:lastColumn="0" w:oddVBand="0" w:evenVBand="0" w:oddHBand="0" w:evenHBand="0" w:firstRowFirstColumn="0" w:firstRowLastColumn="0" w:lastRowFirstColumn="0" w:lastRowLastColumn="0"/>
            <w:tcW w:w="1023" w:type="pct"/>
            <w:tcBorders>
              <w:right w:val="nil"/>
            </w:tcBorders>
            <w:shd w:val="clear" w:color="auto" w:fill="E9ECF3" w:themeFill="accent2" w:themeFillTint="33"/>
            <w:vAlign w:val="center"/>
          </w:tcPr>
          <w:p w:rsidR="00EF1A1B" w:rsidRPr="0003044A" w:rsidRDefault="00EF1A1B" w:rsidP="00355421">
            <w:pPr>
              <w:pStyle w:val="TableText"/>
              <w:keepNext/>
              <w:widowControl w:val="0"/>
              <w:tabs>
                <w:tab w:val="left" w:pos="9356"/>
              </w:tabs>
              <w:spacing w:line="240" w:lineRule="auto"/>
              <w:ind w:left="-57" w:right="-57"/>
              <w:rPr>
                <w:rFonts w:asciiTheme="minorHAnsi" w:hAnsiTheme="minorHAnsi"/>
                <w:b/>
                <w:sz w:val="16"/>
                <w:szCs w:val="16"/>
              </w:rPr>
            </w:pPr>
            <w:r w:rsidRPr="0003044A">
              <w:rPr>
                <w:rFonts w:asciiTheme="minorHAnsi" w:hAnsiTheme="minorHAnsi"/>
                <w:b/>
                <w:sz w:val="16"/>
                <w:szCs w:val="16"/>
              </w:rPr>
              <w:t>Revenue</w:t>
            </w:r>
          </w:p>
        </w:tc>
        <w:tc>
          <w:tcPr>
            <w:tcW w:w="277" w:type="pct"/>
            <w:tcBorders>
              <w:left w:val="nil"/>
              <w:bottom w:val="single" w:sz="8" w:space="0" w:color="788184" w:themeColor="accent6"/>
              <w:right w:val="nil"/>
            </w:tcBorders>
            <w:shd w:val="clear" w:color="auto" w:fill="E9ECF3" w:themeFill="accent2" w:themeFillTint="33"/>
            <w:vAlign w:val="center"/>
          </w:tcPr>
          <w:p w:rsidR="00EF1A1B" w:rsidRPr="0003044A" w:rsidRDefault="00EF1A1B" w:rsidP="0035542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4" w:themeColor="accent6"/>
              <w:right w:val="nil"/>
            </w:tcBorders>
            <w:shd w:val="clear" w:color="auto" w:fill="E9ECF3" w:themeFill="accent2" w:themeFillTint="33"/>
            <w:vAlign w:val="center"/>
          </w:tcPr>
          <w:p w:rsidR="00EF1A1B" w:rsidRPr="0003044A" w:rsidRDefault="00EF1A1B" w:rsidP="0035542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77" w:type="pct"/>
            <w:tcBorders>
              <w:left w:val="nil"/>
              <w:bottom w:val="single" w:sz="8" w:space="0" w:color="788184" w:themeColor="accent6"/>
              <w:right w:val="nil"/>
            </w:tcBorders>
            <w:shd w:val="clear" w:color="auto" w:fill="E9ECF3" w:themeFill="accent2" w:themeFillTint="33"/>
            <w:vAlign w:val="center"/>
          </w:tcPr>
          <w:p w:rsidR="00EF1A1B" w:rsidRPr="0003044A" w:rsidRDefault="00EF1A1B" w:rsidP="0035542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91" w:type="pct"/>
            <w:gridSpan w:val="2"/>
            <w:tcBorders>
              <w:left w:val="nil"/>
              <w:bottom w:val="single" w:sz="8" w:space="0" w:color="788184" w:themeColor="accent6"/>
              <w:right w:val="nil"/>
            </w:tcBorders>
            <w:shd w:val="clear" w:color="auto" w:fill="E9ECF3" w:themeFill="accent2" w:themeFillTint="33"/>
            <w:vAlign w:val="center"/>
          </w:tcPr>
          <w:p w:rsidR="00EF1A1B" w:rsidRPr="0003044A" w:rsidRDefault="00EF1A1B" w:rsidP="0035542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08" w:type="pct"/>
            <w:tcBorders>
              <w:left w:val="nil"/>
              <w:bottom w:val="single" w:sz="8" w:space="0" w:color="788184" w:themeColor="accent6"/>
              <w:right w:val="nil"/>
            </w:tcBorders>
            <w:shd w:val="clear" w:color="auto" w:fill="E9ECF3" w:themeFill="accent2" w:themeFillTint="33"/>
            <w:vAlign w:val="center"/>
          </w:tcPr>
          <w:p w:rsidR="00EF1A1B" w:rsidRPr="0003044A" w:rsidRDefault="00EF1A1B" w:rsidP="0035542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07" w:type="pct"/>
            <w:tcBorders>
              <w:left w:val="nil"/>
              <w:bottom w:val="single" w:sz="8" w:space="0" w:color="788184" w:themeColor="accent6"/>
              <w:right w:val="nil"/>
            </w:tcBorders>
            <w:shd w:val="clear" w:color="auto" w:fill="E9ECF3" w:themeFill="accent2" w:themeFillTint="33"/>
            <w:vAlign w:val="center"/>
          </w:tcPr>
          <w:p w:rsidR="00EF1A1B" w:rsidRPr="0003044A" w:rsidRDefault="00EF1A1B" w:rsidP="0035542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04" w:type="pct"/>
            <w:gridSpan w:val="2"/>
            <w:tcBorders>
              <w:left w:val="nil"/>
              <w:bottom w:val="single" w:sz="8" w:space="0" w:color="788184" w:themeColor="accent6"/>
              <w:right w:val="nil"/>
            </w:tcBorders>
            <w:shd w:val="clear" w:color="auto" w:fill="E9ECF3" w:themeFill="accent2" w:themeFillTint="33"/>
            <w:vAlign w:val="center"/>
          </w:tcPr>
          <w:p w:rsidR="00EF1A1B" w:rsidRPr="0003044A" w:rsidRDefault="00EF1A1B" w:rsidP="0035542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04" w:type="pct"/>
            <w:gridSpan w:val="2"/>
            <w:tcBorders>
              <w:left w:val="nil"/>
              <w:bottom w:val="single" w:sz="8" w:space="0" w:color="788184" w:themeColor="accent6"/>
              <w:right w:val="nil"/>
            </w:tcBorders>
            <w:shd w:val="clear" w:color="auto" w:fill="E9ECF3" w:themeFill="accent2" w:themeFillTint="33"/>
            <w:vAlign w:val="center"/>
          </w:tcPr>
          <w:p w:rsidR="00EF1A1B" w:rsidRPr="0003044A" w:rsidRDefault="00EF1A1B" w:rsidP="0035542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04" w:type="pct"/>
            <w:gridSpan w:val="2"/>
            <w:tcBorders>
              <w:left w:val="nil"/>
              <w:bottom w:val="single" w:sz="8" w:space="0" w:color="788184" w:themeColor="accent6"/>
              <w:right w:val="nil"/>
            </w:tcBorders>
            <w:shd w:val="clear" w:color="auto" w:fill="E9ECF3" w:themeFill="accent2" w:themeFillTint="33"/>
            <w:vAlign w:val="center"/>
          </w:tcPr>
          <w:p w:rsidR="00EF1A1B" w:rsidRPr="0003044A" w:rsidRDefault="00EF1A1B" w:rsidP="0035542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04" w:type="pct"/>
            <w:gridSpan w:val="2"/>
            <w:tcBorders>
              <w:left w:val="nil"/>
              <w:bottom w:val="single" w:sz="8" w:space="0" w:color="788184" w:themeColor="accent6"/>
              <w:right w:val="nil"/>
            </w:tcBorders>
            <w:shd w:val="clear" w:color="auto" w:fill="E9ECF3" w:themeFill="accent2" w:themeFillTint="33"/>
            <w:vAlign w:val="center"/>
          </w:tcPr>
          <w:p w:rsidR="00EF1A1B" w:rsidRPr="0003044A" w:rsidRDefault="00EF1A1B" w:rsidP="0035542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06" w:type="pct"/>
            <w:gridSpan w:val="2"/>
            <w:tcBorders>
              <w:left w:val="nil"/>
              <w:bottom w:val="single" w:sz="8" w:space="0" w:color="788184" w:themeColor="accent6"/>
              <w:right w:val="nil"/>
            </w:tcBorders>
            <w:shd w:val="clear" w:color="auto" w:fill="E9ECF3" w:themeFill="accent2" w:themeFillTint="33"/>
            <w:vAlign w:val="center"/>
          </w:tcPr>
          <w:p w:rsidR="00EF1A1B" w:rsidRPr="0003044A" w:rsidRDefault="00EF1A1B" w:rsidP="0035542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60" w:type="pct"/>
            <w:tcBorders>
              <w:left w:val="nil"/>
              <w:bottom w:val="single" w:sz="8" w:space="0" w:color="788184" w:themeColor="accent6"/>
              <w:right w:val="nil"/>
            </w:tcBorders>
            <w:shd w:val="clear" w:color="auto" w:fill="E9ECF3" w:themeFill="accent2" w:themeFillTint="33"/>
            <w:vAlign w:val="center"/>
          </w:tcPr>
          <w:p w:rsidR="00EF1A1B" w:rsidRPr="0003044A" w:rsidRDefault="00EF1A1B" w:rsidP="0035542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c>
          <w:tcPr>
            <w:tcW w:w="349" w:type="pct"/>
            <w:tcBorders>
              <w:left w:val="nil"/>
            </w:tcBorders>
            <w:shd w:val="clear" w:color="auto" w:fill="E9ECF3" w:themeFill="accent2" w:themeFillTint="33"/>
            <w:vAlign w:val="center"/>
          </w:tcPr>
          <w:p w:rsidR="00EF1A1B" w:rsidRPr="0003044A" w:rsidRDefault="00EF1A1B" w:rsidP="00355421">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r>
      <w:tr w:rsidR="004C45B6" w:rsidRPr="003869F7" w:rsidTr="004C45B6">
        <w:tc>
          <w:tcPr>
            <w:cnfStyle w:val="001000000000" w:firstRow="0" w:lastRow="0" w:firstColumn="1" w:lastColumn="0" w:oddVBand="0" w:evenVBand="0" w:oddHBand="0" w:evenHBand="0" w:firstRowFirstColumn="0" w:firstRowLastColumn="0" w:lastRowFirstColumn="0" w:lastRowLastColumn="0"/>
            <w:tcW w:w="1585" w:type="pct"/>
            <w:gridSpan w:val="3"/>
            <w:tcBorders>
              <w:right w:val="nil"/>
            </w:tcBorders>
            <w:vAlign w:val="center"/>
          </w:tcPr>
          <w:p w:rsidR="003869F7" w:rsidRPr="003869F7" w:rsidRDefault="003869F7" w:rsidP="00235BC7">
            <w:pPr>
              <w:pStyle w:val="TableText"/>
              <w:keepNext/>
              <w:widowControl w:val="0"/>
              <w:tabs>
                <w:tab w:val="left" w:pos="9356"/>
              </w:tabs>
              <w:spacing w:line="240" w:lineRule="auto"/>
              <w:ind w:left="-57" w:right="-57"/>
              <w:rPr>
                <w:rFonts w:asciiTheme="minorHAnsi" w:hAnsiTheme="minorHAnsi"/>
                <w:b/>
                <w:iCs/>
                <w:color w:val="000000"/>
                <w:sz w:val="16"/>
                <w:szCs w:val="16"/>
              </w:rPr>
            </w:pPr>
            <w:r w:rsidRPr="0003044A">
              <w:rPr>
                <w:rFonts w:asciiTheme="minorHAnsi" w:hAnsiTheme="minorHAnsi"/>
                <w:b/>
                <w:iCs/>
                <w:color w:val="000000"/>
                <w:sz w:val="16"/>
                <w:szCs w:val="16"/>
              </w:rPr>
              <w:t>Components commencing from 1 July 2018</w:t>
            </w:r>
          </w:p>
        </w:tc>
        <w:tc>
          <w:tcPr>
            <w:tcW w:w="277" w:type="pct"/>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iCs/>
                <w:color w:val="000000"/>
                <w:sz w:val="16"/>
                <w:szCs w:val="16"/>
              </w:rPr>
            </w:pPr>
          </w:p>
        </w:tc>
        <w:tc>
          <w:tcPr>
            <w:tcW w:w="291"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iCs/>
                <w:color w:val="000000"/>
                <w:sz w:val="16"/>
                <w:szCs w:val="16"/>
              </w:rPr>
            </w:pPr>
          </w:p>
        </w:tc>
        <w:tc>
          <w:tcPr>
            <w:tcW w:w="308" w:type="pct"/>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iCs/>
                <w:color w:val="000000"/>
                <w:sz w:val="16"/>
                <w:szCs w:val="16"/>
              </w:rPr>
            </w:pPr>
          </w:p>
        </w:tc>
        <w:tc>
          <w:tcPr>
            <w:tcW w:w="307" w:type="pct"/>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iCs/>
                <w:color w:val="000000"/>
                <w:sz w:val="16"/>
                <w:szCs w:val="16"/>
              </w:rPr>
            </w:pPr>
          </w:p>
        </w:tc>
        <w:tc>
          <w:tcPr>
            <w:tcW w:w="304"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iCs/>
                <w:color w:val="000000"/>
                <w:sz w:val="16"/>
                <w:szCs w:val="16"/>
              </w:rPr>
            </w:pPr>
          </w:p>
        </w:tc>
        <w:tc>
          <w:tcPr>
            <w:tcW w:w="304"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iCs/>
                <w:color w:val="000000"/>
                <w:sz w:val="16"/>
                <w:szCs w:val="16"/>
              </w:rPr>
            </w:pPr>
          </w:p>
        </w:tc>
        <w:tc>
          <w:tcPr>
            <w:tcW w:w="304"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iCs/>
                <w:color w:val="000000"/>
                <w:sz w:val="16"/>
                <w:szCs w:val="16"/>
              </w:rPr>
            </w:pPr>
          </w:p>
        </w:tc>
        <w:tc>
          <w:tcPr>
            <w:tcW w:w="304"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iCs/>
                <w:color w:val="000000"/>
                <w:sz w:val="16"/>
                <w:szCs w:val="16"/>
              </w:rPr>
            </w:pPr>
          </w:p>
        </w:tc>
        <w:tc>
          <w:tcPr>
            <w:tcW w:w="306"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iCs/>
                <w:color w:val="000000"/>
                <w:sz w:val="16"/>
                <w:szCs w:val="16"/>
              </w:rPr>
            </w:pPr>
          </w:p>
        </w:tc>
        <w:tc>
          <w:tcPr>
            <w:tcW w:w="360" w:type="pct"/>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iCs/>
                <w:color w:val="000000"/>
                <w:sz w:val="16"/>
                <w:szCs w:val="16"/>
              </w:rPr>
            </w:pPr>
          </w:p>
        </w:tc>
        <w:tc>
          <w:tcPr>
            <w:tcW w:w="349" w:type="pct"/>
            <w:tcBorders>
              <w:left w:val="nil"/>
            </w:tcBorders>
            <w:vAlign w:val="center"/>
          </w:tcPr>
          <w:p w:rsidR="003869F7" w:rsidRPr="0003044A"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bCs/>
                <w:iCs/>
                <w:color w:val="000000"/>
                <w:sz w:val="16"/>
                <w:szCs w:val="16"/>
              </w:rPr>
            </w:pPr>
          </w:p>
        </w:tc>
      </w:tr>
      <w:tr w:rsidR="004C45B6" w:rsidRPr="003869F7" w:rsidTr="004C45B6">
        <w:tc>
          <w:tcPr>
            <w:cnfStyle w:val="001000000000" w:firstRow="0" w:lastRow="0" w:firstColumn="1" w:lastColumn="0" w:oddVBand="0" w:evenVBand="0" w:oddHBand="0" w:evenHBand="0" w:firstRowFirstColumn="0" w:firstRowLastColumn="0" w:lastRowFirstColumn="0" w:lastRowLastColumn="0"/>
            <w:tcW w:w="1023" w:type="pct"/>
            <w:vAlign w:val="center"/>
          </w:tcPr>
          <w:p w:rsidR="002C1AB8" w:rsidRPr="0003044A" w:rsidRDefault="002C1AB8" w:rsidP="00922177">
            <w:pPr>
              <w:pStyle w:val="TableText"/>
              <w:keepNext/>
              <w:widowControl w:val="0"/>
              <w:tabs>
                <w:tab w:val="left" w:pos="9356"/>
              </w:tabs>
              <w:spacing w:line="240" w:lineRule="auto"/>
              <w:ind w:left="-57" w:right="-57"/>
              <w:rPr>
                <w:rFonts w:asciiTheme="minorHAnsi" w:hAnsiTheme="minorHAnsi"/>
                <w:i/>
                <w:sz w:val="16"/>
                <w:szCs w:val="16"/>
              </w:rPr>
            </w:pPr>
            <w:r w:rsidRPr="0003044A">
              <w:rPr>
                <w:rFonts w:asciiTheme="minorHAnsi" w:hAnsiTheme="minorHAnsi"/>
                <w:i/>
                <w:sz w:val="16"/>
                <w:szCs w:val="16"/>
              </w:rPr>
              <w:t>Increase the upper threshold for the 32.5 per cent marginal tax rate from $87,000 to $90,000</w:t>
            </w:r>
          </w:p>
        </w:tc>
        <w:tc>
          <w:tcPr>
            <w:tcW w:w="277" w:type="pct"/>
            <w:vAlign w:val="center"/>
          </w:tcPr>
          <w:p w:rsidR="002C1AB8" w:rsidRPr="0003044A" w:rsidRDefault="002C1AB8"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-360</w:t>
            </w:r>
          </w:p>
        </w:tc>
        <w:tc>
          <w:tcPr>
            <w:tcW w:w="285" w:type="pct"/>
            <w:vAlign w:val="center"/>
          </w:tcPr>
          <w:p w:rsidR="002C1AB8" w:rsidRPr="0003044A" w:rsidRDefault="002C1AB8"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-420</w:t>
            </w:r>
          </w:p>
        </w:tc>
        <w:tc>
          <w:tcPr>
            <w:tcW w:w="277" w:type="pct"/>
            <w:vAlign w:val="center"/>
          </w:tcPr>
          <w:p w:rsidR="002C1AB8" w:rsidRPr="0003044A" w:rsidRDefault="002C1AB8"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-470</w:t>
            </w:r>
          </w:p>
        </w:tc>
        <w:tc>
          <w:tcPr>
            <w:tcW w:w="291" w:type="pct"/>
            <w:gridSpan w:val="2"/>
            <w:vAlign w:val="center"/>
          </w:tcPr>
          <w:p w:rsidR="002C1AB8" w:rsidRPr="0003044A" w:rsidRDefault="002C1AB8"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-500</w:t>
            </w:r>
          </w:p>
        </w:tc>
        <w:tc>
          <w:tcPr>
            <w:tcW w:w="308" w:type="pct"/>
            <w:vAlign w:val="center"/>
          </w:tcPr>
          <w:p w:rsidR="002C1AB8" w:rsidRPr="0003044A" w:rsidRDefault="002C1AB8"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-550</w:t>
            </w:r>
          </w:p>
        </w:tc>
        <w:tc>
          <w:tcPr>
            <w:tcW w:w="307" w:type="pct"/>
            <w:vAlign w:val="center"/>
          </w:tcPr>
          <w:p w:rsidR="002C1AB8" w:rsidRPr="0003044A" w:rsidRDefault="002C1AB8"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-600</w:t>
            </w:r>
          </w:p>
        </w:tc>
        <w:tc>
          <w:tcPr>
            <w:tcW w:w="304" w:type="pct"/>
            <w:gridSpan w:val="2"/>
            <w:vAlign w:val="center"/>
          </w:tcPr>
          <w:p w:rsidR="002C1AB8" w:rsidRPr="0003044A" w:rsidRDefault="002C1AB8"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-650</w:t>
            </w:r>
          </w:p>
        </w:tc>
        <w:tc>
          <w:tcPr>
            <w:tcW w:w="304" w:type="pct"/>
            <w:gridSpan w:val="2"/>
            <w:vAlign w:val="center"/>
          </w:tcPr>
          <w:p w:rsidR="002C1AB8" w:rsidRPr="0003044A" w:rsidRDefault="002C1AB8"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-650</w:t>
            </w:r>
          </w:p>
        </w:tc>
        <w:tc>
          <w:tcPr>
            <w:tcW w:w="304" w:type="pct"/>
            <w:gridSpan w:val="2"/>
            <w:vAlign w:val="center"/>
          </w:tcPr>
          <w:p w:rsidR="002C1AB8" w:rsidRPr="0003044A" w:rsidRDefault="002C1AB8"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-700</w:t>
            </w:r>
          </w:p>
        </w:tc>
        <w:tc>
          <w:tcPr>
            <w:tcW w:w="304" w:type="pct"/>
            <w:gridSpan w:val="2"/>
            <w:vAlign w:val="center"/>
          </w:tcPr>
          <w:p w:rsidR="002C1AB8" w:rsidRPr="0003044A" w:rsidRDefault="002C1AB8"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-750</w:t>
            </w:r>
          </w:p>
        </w:tc>
        <w:tc>
          <w:tcPr>
            <w:tcW w:w="306" w:type="pct"/>
            <w:gridSpan w:val="2"/>
            <w:vAlign w:val="center"/>
          </w:tcPr>
          <w:p w:rsidR="002C1AB8" w:rsidRPr="0003044A" w:rsidRDefault="002C1AB8"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-800</w:t>
            </w:r>
          </w:p>
        </w:tc>
        <w:tc>
          <w:tcPr>
            <w:tcW w:w="360" w:type="pct"/>
            <w:vAlign w:val="center"/>
          </w:tcPr>
          <w:p w:rsidR="002C1AB8" w:rsidRPr="0003044A" w:rsidRDefault="002C1AB8"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-1,750</w:t>
            </w:r>
          </w:p>
        </w:tc>
        <w:tc>
          <w:tcPr>
            <w:tcW w:w="349" w:type="pct"/>
            <w:vAlign w:val="center"/>
          </w:tcPr>
          <w:p w:rsidR="002C1AB8" w:rsidRPr="0003044A" w:rsidRDefault="002C1AB8"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-6,450</w:t>
            </w:r>
          </w:p>
        </w:tc>
      </w:tr>
      <w:tr w:rsidR="004C45B6" w:rsidRPr="003869F7" w:rsidTr="004C45B6">
        <w:tc>
          <w:tcPr>
            <w:cnfStyle w:val="001000000000" w:firstRow="0" w:lastRow="0" w:firstColumn="1" w:lastColumn="0" w:oddVBand="0" w:evenVBand="0" w:oddHBand="0" w:evenHBand="0" w:firstRowFirstColumn="0" w:firstRowLastColumn="0" w:lastRowFirstColumn="0" w:lastRowLastColumn="0"/>
            <w:tcW w:w="1023" w:type="pct"/>
            <w:vAlign w:val="center"/>
          </w:tcPr>
          <w:p w:rsidR="005A1AEC" w:rsidRPr="0003044A" w:rsidDel="0060138D" w:rsidRDefault="005A1AEC" w:rsidP="00922177">
            <w:pPr>
              <w:pStyle w:val="TableText"/>
              <w:keepNext/>
              <w:widowControl w:val="0"/>
              <w:tabs>
                <w:tab w:val="left" w:pos="9356"/>
              </w:tabs>
              <w:spacing w:line="240" w:lineRule="auto"/>
              <w:ind w:left="-57" w:right="-57"/>
              <w:rPr>
                <w:rFonts w:asciiTheme="minorHAnsi" w:hAnsiTheme="minorHAnsi"/>
                <w:i/>
                <w:sz w:val="16"/>
                <w:szCs w:val="16"/>
              </w:rPr>
            </w:pPr>
            <w:r w:rsidRPr="0003044A">
              <w:rPr>
                <w:rFonts w:asciiTheme="minorHAnsi" w:hAnsiTheme="minorHAnsi"/>
                <w:i/>
                <w:sz w:val="16"/>
                <w:szCs w:val="16"/>
              </w:rPr>
              <w:t>Low and Middle Income Tax Offset of up to $530 for individuals with taxable income up to $125,333 for the 2018</w:t>
            </w:r>
            <w:r w:rsidRPr="0003044A">
              <w:rPr>
                <w:rFonts w:asciiTheme="minorHAnsi" w:hAnsiTheme="minorHAnsi"/>
                <w:i/>
                <w:sz w:val="16"/>
                <w:szCs w:val="16"/>
              </w:rPr>
              <w:noBreakHyphen/>
              <w:t>19, 2019-20, 2020-21 and 2021</w:t>
            </w:r>
            <w:r w:rsidRPr="0003044A">
              <w:rPr>
                <w:rFonts w:asciiTheme="minorHAnsi" w:hAnsiTheme="minorHAnsi"/>
                <w:i/>
                <w:sz w:val="16"/>
                <w:szCs w:val="16"/>
              </w:rPr>
              <w:noBreakHyphen/>
              <w:t>22 financial years</w:t>
            </w:r>
          </w:p>
        </w:tc>
        <w:tc>
          <w:tcPr>
            <w:tcW w:w="277"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85"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-3,700</w:t>
            </w:r>
          </w:p>
        </w:tc>
        <w:tc>
          <w:tcPr>
            <w:tcW w:w="277"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-3,950</w:t>
            </w:r>
          </w:p>
        </w:tc>
        <w:tc>
          <w:tcPr>
            <w:tcW w:w="291"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-4,000</w:t>
            </w:r>
          </w:p>
        </w:tc>
        <w:tc>
          <w:tcPr>
            <w:tcW w:w="308"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-4,050</w:t>
            </w:r>
          </w:p>
        </w:tc>
        <w:tc>
          <w:tcPr>
            <w:tcW w:w="307"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-200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6"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60"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-11,650</w:t>
            </w:r>
          </w:p>
        </w:tc>
        <w:tc>
          <w:tcPr>
            <w:tcW w:w="349"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-15,900</w:t>
            </w:r>
          </w:p>
        </w:tc>
      </w:tr>
      <w:tr w:rsidR="004C45B6" w:rsidRPr="003869F7" w:rsidTr="004C45B6">
        <w:tc>
          <w:tcPr>
            <w:cnfStyle w:val="001000000000" w:firstRow="0" w:lastRow="0" w:firstColumn="1" w:lastColumn="0" w:oddVBand="0" w:evenVBand="0" w:oddHBand="0" w:evenHBand="0" w:firstRowFirstColumn="0" w:firstRowLastColumn="0" w:lastRowFirstColumn="0" w:lastRowLastColumn="0"/>
            <w:tcW w:w="1023" w:type="pct"/>
            <w:vAlign w:val="center"/>
          </w:tcPr>
          <w:p w:rsidR="005A1AEC" w:rsidRPr="0003044A" w:rsidDel="0060138D" w:rsidRDefault="005A1AEC" w:rsidP="00E174AF">
            <w:pPr>
              <w:pStyle w:val="TableText"/>
              <w:keepNext/>
              <w:widowControl w:val="0"/>
              <w:tabs>
                <w:tab w:val="left" w:pos="9356"/>
              </w:tabs>
              <w:spacing w:line="240" w:lineRule="auto"/>
              <w:ind w:left="-57" w:right="-57"/>
              <w:rPr>
                <w:rFonts w:asciiTheme="minorHAnsi" w:hAnsiTheme="minorHAnsi"/>
                <w:sz w:val="16"/>
                <w:szCs w:val="16"/>
              </w:rPr>
            </w:pPr>
            <w:r w:rsidRPr="0003044A">
              <w:rPr>
                <w:rFonts w:asciiTheme="minorHAnsi" w:hAnsiTheme="minorHAnsi"/>
                <w:sz w:val="16"/>
                <w:szCs w:val="16"/>
              </w:rPr>
              <w:t>Total revenue – Components commencing from 1 July 2018</w:t>
            </w:r>
            <w:r w:rsidRPr="0003044A">
              <w:rPr>
                <w:rFonts w:asciiTheme="minorHAnsi" w:hAnsiTheme="minorHAnsi"/>
                <w:sz w:val="16"/>
                <w:szCs w:val="16"/>
                <w:vertAlign w:val="superscript"/>
              </w:rPr>
              <w:t>(c)</w:t>
            </w:r>
            <w:r w:rsidRPr="0003044A">
              <w:rPr>
                <w:rFonts w:asciiTheme="minorHAnsi" w:hAnsiTheme="minorHAnsi"/>
                <w:sz w:val="16"/>
                <w:szCs w:val="16"/>
              </w:rPr>
              <w:t xml:space="preserve"> </w:t>
            </w:r>
          </w:p>
        </w:tc>
        <w:tc>
          <w:tcPr>
            <w:tcW w:w="277" w:type="pct"/>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-360</w:t>
            </w:r>
          </w:p>
        </w:tc>
        <w:tc>
          <w:tcPr>
            <w:tcW w:w="285" w:type="pct"/>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-4,120</w:t>
            </w:r>
          </w:p>
        </w:tc>
        <w:tc>
          <w:tcPr>
            <w:tcW w:w="277" w:type="pct"/>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-4,420</w:t>
            </w:r>
          </w:p>
        </w:tc>
        <w:tc>
          <w:tcPr>
            <w:tcW w:w="291" w:type="pct"/>
            <w:gridSpan w:val="2"/>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-4,500</w:t>
            </w:r>
          </w:p>
        </w:tc>
        <w:tc>
          <w:tcPr>
            <w:tcW w:w="308" w:type="pct"/>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-4,600</w:t>
            </w:r>
          </w:p>
        </w:tc>
        <w:tc>
          <w:tcPr>
            <w:tcW w:w="307" w:type="pct"/>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-800</w:t>
            </w:r>
          </w:p>
        </w:tc>
        <w:tc>
          <w:tcPr>
            <w:tcW w:w="304" w:type="pct"/>
            <w:gridSpan w:val="2"/>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-650</w:t>
            </w:r>
          </w:p>
        </w:tc>
        <w:tc>
          <w:tcPr>
            <w:tcW w:w="304" w:type="pct"/>
            <w:gridSpan w:val="2"/>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-650</w:t>
            </w:r>
          </w:p>
        </w:tc>
        <w:tc>
          <w:tcPr>
            <w:tcW w:w="304" w:type="pct"/>
            <w:gridSpan w:val="2"/>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-700</w:t>
            </w:r>
          </w:p>
        </w:tc>
        <w:tc>
          <w:tcPr>
            <w:tcW w:w="304" w:type="pct"/>
            <w:gridSpan w:val="2"/>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-750</w:t>
            </w:r>
          </w:p>
        </w:tc>
        <w:tc>
          <w:tcPr>
            <w:tcW w:w="306" w:type="pct"/>
            <w:gridSpan w:val="2"/>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-800</w:t>
            </w:r>
          </w:p>
        </w:tc>
        <w:tc>
          <w:tcPr>
            <w:tcW w:w="360" w:type="pct"/>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-13,400</w:t>
            </w:r>
          </w:p>
        </w:tc>
        <w:tc>
          <w:tcPr>
            <w:tcW w:w="349"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-22,350</w:t>
            </w:r>
          </w:p>
        </w:tc>
      </w:tr>
      <w:tr w:rsidR="004C45B6" w:rsidRPr="003869F7" w:rsidTr="004C45B6">
        <w:tc>
          <w:tcPr>
            <w:cnfStyle w:val="001000000000" w:firstRow="0" w:lastRow="0" w:firstColumn="1" w:lastColumn="0" w:oddVBand="0" w:evenVBand="0" w:oddHBand="0" w:evenHBand="0" w:firstRowFirstColumn="0" w:firstRowLastColumn="0" w:lastRowFirstColumn="0" w:lastRowLastColumn="0"/>
            <w:tcW w:w="1585" w:type="pct"/>
            <w:gridSpan w:val="3"/>
            <w:tcBorders>
              <w:right w:val="nil"/>
            </w:tcBorders>
            <w:vAlign w:val="center"/>
          </w:tcPr>
          <w:p w:rsidR="003869F7" w:rsidRPr="003869F7" w:rsidRDefault="003869F7" w:rsidP="00235BC7">
            <w:pPr>
              <w:pStyle w:val="TableText"/>
              <w:keepNext/>
              <w:widowControl w:val="0"/>
              <w:tabs>
                <w:tab w:val="left" w:pos="9356"/>
              </w:tabs>
              <w:spacing w:line="240" w:lineRule="auto"/>
              <w:ind w:left="-57" w:right="-57"/>
              <w:rPr>
                <w:rFonts w:asciiTheme="minorHAnsi" w:hAnsiTheme="minorHAnsi"/>
                <w:b/>
                <w:bCs w:val="0"/>
                <w:sz w:val="16"/>
                <w:szCs w:val="16"/>
              </w:rPr>
            </w:pPr>
            <w:r w:rsidRPr="0003044A">
              <w:rPr>
                <w:rFonts w:asciiTheme="minorHAnsi" w:hAnsiTheme="minorHAnsi"/>
                <w:b/>
                <w:iCs/>
                <w:color w:val="000000"/>
                <w:sz w:val="16"/>
                <w:szCs w:val="16"/>
              </w:rPr>
              <w:t>Components commencing from 1 July 2022</w:t>
            </w:r>
          </w:p>
        </w:tc>
        <w:tc>
          <w:tcPr>
            <w:tcW w:w="277" w:type="pct"/>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291"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08" w:type="pct"/>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12"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04"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04"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04"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04"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01" w:type="pct"/>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60" w:type="pct"/>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49" w:type="pct"/>
            <w:tcBorders>
              <w:left w:val="nil"/>
            </w:tcBorders>
            <w:vAlign w:val="center"/>
          </w:tcPr>
          <w:p w:rsidR="003869F7" w:rsidRPr="0003044A"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p>
        </w:tc>
      </w:tr>
      <w:tr w:rsidR="004C45B6" w:rsidRPr="003869F7" w:rsidTr="004C45B6">
        <w:tc>
          <w:tcPr>
            <w:cnfStyle w:val="001000000000" w:firstRow="0" w:lastRow="0" w:firstColumn="1" w:lastColumn="0" w:oddVBand="0" w:evenVBand="0" w:oddHBand="0" w:evenHBand="0" w:firstRowFirstColumn="0" w:firstRowLastColumn="0" w:lastRowFirstColumn="0" w:lastRowLastColumn="0"/>
            <w:tcW w:w="1023" w:type="pct"/>
            <w:vAlign w:val="center"/>
          </w:tcPr>
          <w:p w:rsidR="005A1AEC" w:rsidRPr="0003044A" w:rsidDel="0060138D" w:rsidRDefault="005A1AEC" w:rsidP="00922177">
            <w:pPr>
              <w:pStyle w:val="TableText"/>
              <w:keepNext/>
              <w:widowControl w:val="0"/>
              <w:tabs>
                <w:tab w:val="left" w:pos="9356"/>
              </w:tabs>
              <w:spacing w:line="240" w:lineRule="auto"/>
              <w:ind w:left="-57" w:right="-57"/>
              <w:rPr>
                <w:rFonts w:asciiTheme="minorHAnsi" w:hAnsiTheme="minorHAnsi"/>
                <w:sz w:val="16"/>
                <w:szCs w:val="16"/>
                <w:vertAlign w:val="superscript"/>
              </w:rPr>
            </w:pPr>
            <w:r w:rsidRPr="0003044A">
              <w:rPr>
                <w:rFonts w:asciiTheme="minorHAnsi" w:hAnsiTheme="minorHAnsi"/>
                <w:i/>
                <w:sz w:val="16"/>
                <w:szCs w:val="16"/>
              </w:rPr>
              <w:t xml:space="preserve">Increase the upper threshold for the 32.5 per cent marginal tax rate from </w:t>
            </w:r>
            <w:r w:rsidR="00293152" w:rsidRPr="0003044A">
              <w:rPr>
                <w:rFonts w:asciiTheme="minorHAnsi" w:hAnsiTheme="minorHAnsi"/>
                <w:i/>
                <w:sz w:val="16"/>
                <w:szCs w:val="16"/>
              </w:rPr>
              <w:t>$</w:t>
            </w:r>
            <w:r w:rsidRPr="0003044A">
              <w:rPr>
                <w:rFonts w:asciiTheme="minorHAnsi" w:hAnsiTheme="minorHAnsi"/>
                <w:i/>
                <w:sz w:val="16"/>
                <w:szCs w:val="16"/>
              </w:rPr>
              <w:t>90,000 to $120,000</w:t>
            </w:r>
          </w:p>
        </w:tc>
        <w:tc>
          <w:tcPr>
            <w:tcW w:w="27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85"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7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91" w:type="pct"/>
            <w:gridSpan w:val="2"/>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8"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-3,750</w:t>
            </w:r>
          </w:p>
        </w:tc>
        <w:tc>
          <w:tcPr>
            <w:tcW w:w="307"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-4,400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-4,800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-5,150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-5,600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-6,150</w:t>
            </w:r>
          </w:p>
        </w:tc>
        <w:tc>
          <w:tcPr>
            <w:tcW w:w="306"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-6,650</w:t>
            </w:r>
          </w:p>
        </w:tc>
        <w:tc>
          <w:tcPr>
            <w:tcW w:w="360"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w:t>
            </w:r>
          </w:p>
        </w:tc>
        <w:tc>
          <w:tcPr>
            <w:tcW w:w="349"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-36,500</w:t>
            </w:r>
          </w:p>
        </w:tc>
      </w:tr>
      <w:tr w:rsidR="004C45B6" w:rsidRPr="003869F7" w:rsidTr="004C45B6">
        <w:tc>
          <w:tcPr>
            <w:cnfStyle w:val="001000000000" w:firstRow="0" w:lastRow="0" w:firstColumn="1" w:lastColumn="0" w:oddVBand="0" w:evenVBand="0" w:oddHBand="0" w:evenHBand="0" w:firstRowFirstColumn="0" w:firstRowLastColumn="0" w:lastRowFirstColumn="0" w:lastRowLastColumn="0"/>
            <w:tcW w:w="1023" w:type="pct"/>
            <w:vAlign w:val="center"/>
          </w:tcPr>
          <w:p w:rsidR="005A1AEC" w:rsidRPr="0003044A" w:rsidDel="0060138D" w:rsidRDefault="005A1AEC" w:rsidP="00E174AF">
            <w:pPr>
              <w:pStyle w:val="TableText"/>
              <w:keepNext/>
              <w:widowControl w:val="0"/>
              <w:tabs>
                <w:tab w:val="left" w:pos="9356"/>
              </w:tabs>
              <w:spacing w:line="240" w:lineRule="auto"/>
              <w:ind w:left="-57" w:right="-57"/>
              <w:rPr>
                <w:rFonts w:asciiTheme="minorHAnsi" w:hAnsiTheme="minorHAnsi"/>
                <w:sz w:val="16"/>
                <w:szCs w:val="16"/>
              </w:rPr>
            </w:pPr>
            <w:r w:rsidRPr="0003044A">
              <w:rPr>
                <w:rFonts w:asciiTheme="minorHAnsi" w:hAnsiTheme="minorHAnsi"/>
                <w:i/>
                <w:sz w:val="16"/>
                <w:szCs w:val="16"/>
              </w:rPr>
              <w:t>Increase the upper threshold for the 19 per cent marginal tax rate from $37,000 to $41,000</w:t>
            </w:r>
          </w:p>
        </w:tc>
        <w:tc>
          <w:tcPr>
            <w:tcW w:w="27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85"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7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91" w:type="pct"/>
            <w:gridSpan w:val="2"/>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8"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-4,950</w:t>
            </w:r>
          </w:p>
        </w:tc>
        <w:tc>
          <w:tcPr>
            <w:tcW w:w="307"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-5,500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-5,700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-5,900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-6,050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-6,250</w:t>
            </w:r>
          </w:p>
        </w:tc>
        <w:tc>
          <w:tcPr>
            <w:tcW w:w="306"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-6,400</w:t>
            </w:r>
          </w:p>
        </w:tc>
        <w:tc>
          <w:tcPr>
            <w:tcW w:w="360"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w:t>
            </w:r>
          </w:p>
        </w:tc>
        <w:tc>
          <w:tcPr>
            <w:tcW w:w="349"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-40,750</w:t>
            </w:r>
          </w:p>
        </w:tc>
      </w:tr>
      <w:tr w:rsidR="004C45B6" w:rsidRPr="003869F7" w:rsidTr="004C45B6">
        <w:tc>
          <w:tcPr>
            <w:cnfStyle w:val="001000000000" w:firstRow="0" w:lastRow="0" w:firstColumn="1" w:lastColumn="0" w:oddVBand="0" w:evenVBand="0" w:oddHBand="0" w:evenHBand="0" w:firstRowFirstColumn="0" w:firstRowLastColumn="0" w:lastRowFirstColumn="0" w:lastRowLastColumn="0"/>
            <w:tcW w:w="1023" w:type="pct"/>
            <w:vAlign w:val="center"/>
          </w:tcPr>
          <w:p w:rsidR="005A1AEC" w:rsidRPr="0003044A" w:rsidDel="0060138D" w:rsidRDefault="005A1AEC" w:rsidP="00922177">
            <w:pPr>
              <w:pStyle w:val="TableText"/>
              <w:keepNext/>
              <w:widowControl w:val="0"/>
              <w:tabs>
                <w:tab w:val="left" w:pos="9356"/>
              </w:tabs>
              <w:spacing w:line="240" w:lineRule="auto"/>
              <w:ind w:left="-57" w:right="-57"/>
              <w:rPr>
                <w:rFonts w:asciiTheme="minorHAnsi" w:hAnsiTheme="minorHAnsi"/>
                <w:sz w:val="16"/>
                <w:szCs w:val="16"/>
                <w:vertAlign w:val="superscript"/>
              </w:rPr>
            </w:pPr>
            <w:r w:rsidRPr="0003044A">
              <w:rPr>
                <w:rFonts w:asciiTheme="minorHAnsi" w:hAnsiTheme="minorHAnsi"/>
                <w:i/>
                <w:sz w:val="16"/>
                <w:szCs w:val="16"/>
              </w:rPr>
              <w:t xml:space="preserve">Increase the Low Income Tax Offset to up to $645 for taxable incomes up to $66,667 </w:t>
            </w:r>
          </w:p>
        </w:tc>
        <w:tc>
          <w:tcPr>
            <w:tcW w:w="27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85"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7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91" w:type="pct"/>
            <w:gridSpan w:val="2"/>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8"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-100</w:t>
            </w:r>
          </w:p>
        </w:tc>
        <w:tc>
          <w:tcPr>
            <w:tcW w:w="307"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-450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-450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-450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-450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-450</w:t>
            </w:r>
          </w:p>
        </w:tc>
        <w:tc>
          <w:tcPr>
            <w:tcW w:w="306"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-400</w:t>
            </w:r>
          </w:p>
        </w:tc>
        <w:tc>
          <w:tcPr>
            <w:tcW w:w="360"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w:t>
            </w:r>
          </w:p>
        </w:tc>
        <w:tc>
          <w:tcPr>
            <w:tcW w:w="349"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-2,750</w:t>
            </w:r>
          </w:p>
        </w:tc>
      </w:tr>
      <w:tr w:rsidR="004C45B6" w:rsidRPr="003869F7" w:rsidTr="004C45B6">
        <w:trPr>
          <w:trHeight w:val="350"/>
        </w:trPr>
        <w:tc>
          <w:tcPr>
            <w:cnfStyle w:val="001000000000" w:firstRow="0" w:lastRow="0" w:firstColumn="1" w:lastColumn="0" w:oddVBand="0" w:evenVBand="0" w:oddHBand="0" w:evenHBand="0" w:firstRowFirstColumn="0" w:firstRowLastColumn="0" w:lastRowFirstColumn="0" w:lastRowLastColumn="0"/>
            <w:tcW w:w="1023" w:type="pct"/>
            <w:vAlign w:val="center"/>
          </w:tcPr>
          <w:p w:rsidR="005A1AEC" w:rsidRPr="0003044A" w:rsidRDefault="005A1AEC" w:rsidP="009A18C2">
            <w:pPr>
              <w:pStyle w:val="TableText"/>
              <w:keepNext/>
              <w:widowControl w:val="0"/>
              <w:tabs>
                <w:tab w:val="left" w:pos="9356"/>
              </w:tabs>
              <w:spacing w:line="240" w:lineRule="auto"/>
              <w:ind w:left="-57" w:right="-57"/>
              <w:rPr>
                <w:rFonts w:asciiTheme="minorHAnsi" w:hAnsiTheme="minorHAnsi"/>
                <w:sz w:val="16"/>
                <w:szCs w:val="16"/>
              </w:rPr>
            </w:pPr>
            <w:r w:rsidRPr="0003044A">
              <w:rPr>
                <w:rFonts w:asciiTheme="minorHAnsi" w:hAnsiTheme="minorHAnsi"/>
                <w:sz w:val="16"/>
                <w:szCs w:val="16"/>
              </w:rPr>
              <w:t>Total revenue – Components commencing from 1 July 2022</w:t>
            </w:r>
          </w:p>
        </w:tc>
        <w:tc>
          <w:tcPr>
            <w:tcW w:w="277" w:type="pct"/>
            <w:tcBorders>
              <w:bottom w:val="single" w:sz="8" w:space="0" w:color="788184" w:themeColor="accent6"/>
            </w:tcBorders>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w:t>
            </w:r>
          </w:p>
        </w:tc>
        <w:tc>
          <w:tcPr>
            <w:tcW w:w="285" w:type="pct"/>
            <w:tcBorders>
              <w:bottom w:val="single" w:sz="8" w:space="0" w:color="788184" w:themeColor="accent6"/>
            </w:tcBorders>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w:t>
            </w:r>
          </w:p>
        </w:tc>
        <w:tc>
          <w:tcPr>
            <w:tcW w:w="277" w:type="pct"/>
            <w:tcBorders>
              <w:bottom w:val="single" w:sz="8" w:space="0" w:color="788184" w:themeColor="accent6"/>
            </w:tcBorders>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w:t>
            </w:r>
          </w:p>
        </w:tc>
        <w:tc>
          <w:tcPr>
            <w:tcW w:w="291" w:type="pct"/>
            <w:gridSpan w:val="2"/>
            <w:tcBorders>
              <w:bottom w:val="single" w:sz="8" w:space="0" w:color="788184" w:themeColor="accent6"/>
            </w:tcBorders>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w:t>
            </w:r>
          </w:p>
        </w:tc>
        <w:tc>
          <w:tcPr>
            <w:tcW w:w="308" w:type="pct"/>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-8,800</w:t>
            </w:r>
          </w:p>
        </w:tc>
        <w:tc>
          <w:tcPr>
            <w:tcW w:w="307" w:type="pct"/>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-10,350</w:t>
            </w:r>
          </w:p>
        </w:tc>
        <w:tc>
          <w:tcPr>
            <w:tcW w:w="304" w:type="pct"/>
            <w:gridSpan w:val="2"/>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-10,950</w:t>
            </w:r>
          </w:p>
        </w:tc>
        <w:tc>
          <w:tcPr>
            <w:tcW w:w="304" w:type="pct"/>
            <w:gridSpan w:val="2"/>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-11,500</w:t>
            </w:r>
          </w:p>
        </w:tc>
        <w:tc>
          <w:tcPr>
            <w:tcW w:w="304" w:type="pct"/>
            <w:gridSpan w:val="2"/>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-12,100</w:t>
            </w:r>
          </w:p>
        </w:tc>
        <w:tc>
          <w:tcPr>
            <w:tcW w:w="304" w:type="pct"/>
            <w:gridSpan w:val="2"/>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-12,850</w:t>
            </w:r>
          </w:p>
        </w:tc>
        <w:tc>
          <w:tcPr>
            <w:tcW w:w="306" w:type="pct"/>
            <w:gridSpan w:val="2"/>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-13,450</w:t>
            </w:r>
          </w:p>
        </w:tc>
        <w:tc>
          <w:tcPr>
            <w:tcW w:w="360" w:type="pct"/>
            <w:tcBorders>
              <w:bottom w:val="single" w:sz="8" w:space="0" w:color="788184" w:themeColor="accent6"/>
            </w:tcBorders>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w:t>
            </w:r>
          </w:p>
        </w:tc>
        <w:tc>
          <w:tcPr>
            <w:tcW w:w="349"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-80,000</w:t>
            </w:r>
          </w:p>
        </w:tc>
      </w:tr>
      <w:tr w:rsidR="004C45B6" w:rsidRPr="003869F7" w:rsidTr="004C45B6">
        <w:tc>
          <w:tcPr>
            <w:cnfStyle w:val="001000000000" w:firstRow="0" w:lastRow="0" w:firstColumn="1" w:lastColumn="0" w:oddVBand="0" w:evenVBand="0" w:oddHBand="0" w:evenHBand="0" w:firstRowFirstColumn="0" w:firstRowLastColumn="0" w:lastRowFirstColumn="0" w:lastRowLastColumn="0"/>
            <w:tcW w:w="1585" w:type="pct"/>
            <w:gridSpan w:val="3"/>
            <w:tcBorders>
              <w:right w:val="nil"/>
            </w:tcBorders>
            <w:vAlign w:val="center"/>
          </w:tcPr>
          <w:p w:rsidR="003869F7" w:rsidRPr="003869F7" w:rsidRDefault="003869F7" w:rsidP="00235BC7">
            <w:pPr>
              <w:pStyle w:val="TableText"/>
              <w:keepNext/>
              <w:widowControl w:val="0"/>
              <w:tabs>
                <w:tab w:val="left" w:pos="9356"/>
              </w:tabs>
              <w:spacing w:line="240" w:lineRule="auto"/>
              <w:ind w:left="-57" w:right="-57"/>
              <w:rPr>
                <w:rFonts w:asciiTheme="minorHAnsi" w:hAnsiTheme="minorHAnsi"/>
                <w:b/>
                <w:bCs w:val="0"/>
                <w:sz w:val="16"/>
                <w:szCs w:val="16"/>
              </w:rPr>
            </w:pPr>
            <w:r w:rsidRPr="0003044A">
              <w:rPr>
                <w:rFonts w:asciiTheme="minorHAnsi" w:hAnsiTheme="minorHAnsi"/>
                <w:b/>
                <w:iCs/>
                <w:color w:val="000000"/>
                <w:sz w:val="16"/>
                <w:szCs w:val="16"/>
              </w:rPr>
              <w:t>Components commencing from 1 July 2024</w:t>
            </w:r>
          </w:p>
        </w:tc>
        <w:tc>
          <w:tcPr>
            <w:tcW w:w="277" w:type="pct"/>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288" w:type="pct"/>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11"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07" w:type="pct"/>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04"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04"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04"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04"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06" w:type="pct"/>
            <w:gridSpan w:val="2"/>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60" w:type="pct"/>
            <w:tcBorders>
              <w:left w:val="nil"/>
              <w:right w:val="nil"/>
            </w:tcBorders>
            <w:vAlign w:val="center"/>
          </w:tcPr>
          <w:p w:rsidR="003869F7" w:rsidRPr="003869F7"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b/>
                <w:bCs/>
                <w:sz w:val="16"/>
                <w:szCs w:val="16"/>
              </w:rPr>
            </w:pPr>
          </w:p>
        </w:tc>
        <w:tc>
          <w:tcPr>
            <w:tcW w:w="351" w:type="pct"/>
            <w:tcBorders>
              <w:left w:val="nil"/>
            </w:tcBorders>
            <w:vAlign w:val="center"/>
          </w:tcPr>
          <w:p w:rsidR="003869F7" w:rsidRPr="0003044A" w:rsidRDefault="003869F7" w:rsidP="00235BC7">
            <w:pPr>
              <w:pStyle w:val="TableText"/>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p>
        </w:tc>
      </w:tr>
      <w:tr w:rsidR="004C45B6" w:rsidRPr="003869F7" w:rsidTr="004C45B6">
        <w:tc>
          <w:tcPr>
            <w:cnfStyle w:val="001000000000" w:firstRow="0" w:lastRow="0" w:firstColumn="1" w:lastColumn="0" w:oddVBand="0" w:evenVBand="0" w:oddHBand="0" w:evenHBand="0" w:firstRowFirstColumn="0" w:firstRowLastColumn="0" w:lastRowFirstColumn="0" w:lastRowLastColumn="0"/>
            <w:tcW w:w="1023" w:type="pct"/>
            <w:vAlign w:val="center"/>
          </w:tcPr>
          <w:p w:rsidR="005A1AEC" w:rsidRPr="0003044A" w:rsidRDefault="005A1AEC" w:rsidP="00D6141C">
            <w:pPr>
              <w:pStyle w:val="TableText"/>
              <w:keepNext/>
              <w:widowControl w:val="0"/>
              <w:tabs>
                <w:tab w:val="left" w:pos="9356"/>
              </w:tabs>
              <w:spacing w:line="240" w:lineRule="auto"/>
              <w:ind w:left="-57" w:right="-57"/>
              <w:rPr>
                <w:rFonts w:asciiTheme="minorHAnsi" w:hAnsiTheme="minorHAnsi"/>
                <w:sz w:val="16"/>
                <w:szCs w:val="16"/>
                <w:vertAlign w:val="superscript"/>
              </w:rPr>
            </w:pPr>
            <w:r w:rsidRPr="0003044A">
              <w:rPr>
                <w:rFonts w:asciiTheme="minorHAnsi" w:hAnsiTheme="minorHAnsi"/>
                <w:i/>
                <w:sz w:val="16"/>
                <w:szCs w:val="16"/>
              </w:rPr>
              <w:t>Increase the lower threshold for the 45 per cent marginal tax rate from $180,001 to $200,001</w:t>
            </w:r>
          </w:p>
        </w:tc>
        <w:tc>
          <w:tcPr>
            <w:tcW w:w="27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85"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7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91" w:type="pct"/>
            <w:gridSpan w:val="2"/>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8"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-1,350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-1,600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-1,800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-2,050</w:t>
            </w:r>
          </w:p>
        </w:tc>
        <w:tc>
          <w:tcPr>
            <w:tcW w:w="306"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-2,250</w:t>
            </w:r>
          </w:p>
        </w:tc>
        <w:tc>
          <w:tcPr>
            <w:tcW w:w="360"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w:t>
            </w:r>
          </w:p>
        </w:tc>
        <w:tc>
          <w:tcPr>
            <w:tcW w:w="349"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-9,050</w:t>
            </w:r>
          </w:p>
        </w:tc>
      </w:tr>
      <w:tr w:rsidR="004C45B6" w:rsidRPr="003869F7" w:rsidTr="004C45B6">
        <w:tc>
          <w:tcPr>
            <w:cnfStyle w:val="001000000000" w:firstRow="0" w:lastRow="0" w:firstColumn="1" w:lastColumn="0" w:oddVBand="0" w:evenVBand="0" w:oddHBand="0" w:evenHBand="0" w:firstRowFirstColumn="0" w:firstRowLastColumn="0" w:lastRowFirstColumn="0" w:lastRowLastColumn="0"/>
            <w:tcW w:w="1023" w:type="pct"/>
            <w:vAlign w:val="center"/>
          </w:tcPr>
          <w:p w:rsidR="005A1AEC" w:rsidRPr="0003044A" w:rsidRDefault="005A1AEC" w:rsidP="0060138D">
            <w:pPr>
              <w:pStyle w:val="TableText"/>
              <w:keepNext/>
              <w:widowControl w:val="0"/>
              <w:tabs>
                <w:tab w:val="left" w:pos="9356"/>
              </w:tabs>
              <w:spacing w:line="240" w:lineRule="auto"/>
              <w:ind w:left="-57" w:right="-57"/>
              <w:rPr>
                <w:rFonts w:asciiTheme="minorHAnsi" w:hAnsiTheme="minorHAnsi"/>
                <w:sz w:val="16"/>
                <w:szCs w:val="16"/>
                <w:vertAlign w:val="superscript"/>
              </w:rPr>
            </w:pPr>
            <w:r w:rsidRPr="0003044A">
              <w:rPr>
                <w:rFonts w:asciiTheme="minorHAnsi" w:hAnsiTheme="minorHAnsi"/>
                <w:i/>
                <w:sz w:val="16"/>
                <w:szCs w:val="16"/>
              </w:rPr>
              <w:t>Remove the 37 per cent marginal tax rate, so that all income from $41,001 to $200,000 is taxed at a marginal rate of 32.5 per cent</w:t>
            </w:r>
          </w:p>
        </w:tc>
        <w:tc>
          <w:tcPr>
            <w:tcW w:w="27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85"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7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91" w:type="pct"/>
            <w:gridSpan w:val="2"/>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8"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-4,900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-5,800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-6,500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-7,250</w:t>
            </w:r>
          </w:p>
        </w:tc>
        <w:tc>
          <w:tcPr>
            <w:tcW w:w="306"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-8,100</w:t>
            </w:r>
          </w:p>
        </w:tc>
        <w:tc>
          <w:tcPr>
            <w:tcW w:w="360"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w:t>
            </w:r>
          </w:p>
        </w:tc>
        <w:tc>
          <w:tcPr>
            <w:tcW w:w="349"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-32,550</w:t>
            </w:r>
          </w:p>
        </w:tc>
      </w:tr>
      <w:tr w:rsidR="004C45B6" w:rsidRPr="003869F7" w:rsidTr="004C45B6">
        <w:tc>
          <w:tcPr>
            <w:cnfStyle w:val="001000000000" w:firstRow="0" w:lastRow="0" w:firstColumn="1" w:lastColumn="0" w:oddVBand="0" w:evenVBand="0" w:oddHBand="0" w:evenHBand="0" w:firstRowFirstColumn="0" w:firstRowLastColumn="0" w:lastRowFirstColumn="0" w:lastRowLastColumn="0"/>
            <w:tcW w:w="1023" w:type="pct"/>
            <w:vAlign w:val="center"/>
          </w:tcPr>
          <w:p w:rsidR="005A1AEC" w:rsidRPr="0003044A" w:rsidRDefault="005A1AEC" w:rsidP="00355421">
            <w:pPr>
              <w:pStyle w:val="TableText"/>
              <w:keepNext/>
              <w:widowControl w:val="0"/>
              <w:tabs>
                <w:tab w:val="left" w:pos="9356"/>
              </w:tabs>
              <w:spacing w:line="240" w:lineRule="auto"/>
              <w:ind w:left="-57" w:right="-57"/>
              <w:rPr>
                <w:rFonts w:asciiTheme="minorHAnsi" w:hAnsiTheme="minorHAnsi"/>
                <w:b/>
                <w:sz w:val="16"/>
                <w:szCs w:val="16"/>
              </w:rPr>
            </w:pPr>
            <w:r w:rsidRPr="0003044A">
              <w:rPr>
                <w:rFonts w:asciiTheme="minorHAnsi" w:hAnsiTheme="minorHAnsi"/>
                <w:sz w:val="16"/>
                <w:szCs w:val="16"/>
              </w:rPr>
              <w:t>Total revenue – Components commencing from 1 July 2024</w:t>
            </w:r>
          </w:p>
        </w:tc>
        <w:tc>
          <w:tcPr>
            <w:tcW w:w="27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85"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7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291" w:type="pct"/>
            <w:gridSpan w:val="2"/>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8"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7"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sz w:val="16"/>
                <w:szCs w:val="16"/>
              </w:rPr>
            </w:pPr>
            <w:r w:rsidRPr="0003044A">
              <w:rPr>
                <w:rFonts w:asciiTheme="minorHAnsi" w:hAnsiTheme="minorHAnsi"/>
                <w:i/>
                <w:iCs/>
                <w:color w:val="000000"/>
                <w:sz w:val="16"/>
                <w:szCs w:val="16"/>
              </w:rPr>
              <w:t>-</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-6,250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-7,400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-8,300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-9,300</w:t>
            </w:r>
          </w:p>
        </w:tc>
        <w:tc>
          <w:tcPr>
            <w:tcW w:w="306"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iCs/>
                <w:color w:val="000000"/>
                <w:sz w:val="16"/>
                <w:szCs w:val="16"/>
              </w:rPr>
            </w:pPr>
            <w:r w:rsidRPr="0003044A">
              <w:rPr>
                <w:rFonts w:asciiTheme="minorHAnsi" w:hAnsiTheme="minorHAnsi"/>
                <w:iCs/>
                <w:color w:val="000000"/>
                <w:sz w:val="16"/>
                <w:szCs w:val="16"/>
              </w:rPr>
              <w:t>-10,350</w:t>
            </w:r>
          </w:p>
        </w:tc>
        <w:tc>
          <w:tcPr>
            <w:tcW w:w="360" w:type="pct"/>
            <w:vAlign w:val="center"/>
          </w:tcPr>
          <w:p w:rsidR="005A1AEC" w:rsidRPr="0003044A" w:rsidRDefault="005A1AEC" w:rsidP="00D14D52">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00"/>
                <w:sz w:val="16"/>
                <w:szCs w:val="16"/>
              </w:rPr>
            </w:pPr>
            <w:r w:rsidRPr="0003044A">
              <w:rPr>
                <w:rFonts w:asciiTheme="minorHAnsi" w:hAnsiTheme="minorHAnsi"/>
                <w:b/>
                <w:i/>
                <w:iCs/>
                <w:color w:val="000000"/>
                <w:sz w:val="16"/>
                <w:szCs w:val="16"/>
              </w:rPr>
              <w:t>-</w:t>
            </w:r>
          </w:p>
        </w:tc>
        <w:tc>
          <w:tcPr>
            <w:tcW w:w="349"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-41,600</w:t>
            </w:r>
          </w:p>
        </w:tc>
      </w:tr>
      <w:tr w:rsidR="004C45B6" w:rsidRPr="003869F7" w:rsidTr="004C45B6">
        <w:tc>
          <w:tcPr>
            <w:cnfStyle w:val="001000000000" w:firstRow="0" w:lastRow="0" w:firstColumn="1" w:lastColumn="0" w:oddVBand="0" w:evenVBand="0" w:oddHBand="0" w:evenHBand="0" w:firstRowFirstColumn="0" w:firstRowLastColumn="0" w:lastRowFirstColumn="0" w:lastRowLastColumn="0"/>
            <w:tcW w:w="1023" w:type="pct"/>
            <w:vAlign w:val="center"/>
          </w:tcPr>
          <w:p w:rsidR="005A1AEC" w:rsidRPr="0003044A" w:rsidRDefault="005A1AEC">
            <w:pPr>
              <w:pStyle w:val="TableText"/>
              <w:keepNext/>
              <w:widowControl w:val="0"/>
              <w:tabs>
                <w:tab w:val="left" w:pos="9356"/>
              </w:tabs>
              <w:spacing w:line="240" w:lineRule="auto"/>
              <w:ind w:left="-57" w:right="-57"/>
              <w:rPr>
                <w:rFonts w:asciiTheme="minorHAnsi" w:hAnsiTheme="minorHAnsi"/>
                <w:b/>
                <w:sz w:val="16"/>
                <w:szCs w:val="16"/>
              </w:rPr>
            </w:pPr>
            <w:r w:rsidRPr="0003044A">
              <w:rPr>
                <w:rFonts w:asciiTheme="minorHAnsi" w:hAnsiTheme="minorHAnsi"/>
                <w:b/>
                <w:sz w:val="16"/>
                <w:szCs w:val="16"/>
              </w:rPr>
              <w:t>Total revenue</w:t>
            </w:r>
          </w:p>
        </w:tc>
        <w:tc>
          <w:tcPr>
            <w:tcW w:w="277"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-360</w:t>
            </w:r>
          </w:p>
        </w:tc>
        <w:tc>
          <w:tcPr>
            <w:tcW w:w="285"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-4,120</w:t>
            </w:r>
          </w:p>
        </w:tc>
        <w:tc>
          <w:tcPr>
            <w:tcW w:w="277"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-4,420</w:t>
            </w:r>
          </w:p>
        </w:tc>
        <w:tc>
          <w:tcPr>
            <w:tcW w:w="291"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-4,500</w:t>
            </w:r>
          </w:p>
        </w:tc>
        <w:tc>
          <w:tcPr>
            <w:tcW w:w="308"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-13,400</w:t>
            </w:r>
          </w:p>
        </w:tc>
        <w:tc>
          <w:tcPr>
            <w:tcW w:w="307"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-11,150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-17,850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-19,550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-21,100</w:t>
            </w:r>
          </w:p>
        </w:tc>
        <w:tc>
          <w:tcPr>
            <w:tcW w:w="304"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-22,900</w:t>
            </w:r>
          </w:p>
        </w:tc>
        <w:tc>
          <w:tcPr>
            <w:tcW w:w="306" w:type="pct"/>
            <w:gridSpan w:val="2"/>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-24,600</w:t>
            </w:r>
          </w:p>
        </w:tc>
        <w:tc>
          <w:tcPr>
            <w:tcW w:w="360"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-13,400</w:t>
            </w:r>
          </w:p>
        </w:tc>
        <w:tc>
          <w:tcPr>
            <w:tcW w:w="349" w:type="pct"/>
            <w:vAlign w:val="center"/>
          </w:tcPr>
          <w:p w:rsidR="005A1AEC" w:rsidRPr="0003044A" w:rsidRDefault="005A1AEC" w:rsidP="005A1AEC">
            <w:pPr>
              <w:pStyle w:val="TableText"/>
              <w:keepNext/>
              <w:widowControl w:val="0"/>
              <w:tabs>
                <w:tab w:val="left" w:pos="9356"/>
              </w:tabs>
              <w:spacing w:line="240" w:lineRule="auto"/>
              <w:ind w:left="-57" w:right="-57"/>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iCs/>
                <w:color w:val="000000"/>
                <w:sz w:val="16"/>
                <w:szCs w:val="16"/>
              </w:rPr>
            </w:pPr>
            <w:r w:rsidRPr="0003044A">
              <w:rPr>
                <w:rFonts w:asciiTheme="minorHAnsi" w:hAnsiTheme="minorHAnsi"/>
                <w:b/>
                <w:iCs/>
                <w:color w:val="000000"/>
                <w:sz w:val="16"/>
                <w:szCs w:val="16"/>
              </w:rPr>
              <w:t>-143,950</w:t>
            </w:r>
          </w:p>
        </w:tc>
      </w:tr>
    </w:tbl>
    <w:p w:rsidR="00EF1A1B" w:rsidRPr="0003044A" w:rsidRDefault="00EF1A1B" w:rsidP="00355421">
      <w:pPr>
        <w:keepNext/>
        <w:widowControl w:val="0"/>
        <w:tabs>
          <w:tab w:val="left" w:pos="9356"/>
        </w:tabs>
        <w:spacing w:line="260" w:lineRule="atLeast"/>
        <w:ind w:left="284" w:hanging="284"/>
        <w:rPr>
          <w:sz w:val="16"/>
          <w:szCs w:val="16"/>
        </w:rPr>
      </w:pPr>
      <w:r w:rsidRPr="0003044A">
        <w:rPr>
          <w:sz w:val="16"/>
          <w:szCs w:val="16"/>
        </w:rPr>
        <w:t>(a)</w:t>
      </w:r>
      <w:r w:rsidRPr="0003044A">
        <w:rPr>
          <w:sz w:val="16"/>
          <w:szCs w:val="16"/>
        </w:rPr>
        <w:tab/>
      </w:r>
      <w:r w:rsidRPr="0003044A">
        <w:rPr>
          <w:spacing w:val="-1"/>
          <w:sz w:val="16"/>
          <w:szCs w:val="16"/>
        </w:rPr>
        <w:t xml:space="preserve">A positive number for the fiscal balance indicates an increase in revenue or a decrease in expenses or net capital investment in accrual terms.  A negative number for the fiscal balance indicates a decrease in revenue or an increase in expenses or net capital investment in accrual terms.  A positive number for the underlying cash balance indicates an increase in receipts or a decrease in payments or net capital investment in cash terms.  A negative number for the underlying cash balance indicates a decrease in receipts or an increase in payments or net capital investment in cash terms. </w:t>
      </w:r>
      <w:r w:rsidRPr="0003044A">
        <w:rPr>
          <w:sz w:val="16"/>
          <w:szCs w:val="16"/>
        </w:rPr>
        <w:t xml:space="preserve"> </w:t>
      </w:r>
    </w:p>
    <w:p w:rsidR="0060138D" w:rsidRPr="0003044A" w:rsidRDefault="0060138D" w:rsidP="009A18C2">
      <w:pPr>
        <w:keepNext/>
        <w:widowControl w:val="0"/>
        <w:tabs>
          <w:tab w:val="left" w:pos="9356"/>
        </w:tabs>
        <w:spacing w:line="260" w:lineRule="atLeast"/>
        <w:ind w:left="284" w:hanging="284"/>
        <w:rPr>
          <w:sz w:val="16"/>
          <w:szCs w:val="16"/>
        </w:rPr>
      </w:pPr>
      <w:r w:rsidRPr="0003044A">
        <w:rPr>
          <w:sz w:val="16"/>
          <w:szCs w:val="16"/>
        </w:rPr>
        <w:t>(b)</w:t>
      </w:r>
      <w:r w:rsidRPr="0003044A">
        <w:rPr>
          <w:sz w:val="16"/>
          <w:szCs w:val="16"/>
        </w:rPr>
        <w:tab/>
        <w:t>Figures may not sum to totals due to rounding.</w:t>
      </w:r>
    </w:p>
    <w:p w:rsidR="0060138D" w:rsidRPr="0003044A" w:rsidRDefault="00235BC7" w:rsidP="009A18C2">
      <w:pPr>
        <w:keepNext/>
        <w:widowControl w:val="0"/>
        <w:tabs>
          <w:tab w:val="left" w:pos="9356"/>
        </w:tabs>
        <w:spacing w:line="260" w:lineRule="atLeast"/>
        <w:ind w:left="284" w:hanging="284"/>
        <w:rPr>
          <w:sz w:val="16"/>
          <w:szCs w:val="16"/>
        </w:rPr>
      </w:pPr>
      <w:r w:rsidRPr="0003044A">
        <w:rPr>
          <w:sz w:val="16"/>
          <w:szCs w:val="16"/>
        </w:rPr>
        <w:t>(</w:t>
      </w:r>
      <w:r w:rsidR="00203D0B" w:rsidRPr="0003044A">
        <w:rPr>
          <w:sz w:val="16"/>
          <w:szCs w:val="16"/>
        </w:rPr>
        <w:t>c</w:t>
      </w:r>
      <w:r w:rsidRPr="0003044A">
        <w:rPr>
          <w:sz w:val="16"/>
          <w:szCs w:val="16"/>
        </w:rPr>
        <w:t>)</w:t>
      </w:r>
      <w:r w:rsidRPr="0003044A">
        <w:rPr>
          <w:sz w:val="16"/>
          <w:szCs w:val="16"/>
        </w:rPr>
        <w:tab/>
        <w:t>Estimates over the 2018-19 Budget forward estimates period are set equal to those detailed in the 2018</w:t>
      </w:r>
      <w:r w:rsidRPr="0003044A">
        <w:rPr>
          <w:sz w:val="16"/>
          <w:szCs w:val="16"/>
        </w:rPr>
        <w:noBreakHyphen/>
        <w:t>19 Budget</w:t>
      </w:r>
      <w:r w:rsidR="00021A84" w:rsidRPr="0003044A">
        <w:rPr>
          <w:sz w:val="16"/>
          <w:szCs w:val="16"/>
        </w:rPr>
        <w:t xml:space="preserve"> and information subsequently released at Senate</w:t>
      </w:r>
      <w:r w:rsidR="00293152" w:rsidRPr="0003044A">
        <w:rPr>
          <w:sz w:val="16"/>
          <w:szCs w:val="16"/>
        </w:rPr>
        <w:t> </w:t>
      </w:r>
      <w:r w:rsidR="00021A84" w:rsidRPr="0003044A">
        <w:rPr>
          <w:sz w:val="16"/>
          <w:szCs w:val="16"/>
        </w:rPr>
        <w:t>Estimates on 29 May 2018</w:t>
      </w:r>
      <w:r w:rsidRPr="0003044A">
        <w:rPr>
          <w:sz w:val="16"/>
          <w:szCs w:val="16"/>
        </w:rPr>
        <w:t>.</w:t>
      </w:r>
      <w:r w:rsidR="004F3E11" w:rsidRPr="0003044A" w:rsidDel="005830DE">
        <w:rPr>
          <w:sz w:val="16"/>
          <w:szCs w:val="16"/>
        </w:rPr>
        <w:t xml:space="preserve"> </w:t>
      </w:r>
      <w:r w:rsidR="00B91AA6">
        <w:rPr>
          <w:sz w:val="16"/>
          <w:szCs w:val="16"/>
        </w:rPr>
        <w:t xml:space="preserve"> PBO estimates from 2022-23 to 2028-29.</w:t>
      </w:r>
    </w:p>
    <w:p w:rsidR="00054F9F" w:rsidRPr="00054F9F" w:rsidRDefault="00EF1A1B" w:rsidP="00054F9F">
      <w:pPr>
        <w:pStyle w:val="TableFootnotes"/>
        <w:keepLines w:val="0"/>
        <w:numPr>
          <w:ilvl w:val="0"/>
          <w:numId w:val="11"/>
        </w:numPr>
        <w:tabs>
          <w:tab w:val="left" w:pos="9356"/>
        </w:tabs>
        <w:ind w:left="284" w:hanging="284"/>
      </w:pPr>
      <w:r w:rsidRPr="0003044A">
        <w:rPr>
          <w:sz w:val="16"/>
          <w:szCs w:val="16"/>
        </w:rPr>
        <w:t>Indicates nil.</w:t>
      </w:r>
    </w:p>
    <w:sectPr w:rsidR="00054F9F" w:rsidRPr="00054F9F" w:rsidSect="00054F9F">
      <w:footerReference w:type="default" r:id="rId15"/>
      <w:pgSz w:w="11907" w:h="16839" w:code="9"/>
      <w:pgMar w:top="1134" w:right="992" w:bottom="1134" w:left="992" w:header="284" w:footer="45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21" w:rsidRDefault="00355421" w:rsidP="00A20802">
      <w:pPr>
        <w:spacing w:line="240" w:lineRule="auto"/>
      </w:pPr>
      <w:r>
        <w:separator/>
      </w:r>
    </w:p>
    <w:p w:rsidR="00355421" w:rsidRDefault="00355421"/>
    <w:p w:rsidR="00355421" w:rsidRDefault="00355421"/>
  </w:endnote>
  <w:endnote w:type="continuationSeparator" w:id="0">
    <w:p w:rsidR="00355421" w:rsidRDefault="00355421" w:rsidP="00A20802">
      <w:pPr>
        <w:spacing w:line="240" w:lineRule="auto"/>
      </w:pPr>
      <w:r>
        <w:continuationSeparator/>
      </w:r>
    </w:p>
    <w:p w:rsidR="00355421" w:rsidRDefault="00355421"/>
    <w:p w:rsidR="00355421" w:rsidRDefault="00355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FE" w:rsidRDefault="00757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D48" w:rsidRPr="00015E04" w:rsidRDefault="00C91D48" w:rsidP="0003044A">
    <w:pPr>
      <w:pStyle w:val="Footer"/>
      <w:tabs>
        <w:tab w:val="center" w:pos="4536"/>
        <w:tab w:val="right" w:pos="9072"/>
      </w:tabs>
      <w:spacing w:before="120"/>
      <w:rPr>
        <w:rFonts w:ascii="Calibri" w:hAnsi="Calibri" w:cs="Arial"/>
        <w:color w:val="FF0000"/>
        <w:sz w:val="40"/>
        <w:szCs w:val="40"/>
      </w:rPr>
    </w:pPr>
    <w:r>
      <w:rPr>
        <w:rStyle w:val="FooterChar"/>
        <w:rFonts w:ascii="Calibri" w:hAnsi="Calibri" w:cs="Arial"/>
        <w:b/>
        <w:color w:val="FF0000"/>
        <w:sz w:val="40"/>
        <w:szCs w:val="40"/>
      </w:rPr>
      <w:tab/>
    </w:r>
    <w:bookmarkStart w:id="0" w:name="_GoBack"/>
    <w:bookmarkEnd w:id="0"/>
    <w:r w:rsidRPr="002621C3">
      <w:rPr>
        <w:rStyle w:val="FooterChar"/>
        <w:rFonts w:ascii="Calibri" w:hAnsi="Calibri" w:cs="Arial"/>
        <w:b/>
        <w:strike/>
        <w:color w:val="FF0000"/>
        <w:sz w:val="40"/>
        <w:szCs w:val="40"/>
      </w:rPr>
      <w:t>Sensitive</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7579FE">
      <w:rPr>
        <w:rStyle w:val="FooterChar"/>
        <w:b/>
        <w:noProof/>
      </w:rPr>
      <w:t>2</w:t>
    </w:r>
    <w:r w:rsidRPr="002C4DA6">
      <w:rPr>
        <w:rStyle w:val="FooterChar"/>
        <w:b/>
      </w:rPr>
      <w:fldChar w:fldCharType="end"/>
    </w:r>
    <w:r w:rsidRPr="002C4DA6">
      <w:rPr>
        <w:rStyle w:val="FooterChar"/>
        <w:b/>
      </w:rPr>
      <w:t xml:space="preserve"> o</w:t>
    </w:r>
    <w:r w:rsidRPr="002621C3">
      <w:rPr>
        <w:rStyle w:val="FooterChar"/>
        <w:b/>
      </w:rPr>
      <w:t xml:space="preserve">f </w:t>
    </w:r>
    <w:r w:rsidR="002621C3">
      <w:rPr>
        <w:rStyle w:val="FooterChar"/>
        <w:b/>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94" w:rsidRPr="0092487F" w:rsidRDefault="00BD6D94" w:rsidP="0003044A">
    <w:pPr>
      <w:pStyle w:val="Footer"/>
      <w:tabs>
        <w:tab w:val="center" w:pos="4536"/>
        <w:tab w:val="right" w:pos="9071"/>
      </w:tabs>
      <w:rPr>
        <w:rFonts w:ascii="Calibri" w:hAnsi="Calibri" w:cs="Arial"/>
        <w:b w:val="0"/>
        <w:color w:val="FF0000"/>
        <w:sz w:val="40"/>
        <w:szCs w:val="40"/>
      </w:rPr>
    </w:pPr>
    <w:r w:rsidRPr="0092487F">
      <w:rPr>
        <w:rStyle w:val="FooterChar"/>
        <w:rFonts w:ascii="Calibri" w:hAnsi="Calibri"/>
        <w:b/>
      </w:rPr>
      <w:t xml:space="preserve">PBO reference </w:t>
    </w:r>
    <w:proofErr w:type="spellStart"/>
    <w:r w:rsidRPr="0092487F">
      <w:rPr>
        <w:rStyle w:val="FooterChar"/>
        <w:rFonts w:ascii="Calibri" w:hAnsi="Calibri"/>
        <w:b/>
      </w:rPr>
      <w:t>PR18</w:t>
    </w:r>
    <w:proofErr w:type="spellEnd"/>
    <w:r w:rsidRPr="0092487F">
      <w:rPr>
        <w:rStyle w:val="FooterChar"/>
        <w:rFonts w:ascii="Calibri" w:hAnsi="Calibri"/>
        <w:b/>
      </w:rPr>
      <w:t>/00</w:t>
    </w:r>
    <w:r w:rsidR="00112CDA" w:rsidRPr="0092487F">
      <w:rPr>
        <w:rStyle w:val="FooterChar"/>
        <w:rFonts w:ascii="Calibri" w:hAnsi="Calibri"/>
        <w:b/>
      </w:rPr>
      <w:t>27</w:t>
    </w:r>
    <w:r w:rsidRPr="0092487F">
      <w:rPr>
        <w:rStyle w:val="FooterChar"/>
        <w:rFonts w:ascii="Calibri" w:hAnsi="Calibri"/>
        <w:b/>
      </w:rPr>
      <w:t>4</w:t>
    </w:r>
    <w:r w:rsidRPr="0092487F">
      <w:rPr>
        <w:rStyle w:val="FooterChar"/>
        <w:rFonts w:ascii="Calibri" w:hAnsi="Calibri"/>
        <w:b/>
        <w:sz w:val="20"/>
        <w:szCs w:val="20"/>
      </w:rPr>
      <w:tab/>
    </w:r>
    <w:r w:rsidRPr="002621C3">
      <w:rPr>
        <w:rStyle w:val="FooterChar"/>
        <w:rFonts w:ascii="Calibri" w:hAnsi="Calibri"/>
        <w:b/>
        <w:strike/>
        <w:color w:val="FF0000"/>
        <w:sz w:val="40"/>
        <w:szCs w:val="40"/>
      </w:rPr>
      <w:t>Sensitive</w:t>
    </w:r>
    <w:r w:rsidRPr="0092487F">
      <w:rPr>
        <w:rStyle w:val="FooterChar"/>
        <w:rFonts w:ascii="Calibri" w:hAnsi="Calibri"/>
        <w:b/>
        <w:color w:val="FF0000"/>
        <w:sz w:val="40"/>
        <w:szCs w:val="40"/>
      </w:rPr>
      <w:tab/>
    </w:r>
    <w:r w:rsidRPr="0092487F">
      <w:rPr>
        <w:rStyle w:val="FooterChar"/>
        <w:b/>
      </w:rPr>
      <w:t xml:space="preserve">Page </w:t>
    </w:r>
    <w:r w:rsidRPr="0092487F">
      <w:rPr>
        <w:rStyle w:val="FooterChar"/>
        <w:rFonts w:ascii="Arial" w:hAnsi="Arial" w:cs="Arial"/>
        <w:b/>
        <w:sz w:val="17"/>
        <w:szCs w:val="17"/>
      </w:rPr>
      <w:fldChar w:fldCharType="begin"/>
    </w:r>
    <w:r w:rsidRPr="0092487F">
      <w:rPr>
        <w:rStyle w:val="FooterChar"/>
        <w:b/>
      </w:rPr>
      <w:instrText xml:space="preserve"> PAGE  \* Arabic  \* MERGEFORMAT </w:instrText>
    </w:r>
    <w:r w:rsidRPr="0092487F">
      <w:rPr>
        <w:rStyle w:val="FooterChar"/>
        <w:rFonts w:ascii="Arial" w:hAnsi="Arial" w:cs="Arial"/>
        <w:b/>
        <w:sz w:val="17"/>
        <w:szCs w:val="17"/>
      </w:rPr>
      <w:fldChar w:fldCharType="separate"/>
    </w:r>
    <w:r w:rsidR="007579FE">
      <w:rPr>
        <w:rStyle w:val="FooterChar"/>
        <w:b/>
        <w:noProof/>
      </w:rPr>
      <w:t>1</w:t>
    </w:r>
    <w:r w:rsidRPr="0092487F">
      <w:rPr>
        <w:rStyle w:val="FooterChar"/>
        <w:rFonts w:ascii="Arial" w:hAnsi="Arial" w:cs="Arial"/>
        <w:b/>
        <w:sz w:val="17"/>
        <w:szCs w:val="17"/>
      </w:rPr>
      <w:fldChar w:fldCharType="end"/>
    </w:r>
    <w:r w:rsidRPr="0092487F">
      <w:rPr>
        <w:rStyle w:val="FooterChar"/>
        <w:b/>
      </w:rPr>
      <w:t xml:space="preserve"> of </w:t>
    </w:r>
    <w:r w:rsidR="007579FE" w:rsidRPr="007579FE">
      <w:rPr>
        <w:rStyle w:val="FooterChar"/>
        <w:rFonts w:cs="Arial"/>
        <w:b/>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94" w:rsidRPr="00015E04" w:rsidRDefault="00BD6D94">
    <w:pPr>
      <w:pStyle w:val="Footer"/>
      <w:tabs>
        <w:tab w:val="center" w:pos="4962"/>
        <w:tab w:val="right" w:pos="9923"/>
      </w:tabs>
      <w:spacing w:before="120"/>
      <w:rPr>
        <w:rFonts w:ascii="Calibri" w:hAnsi="Calibri" w:cs="Arial"/>
        <w:color w:val="FF0000"/>
        <w:sz w:val="40"/>
        <w:szCs w:val="40"/>
      </w:rPr>
    </w:pPr>
    <w:r>
      <w:rPr>
        <w:rStyle w:val="FooterChar"/>
        <w:rFonts w:ascii="Calibri" w:hAnsi="Calibri" w:cs="Arial"/>
        <w:b/>
        <w:color w:val="FF0000"/>
        <w:sz w:val="40"/>
        <w:szCs w:val="40"/>
      </w:rPr>
      <w:tab/>
    </w:r>
    <w:r w:rsidRPr="002621C3">
      <w:rPr>
        <w:rStyle w:val="FooterChar"/>
        <w:rFonts w:ascii="Calibri" w:hAnsi="Calibri" w:cs="Arial"/>
        <w:b/>
        <w:strike/>
        <w:color w:val="FF0000"/>
        <w:sz w:val="40"/>
        <w:szCs w:val="40"/>
      </w:rPr>
      <w:t>Sensitive</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7579FE">
      <w:rPr>
        <w:rStyle w:val="FooterChar"/>
        <w:b/>
        <w:noProof/>
      </w:rPr>
      <w:t>3</w:t>
    </w:r>
    <w:r w:rsidRPr="002C4DA6">
      <w:rPr>
        <w:rStyle w:val="FooterChar"/>
        <w:b/>
      </w:rPr>
      <w:fldChar w:fldCharType="end"/>
    </w:r>
    <w:r w:rsidRPr="002C4DA6">
      <w:rPr>
        <w:rStyle w:val="FooterChar"/>
        <w:b/>
      </w:rPr>
      <w:t xml:space="preserve"> of </w:t>
    </w:r>
    <w:r w:rsidR="002621C3">
      <w:rPr>
        <w:rStyle w:val="FooterChar"/>
        <w:b/>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21" w:rsidRPr="000557A7" w:rsidRDefault="00355421" w:rsidP="008D5A11">
      <w:pPr>
        <w:pBdr>
          <w:top w:val="single" w:sz="4" w:space="1" w:color="auto"/>
        </w:pBdr>
        <w:spacing w:before="240" w:line="60" w:lineRule="exact"/>
        <w:rPr>
          <w:sz w:val="16"/>
          <w:szCs w:val="16"/>
        </w:rPr>
      </w:pPr>
    </w:p>
    <w:p w:rsidR="00355421" w:rsidRDefault="00355421"/>
  </w:footnote>
  <w:footnote w:type="continuationSeparator" w:id="0">
    <w:p w:rsidR="00355421" w:rsidRDefault="00355421" w:rsidP="00A20802">
      <w:pPr>
        <w:spacing w:line="240" w:lineRule="auto"/>
      </w:pPr>
      <w:r>
        <w:continuationSeparator/>
      </w:r>
    </w:p>
    <w:p w:rsidR="00355421" w:rsidRDefault="00355421"/>
    <w:p w:rsidR="00355421" w:rsidRDefault="003554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FE" w:rsidRDefault="00757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94" w:rsidRPr="002621C3" w:rsidRDefault="00BD6D94" w:rsidP="00BD6D94">
    <w:pPr>
      <w:pStyle w:val="Header"/>
      <w:jc w:val="center"/>
      <w:rPr>
        <w:rFonts w:ascii="Calibri" w:hAnsi="Calibri"/>
        <w:b/>
        <w:strike/>
        <w:color w:val="FF0000"/>
        <w:sz w:val="40"/>
        <w:szCs w:val="40"/>
      </w:rPr>
    </w:pPr>
    <w:r w:rsidRPr="002621C3">
      <w:rPr>
        <w:rFonts w:ascii="Calibri" w:hAnsi="Calibri"/>
        <w:b/>
        <w:strike/>
        <w:color w:val="FF0000"/>
        <w:sz w:val="40"/>
        <w:szCs w:val="40"/>
      </w:rPr>
      <w:t>Sensitive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94" w:rsidRPr="002621C3" w:rsidRDefault="00BD6D94" w:rsidP="00BD6D94">
    <w:pPr>
      <w:pStyle w:val="Header"/>
      <w:jc w:val="center"/>
      <w:rPr>
        <w:rFonts w:ascii="Calibri" w:hAnsi="Calibri"/>
        <w:b/>
        <w:strike/>
        <w:color w:val="FF0000"/>
        <w:sz w:val="40"/>
        <w:szCs w:val="40"/>
      </w:rPr>
    </w:pPr>
    <w:r w:rsidRPr="002621C3">
      <w:rPr>
        <w:rFonts w:ascii="Calibri" w:hAnsi="Calibri"/>
        <w:b/>
        <w:strike/>
        <w:color w:val="FF0000"/>
        <w:sz w:val="40"/>
        <w:szCs w:val="40"/>
      </w:rPr>
      <w:t>Sensitive</w:t>
    </w:r>
  </w:p>
  <w:p w:rsidR="00BD6D94" w:rsidRPr="00DD64DC" w:rsidRDefault="00BD6D94" w:rsidP="0003044A">
    <w:pPr>
      <w:pStyle w:val="Header"/>
      <w:rPr>
        <w:sz w:val="19"/>
        <w:szCs w:val="19"/>
      </w:rPr>
    </w:pPr>
    <w:r>
      <w:rPr>
        <w:noProof/>
        <w:lang w:eastAsia="en-AU"/>
      </w:rPr>
      <w:drawing>
        <wp:inline distT="0" distB="0" distL="0" distR="0" wp14:anchorId="48E3F722" wp14:editId="6C8C9FED">
          <wp:extent cx="2696845" cy="572135"/>
          <wp:effectExtent l="0" t="0" r="8255" b="0"/>
          <wp:docPr id="2" name="Picture 2" title="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640"/>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8B37FE"/>
    <w:multiLevelType w:val="multilevel"/>
    <w:tmpl w:val="B9B6093C"/>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nsid w:val="09AD6A00"/>
    <w:multiLevelType w:val="hybridMultilevel"/>
    <w:tmpl w:val="4B3A4D4E"/>
    <w:lvl w:ilvl="0" w:tplc="18CCC816">
      <w:start w:val="1"/>
      <w:numFmt w:val="lowerLetter"/>
      <w:lvlText w:val="(%1)"/>
      <w:lvlJc w:val="left"/>
      <w:pPr>
        <w:ind w:left="720" w:hanging="360"/>
      </w:pPr>
      <w:rPr>
        <w:rFonts w:ascii="Calibri" w:hAnsi="Calibri"/>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745448"/>
    <w:multiLevelType w:val="multilevel"/>
    <w:tmpl w:val="34483270"/>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4">
    <w:nsid w:val="0FB2573F"/>
    <w:multiLevelType w:val="multilevel"/>
    <w:tmpl w:val="CCB018EE"/>
    <w:lvl w:ilvl="0">
      <w:start w:val="1"/>
      <w:numFmt w:val="lowerLetter"/>
      <w:pStyle w:val="TableFootnotes"/>
      <w:lvlText w:val="(%1)"/>
      <w:lvlJc w:val="left"/>
      <w:pPr>
        <w:ind w:left="360" w:hanging="360"/>
      </w:pPr>
      <w:rPr>
        <w:rFonts w:hint="default"/>
        <w:color w:val="auto"/>
        <w:spacing w:val="0"/>
        <w:sz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5">
    <w:nsid w:val="147F785F"/>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nsid w:val="1A154848"/>
    <w:multiLevelType w:val="hybridMultilevel"/>
    <w:tmpl w:val="09B261B0"/>
    <w:lvl w:ilvl="0" w:tplc="0652CEDE">
      <w:start w:val="1"/>
      <w:numFmt w:val="bullet"/>
      <w:pStyle w:val="Letter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975442"/>
    <w:multiLevelType w:val="hybridMultilevel"/>
    <w:tmpl w:val="7E50674C"/>
    <w:lvl w:ilvl="0" w:tplc="535C60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EE60DA"/>
    <w:multiLevelType w:val="hybridMultilevel"/>
    <w:tmpl w:val="8F4E44D6"/>
    <w:lvl w:ilvl="0" w:tplc="CABC4C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nsid w:val="32D14000"/>
    <w:multiLevelType w:val="hybridMultilevel"/>
    <w:tmpl w:val="7BEEEA2A"/>
    <w:lvl w:ilvl="0" w:tplc="FC10A6DC">
      <w:start w:val="1"/>
      <w:numFmt w:val="lowerLetter"/>
      <w:lvlText w:val="(%1)"/>
      <w:lvlJc w:val="left"/>
      <w:pPr>
        <w:ind w:left="720" w:hanging="360"/>
      </w:pPr>
      <w:rPr>
        <w:rFonts w:asciiTheme="minorHAnsi" w:eastAsiaTheme="minorHAnsi" w:hAnsiTheme="minorHAnsi" w:cstheme="minorBidi"/>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38F13100"/>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AB13AF"/>
    <w:multiLevelType w:val="hybridMultilevel"/>
    <w:tmpl w:val="947839AE"/>
    <w:lvl w:ilvl="0" w:tplc="2A5A4BF0">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A568AF"/>
    <w:multiLevelType w:val="hybridMultilevel"/>
    <w:tmpl w:val="50BA43C4"/>
    <w:lvl w:ilvl="0" w:tplc="138EAD40">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36B2E15"/>
    <w:multiLevelType w:val="multilevel"/>
    <w:tmpl w:val="7BEEEA2A"/>
    <w:lvl w:ilvl="0">
      <w:start w:val="1"/>
      <w:numFmt w:val="lowerLetter"/>
      <w:lvlText w:val="(%1)"/>
      <w:lvlJc w:val="left"/>
      <w:pPr>
        <w:ind w:left="720" w:hanging="360"/>
      </w:pPr>
      <w:rPr>
        <w:rFonts w:asciiTheme="minorHAnsi" w:eastAsiaTheme="minorHAnsi" w:hAnsiTheme="minorHAnsi" w:cstheme="minorBidi"/>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3705370"/>
    <w:multiLevelType w:val="hybridMultilevel"/>
    <w:tmpl w:val="8BE68176"/>
    <w:name w:val="TableFootnote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50359A8"/>
    <w:multiLevelType w:val="hybridMultilevel"/>
    <w:tmpl w:val="D098FA50"/>
    <w:lvl w:ilvl="0" w:tplc="62C45750">
      <w:start w:val="1"/>
      <w:numFmt w:val="lowerLetter"/>
      <w:lvlText w:val="(%1)"/>
      <w:lvlJc w:val="left"/>
      <w:pPr>
        <w:ind w:left="720" w:hanging="360"/>
      </w:pPr>
      <w:rPr>
        <w:rFonts w:ascii="Calibri" w:hAnsi="Calibri" w:hint="default"/>
        <w:b w:val="0"/>
        <w:i w:val="0"/>
        <w:sz w:val="16"/>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80E7FD1"/>
    <w:multiLevelType w:val="hybridMultilevel"/>
    <w:tmpl w:val="947839AE"/>
    <w:lvl w:ilvl="0" w:tplc="2A5A4BF0">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20D7EE9"/>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27A4897"/>
    <w:multiLevelType w:val="hybridMultilevel"/>
    <w:tmpl w:val="17683AEC"/>
    <w:lvl w:ilvl="0" w:tplc="CEA06770">
      <w:start w:val="1"/>
      <w:numFmt w:val="lowerLetter"/>
      <w:lvlText w:val="(%1)"/>
      <w:lvlJc w:val="left"/>
      <w:pPr>
        <w:ind w:left="720" w:hanging="360"/>
      </w:pPr>
      <w:rPr>
        <w:rFonts w:ascii="Calibri" w:hAnsi="Calibri"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D0540A9"/>
    <w:multiLevelType w:val="multilevel"/>
    <w:tmpl w:val="E4D434E6"/>
    <w:name w:val="AppendicesNumbering"/>
    <w:lvl w:ilvl="0">
      <w:start w:val="1"/>
      <w:numFmt w:val="upperLetter"/>
      <w:lvlRestart w:val="0"/>
      <w:pStyle w:val="Heading8"/>
      <w:suff w:val="space"/>
      <w:lvlText w:val="Attachment %1"/>
      <w:lvlJc w:val="left"/>
      <w:pPr>
        <w:ind w:left="0" w:firstLine="0"/>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ttachmentHeading2"/>
      <w:suff w:val="nothing"/>
      <w:lvlText w:val=""/>
      <w:lvlJc w:val="left"/>
      <w:pPr>
        <w:tabs>
          <w:tab w:val="num" w:pos="0"/>
        </w:tabs>
        <w:ind w:left="0" w:firstLine="0"/>
      </w:pPr>
      <w:rPr>
        <w:rFonts w:hint="default"/>
      </w:rPr>
    </w:lvl>
    <w:lvl w:ilvl="3">
      <w:start w:val="1"/>
      <w:numFmt w:val="none"/>
      <w:lvlRestart w:val="2"/>
      <w:pStyle w:val="Attachment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23">
    <w:nsid w:val="62A77F1C"/>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5DB45AC"/>
    <w:multiLevelType w:val="hybridMultilevel"/>
    <w:tmpl w:val="FDD6AE4E"/>
    <w:lvl w:ilvl="0" w:tplc="6CCC4AE4">
      <w:start w:val="1"/>
      <w:numFmt w:val="lowerLetter"/>
      <w:lvlText w:val="(%1)"/>
      <w:lvlJc w:val="left"/>
      <w:pPr>
        <w:ind w:left="720" w:hanging="360"/>
      </w:pPr>
      <w:rPr>
        <w:rFonts w:ascii="Calibri" w:hAnsi="Calibri"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9CE4BDD"/>
    <w:multiLevelType w:val="hybridMultilevel"/>
    <w:tmpl w:val="B5D41A40"/>
    <w:lvl w:ilvl="0" w:tplc="497A32CA">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C1771C9"/>
    <w:multiLevelType w:val="hybridMultilevel"/>
    <w:tmpl w:val="1CC87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nsid w:val="707C1A2E"/>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nsid w:val="78A76270"/>
    <w:multiLevelType w:val="hybridMultilevel"/>
    <w:tmpl w:val="9ACE365C"/>
    <w:lvl w:ilvl="0" w:tplc="BB36BB8E">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F2804DF"/>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
  </w:num>
  <w:num w:numId="3">
    <w:abstractNumId w:val="30"/>
  </w:num>
  <w:num w:numId="4">
    <w:abstractNumId w:val="12"/>
  </w:num>
  <w:num w:numId="5">
    <w:abstractNumId w:val="10"/>
  </w:num>
  <w:num w:numId="6">
    <w:abstractNumId w:val="28"/>
  </w:num>
  <w:num w:numId="7">
    <w:abstractNumId w:val="4"/>
  </w:num>
  <w:num w:numId="8">
    <w:abstractNumId w:val="6"/>
  </w:num>
  <w:num w:numId="9">
    <w:abstractNumId w:val="27"/>
  </w:num>
  <w:num w:numId="10">
    <w:abstractNumId w:val="3"/>
  </w:num>
  <w:num w:numId="11">
    <w:abstractNumId w:val="8"/>
  </w:num>
  <w:num w:numId="12">
    <w:abstractNumId w:val="2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9"/>
  </w:num>
  <w:num w:numId="18">
    <w:abstractNumId w:val="32"/>
  </w:num>
  <w:num w:numId="19">
    <w:abstractNumId w:val="0"/>
  </w:num>
  <w:num w:numId="20">
    <w:abstractNumId w:val="18"/>
  </w:num>
  <w:num w:numId="21">
    <w:abstractNumId w:val="20"/>
  </w:num>
  <w:num w:numId="22">
    <w:abstractNumId w:val="14"/>
  </w:num>
  <w:num w:numId="23">
    <w:abstractNumId w:val="15"/>
  </w:num>
  <w:num w:numId="24">
    <w:abstractNumId w:val="24"/>
  </w:num>
  <w:num w:numId="25">
    <w:abstractNumId w:val="13"/>
  </w:num>
  <w:num w:numId="26">
    <w:abstractNumId w:val="5"/>
  </w:num>
  <w:num w:numId="27">
    <w:abstractNumId w:val="23"/>
  </w:num>
  <w:num w:numId="28">
    <w:abstractNumId w:val="21"/>
  </w:num>
  <w:num w:numId="29">
    <w:abstractNumId w:val="25"/>
  </w:num>
  <w:num w:numId="30">
    <w:abstractNumId w:val="31"/>
  </w:num>
  <w:num w:numId="31">
    <w:abstractNumId w:val="19"/>
  </w:num>
  <w:num w:numId="32">
    <w:abstractNumId w:val="11"/>
  </w:num>
  <w:num w:numId="33">
    <w:abstractNumId w:val="16"/>
  </w:num>
  <w:num w:numId="34">
    <w:abstractNumId w:val="9"/>
  </w:num>
  <w:num w:numId="35">
    <w:abstractNumId w:val="3"/>
  </w:num>
  <w:num w:numId="36">
    <w:abstractNumId w:val="1"/>
  </w:num>
  <w:num w:numId="37">
    <w:abstractNumId w:val="7"/>
  </w:num>
  <w:num w:numId="38">
    <w:abstractNumId w:val="4"/>
  </w:num>
  <w:num w:numId="39">
    <w:abstractNumId w:val="4"/>
  </w:num>
  <w:num w:numId="40">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documentProtection w:edit="forms" w:enforcement="0"/>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ttachment"/>
    <w:docVar w:name="Disclaimer" w:val="False"/>
    <w:docVar w:name="Foreword" w:val="Tru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EB25FE"/>
    <w:rsid w:val="0000071C"/>
    <w:rsid w:val="0000322C"/>
    <w:rsid w:val="00003CDD"/>
    <w:rsid w:val="000117DD"/>
    <w:rsid w:val="00013620"/>
    <w:rsid w:val="0001406F"/>
    <w:rsid w:val="00015E04"/>
    <w:rsid w:val="000168A7"/>
    <w:rsid w:val="00016D53"/>
    <w:rsid w:val="00020740"/>
    <w:rsid w:val="00021A84"/>
    <w:rsid w:val="00022335"/>
    <w:rsid w:val="000278D0"/>
    <w:rsid w:val="00027E62"/>
    <w:rsid w:val="0003044A"/>
    <w:rsid w:val="000307C8"/>
    <w:rsid w:val="00030F73"/>
    <w:rsid w:val="00033326"/>
    <w:rsid w:val="00035ADE"/>
    <w:rsid w:val="000363E4"/>
    <w:rsid w:val="0004224B"/>
    <w:rsid w:val="00046226"/>
    <w:rsid w:val="000505FB"/>
    <w:rsid w:val="000507A0"/>
    <w:rsid w:val="0005330D"/>
    <w:rsid w:val="00054F9F"/>
    <w:rsid w:val="000557A7"/>
    <w:rsid w:val="00055805"/>
    <w:rsid w:val="00056CB3"/>
    <w:rsid w:val="0005793B"/>
    <w:rsid w:val="00061758"/>
    <w:rsid w:val="00064E02"/>
    <w:rsid w:val="00065125"/>
    <w:rsid w:val="00066D54"/>
    <w:rsid w:val="00067A28"/>
    <w:rsid w:val="00070E7D"/>
    <w:rsid w:val="0007260F"/>
    <w:rsid w:val="000739CB"/>
    <w:rsid w:val="00073C89"/>
    <w:rsid w:val="0007488E"/>
    <w:rsid w:val="00075955"/>
    <w:rsid w:val="000805D5"/>
    <w:rsid w:val="0008103B"/>
    <w:rsid w:val="00085F97"/>
    <w:rsid w:val="000864DD"/>
    <w:rsid w:val="000879B1"/>
    <w:rsid w:val="00092A33"/>
    <w:rsid w:val="000973F9"/>
    <w:rsid w:val="00097A23"/>
    <w:rsid w:val="000A0848"/>
    <w:rsid w:val="000A2636"/>
    <w:rsid w:val="000A2FEC"/>
    <w:rsid w:val="000A348F"/>
    <w:rsid w:val="000B1B0C"/>
    <w:rsid w:val="000B2F45"/>
    <w:rsid w:val="000B4345"/>
    <w:rsid w:val="000B5900"/>
    <w:rsid w:val="000B60AE"/>
    <w:rsid w:val="000B6942"/>
    <w:rsid w:val="000B6D00"/>
    <w:rsid w:val="000C09FA"/>
    <w:rsid w:val="000C1AB0"/>
    <w:rsid w:val="000C37A9"/>
    <w:rsid w:val="000C5C7A"/>
    <w:rsid w:val="000C6728"/>
    <w:rsid w:val="000C702E"/>
    <w:rsid w:val="000D15E9"/>
    <w:rsid w:val="000D3182"/>
    <w:rsid w:val="000D45C4"/>
    <w:rsid w:val="000D46B3"/>
    <w:rsid w:val="000E18F3"/>
    <w:rsid w:val="000E19AC"/>
    <w:rsid w:val="000E266E"/>
    <w:rsid w:val="000E4C7B"/>
    <w:rsid w:val="000F124B"/>
    <w:rsid w:val="000F1515"/>
    <w:rsid w:val="000F16B5"/>
    <w:rsid w:val="000F616E"/>
    <w:rsid w:val="000F7D50"/>
    <w:rsid w:val="0010030B"/>
    <w:rsid w:val="00110D43"/>
    <w:rsid w:val="00112CDA"/>
    <w:rsid w:val="001159EA"/>
    <w:rsid w:val="00120A75"/>
    <w:rsid w:val="00124341"/>
    <w:rsid w:val="00125410"/>
    <w:rsid w:val="00130858"/>
    <w:rsid w:val="00136C26"/>
    <w:rsid w:val="0014059F"/>
    <w:rsid w:val="00141551"/>
    <w:rsid w:val="001417CE"/>
    <w:rsid w:val="0014479F"/>
    <w:rsid w:val="00146B30"/>
    <w:rsid w:val="00146EAD"/>
    <w:rsid w:val="001541BF"/>
    <w:rsid w:val="00154DC5"/>
    <w:rsid w:val="00160C8D"/>
    <w:rsid w:val="001629C0"/>
    <w:rsid w:val="00165122"/>
    <w:rsid w:val="00165854"/>
    <w:rsid w:val="00166078"/>
    <w:rsid w:val="00166A15"/>
    <w:rsid w:val="001711BC"/>
    <w:rsid w:val="001738DB"/>
    <w:rsid w:val="001738F5"/>
    <w:rsid w:val="00173DFD"/>
    <w:rsid w:val="001775EA"/>
    <w:rsid w:val="00180FF9"/>
    <w:rsid w:val="0019204F"/>
    <w:rsid w:val="00195228"/>
    <w:rsid w:val="00195696"/>
    <w:rsid w:val="00195888"/>
    <w:rsid w:val="00196532"/>
    <w:rsid w:val="0019679B"/>
    <w:rsid w:val="001A1EFC"/>
    <w:rsid w:val="001A48EF"/>
    <w:rsid w:val="001A49CC"/>
    <w:rsid w:val="001A5553"/>
    <w:rsid w:val="001A716E"/>
    <w:rsid w:val="001B18C6"/>
    <w:rsid w:val="001B2C65"/>
    <w:rsid w:val="001B4255"/>
    <w:rsid w:val="001B7058"/>
    <w:rsid w:val="001C3A4F"/>
    <w:rsid w:val="001C4121"/>
    <w:rsid w:val="001C48DE"/>
    <w:rsid w:val="001C7F8D"/>
    <w:rsid w:val="001D30C1"/>
    <w:rsid w:val="001D52E3"/>
    <w:rsid w:val="001D576F"/>
    <w:rsid w:val="001D7C29"/>
    <w:rsid w:val="001E0475"/>
    <w:rsid w:val="001E3138"/>
    <w:rsid w:val="001E33C2"/>
    <w:rsid w:val="001E708A"/>
    <w:rsid w:val="001F2AAD"/>
    <w:rsid w:val="001F5C90"/>
    <w:rsid w:val="001F6552"/>
    <w:rsid w:val="001F767C"/>
    <w:rsid w:val="001F7B10"/>
    <w:rsid w:val="00203A7B"/>
    <w:rsid w:val="00203D0B"/>
    <w:rsid w:val="00204451"/>
    <w:rsid w:val="002057EF"/>
    <w:rsid w:val="00205C6E"/>
    <w:rsid w:val="00210074"/>
    <w:rsid w:val="00210FCF"/>
    <w:rsid w:val="002179B6"/>
    <w:rsid w:val="00222EFF"/>
    <w:rsid w:val="002240D5"/>
    <w:rsid w:val="002261A7"/>
    <w:rsid w:val="00226AEC"/>
    <w:rsid w:val="00235BC7"/>
    <w:rsid w:val="00235C95"/>
    <w:rsid w:val="002545F3"/>
    <w:rsid w:val="00254CA1"/>
    <w:rsid w:val="002621C3"/>
    <w:rsid w:val="0026344F"/>
    <w:rsid w:val="00266A17"/>
    <w:rsid w:val="00270372"/>
    <w:rsid w:val="00275534"/>
    <w:rsid w:val="00277075"/>
    <w:rsid w:val="002775D2"/>
    <w:rsid w:val="00281ADD"/>
    <w:rsid w:val="0028563E"/>
    <w:rsid w:val="00287823"/>
    <w:rsid w:val="0028792D"/>
    <w:rsid w:val="00293152"/>
    <w:rsid w:val="00293E0D"/>
    <w:rsid w:val="00293E80"/>
    <w:rsid w:val="002973B0"/>
    <w:rsid w:val="00297C14"/>
    <w:rsid w:val="002A220F"/>
    <w:rsid w:val="002A24F1"/>
    <w:rsid w:val="002A43A0"/>
    <w:rsid w:val="002A5778"/>
    <w:rsid w:val="002A6E3B"/>
    <w:rsid w:val="002A7CAC"/>
    <w:rsid w:val="002B1C24"/>
    <w:rsid w:val="002B1E84"/>
    <w:rsid w:val="002B2085"/>
    <w:rsid w:val="002B3EC4"/>
    <w:rsid w:val="002C1AB8"/>
    <w:rsid w:val="002C37D5"/>
    <w:rsid w:val="002C4DA6"/>
    <w:rsid w:val="002C60A0"/>
    <w:rsid w:val="002D0BAB"/>
    <w:rsid w:val="002D18E1"/>
    <w:rsid w:val="002D239A"/>
    <w:rsid w:val="002D34DB"/>
    <w:rsid w:val="002D48BE"/>
    <w:rsid w:val="002D4B11"/>
    <w:rsid w:val="002E0468"/>
    <w:rsid w:val="002E5633"/>
    <w:rsid w:val="002E5FC5"/>
    <w:rsid w:val="002F1963"/>
    <w:rsid w:val="002F5B6E"/>
    <w:rsid w:val="002F61B5"/>
    <w:rsid w:val="00300066"/>
    <w:rsid w:val="0030209B"/>
    <w:rsid w:val="00305B8C"/>
    <w:rsid w:val="003116DE"/>
    <w:rsid w:val="00312494"/>
    <w:rsid w:val="003127E4"/>
    <w:rsid w:val="00312C42"/>
    <w:rsid w:val="00313215"/>
    <w:rsid w:val="00313DA1"/>
    <w:rsid w:val="003174C3"/>
    <w:rsid w:val="003230D5"/>
    <w:rsid w:val="0032557A"/>
    <w:rsid w:val="00326E3E"/>
    <w:rsid w:val="003318BA"/>
    <w:rsid w:val="003326F7"/>
    <w:rsid w:val="0033782E"/>
    <w:rsid w:val="00337ABD"/>
    <w:rsid w:val="00340778"/>
    <w:rsid w:val="00343205"/>
    <w:rsid w:val="00344D2C"/>
    <w:rsid w:val="003458CE"/>
    <w:rsid w:val="00345A57"/>
    <w:rsid w:val="00346D90"/>
    <w:rsid w:val="00351F62"/>
    <w:rsid w:val="00355421"/>
    <w:rsid w:val="0035792C"/>
    <w:rsid w:val="003601F4"/>
    <w:rsid w:val="00361150"/>
    <w:rsid w:val="003671E2"/>
    <w:rsid w:val="00370320"/>
    <w:rsid w:val="00372AE6"/>
    <w:rsid w:val="00372C9E"/>
    <w:rsid w:val="00376747"/>
    <w:rsid w:val="00376C3A"/>
    <w:rsid w:val="003776D3"/>
    <w:rsid w:val="0038082C"/>
    <w:rsid w:val="003822ED"/>
    <w:rsid w:val="003837E1"/>
    <w:rsid w:val="003850AE"/>
    <w:rsid w:val="0038584D"/>
    <w:rsid w:val="003869F7"/>
    <w:rsid w:val="0039257F"/>
    <w:rsid w:val="003931DE"/>
    <w:rsid w:val="00397D1A"/>
    <w:rsid w:val="003A163C"/>
    <w:rsid w:val="003A217C"/>
    <w:rsid w:val="003A2B4E"/>
    <w:rsid w:val="003A2FBB"/>
    <w:rsid w:val="003A3799"/>
    <w:rsid w:val="003A4913"/>
    <w:rsid w:val="003A54A9"/>
    <w:rsid w:val="003A62A5"/>
    <w:rsid w:val="003A7083"/>
    <w:rsid w:val="003B1C79"/>
    <w:rsid w:val="003B2CF2"/>
    <w:rsid w:val="003B3103"/>
    <w:rsid w:val="003B38B3"/>
    <w:rsid w:val="003B3A97"/>
    <w:rsid w:val="003B3D44"/>
    <w:rsid w:val="003B47BC"/>
    <w:rsid w:val="003C2540"/>
    <w:rsid w:val="003C6BB5"/>
    <w:rsid w:val="003C7CC2"/>
    <w:rsid w:val="003D3379"/>
    <w:rsid w:val="003D50B6"/>
    <w:rsid w:val="003E05DF"/>
    <w:rsid w:val="003E1562"/>
    <w:rsid w:val="003E2070"/>
    <w:rsid w:val="003E6085"/>
    <w:rsid w:val="003E6CA3"/>
    <w:rsid w:val="003F4C96"/>
    <w:rsid w:val="00401C49"/>
    <w:rsid w:val="004023A1"/>
    <w:rsid w:val="00404CFE"/>
    <w:rsid w:val="00406002"/>
    <w:rsid w:val="00406AD3"/>
    <w:rsid w:val="00406CB4"/>
    <w:rsid w:val="00410731"/>
    <w:rsid w:val="00412E1C"/>
    <w:rsid w:val="00412E42"/>
    <w:rsid w:val="00413EC1"/>
    <w:rsid w:val="00415776"/>
    <w:rsid w:val="0041726B"/>
    <w:rsid w:val="0042112A"/>
    <w:rsid w:val="00425534"/>
    <w:rsid w:val="00425C05"/>
    <w:rsid w:val="004262EC"/>
    <w:rsid w:val="00426356"/>
    <w:rsid w:val="00426358"/>
    <w:rsid w:val="00426929"/>
    <w:rsid w:val="00433D11"/>
    <w:rsid w:val="00440108"/>
    <w:rsid w:val="00441A6D"/>
    <w:rsid w:val="00442C16"/>
    <w:rsid w:val="00445410"/>
    <w:rsid w:val="00445CF4"/>
    <w:rsid w:val="00446439"/>
    <w:rsid w:val="00450BDA"/>
    <w:rsid w:val="00453A3E"/>
    <w:rsid w:val="0045452F"/>
    <w:rsid w:val="0045766B"/>
    <w:rsid w:val="00457EA9"/>
    <w:rsid w:val="004618A2"/>
    <w:rsid w:val="0046444F"/>
    <w:rsid w:val="004716E3"/>
    <w:rsid w:val="00474BB7"/>
    <w:rsid w:val="00476133"/>
    <w:rsid w:val="00476800"/>
    <w:rsid w:val="00480105"/>
    <w:rsid w:val="004816D7"/>
    <w:rsid w:val="00482F63"/>
    <w:rsid w:val="0048342E"/>
    <w:rsid w:val="00487478"/>
    <w:rsid w:val="0048782D"/>
    <w:rsid w:val="00490873"/>
    <w:rsid w:val="00494DC1"/>
    <w:rsid w:val="004A3F56"/>
    <w:rsid w:val="004A4F1C"/>
    <w:rsid w:val="004A5E21"/>
    <w:rsid w:val="004A666A"/>
    <w:rsid w:val="004B143F"/>
    <w:rsid w:val="004B3022"/>
    <w:rsid w:val="004B49A0"/>
    <w:rsid w:val="004B74DB"/>
    <w:rsid w:val="004C45B6"/>
    <w:rsid w:val="004C6306"/>
    <w:rsid w:val="004C6F5E"/>
    <w:rsid w:val="004C7E94"/>
    <w:rsid w:val="004D4551"/>
    <w:rsid w:val="004D7CF8"/>
    <w:rsid w:val="004D7EDA"/>
    <w:rsid w:val="004E0E49"/>
    <w:rsid w:val="004E195E"/>
    <w:rsid w:val="004E197A"/>
    <w:rsid w:val="004E5D52"/>
    <w:rsid w:val="004F07D7"/>
    <w:rsid w:val="004F1297"/>
    <w:rsid w:val="004F1362"/>
    <w:rsid w:val="004F16DB"/>
    <w:rsid w:val="004F3E11"/>
    <w:rsid w:val="004F4A75"/>
    <w:rsid w:val="004F4D7E"/>
    <w:rsid w:val="004F5B16"/>
    <w:rsid w:val="004F5D9D"/>
    <w:rsid w:val="004F68E5"/>
    <w:rsid w:val="004F7037"/>
    <w:rsid w:val="004F741B"/>
    <w:rsid w:val="00500F08"/>
    <w:rsid w:val="00503253"/>
    <w:rsid w:val="00503BB0"/>
    <w:rsid w:val="00503E03"/>
    <w:rsid w:val="00511F0B"/>
    <w:rsid w:val="00512226"/>
    <w:rsid w:val="00512B31"/>
    <w:rsid w:val="005147C6"/>
    <w:rsid w:val="005159B1"/>
    <w:rsid w:val="00522502"/>
    <w:rsid w:val="00522530"/>
    <w:rsid w:val="005255A1"/>
    <w:rsid w:val="00525825"/>
    <w:rsid w:val="0052641C"/>
    <w:rsid w:val="005311C2"/>
    <w:rsid w:val="00531B32"/>
    <w:rsid w:val="0053795D"/>
    <w:rsid w:val="00544522"/>
    <w:rsid w:val="00545D37"/>
    <w:rsid w:val="005467E2"/>
    <w:rsid w:val="005468AB"/>
    <w:rsid w:val="005501A0"/>
    <w:rsid w:val="00550831"/>
    <w:rsid w:val="005525B0"/>
    <w:rsid w:val="00554273"/>
    <w:rsid w:val="0056001A"/>
    <w:rsid w:val="005642B6"/>
    <w:rsid w:val="00566A97"/>
    <w:rsid w:val="00567ED8"/>
    <w:rsid w:val="00571D5E"/>
    <w:rsid w:val="005814CA"/>
    <w:rsid w:val="005823D0"/>
    <w:rsid w:val="00582D54"/>
    <w:rsid w:val="005830DE"/>
    <w:rsid w:val="00583AAF"/>
    <w:rsid w:val="00587AF9"/>
    <w:rsid w:val="00595A11"/>
    <w:rsid w:val="005962D5"/>
    <w:rsid w:val="005979D8"/>
    <w:rsid w:val="005A1AEC"/>
    <w:rsid w:val="005A2748"/>
    <w:rsid w:val="005A443F"/>
    <w:rsid w:val="005A5215"/>
    <w:rsid w:val="005A7C26"/>
    <w:rsid w:val="005B0970"/>
    <w:rsid w:val="005B0E43"/>
    <w:rsid w:val="005B54F9"/>
    <w:rsid w:val="005B58D4"/>
    <w:rsid w:val="005B5B58"/>
    <w:rsid w:val="005B7DC9"/>
    <w:rsid w:val="005C07B3"/>
    <w:rsid w:val="005C284E"/>
    <w:rsid w:val="005C393B"/>
    <w:rsid w:val="005C47D4"/>
    <w:rsid w:val="005D4B5E"/>
    <w:rsid w:val="005D51D0"/>
    <w:rsid w:val="005D5EE0"/>
    <w:rsid w:val="005D6F83"/>
    <w:rsid w:val="005D7877"/>
    <w:rsid w:val="005D7CCF"/>
    <w:rsid w:val="005E04CF"/>
    <w:rsid w:val="005E3C8F"/>
    <w:rsid w:val="005E58C4"/>
    <w:rsid w:val="005E5D8F"/>
    <w:rsid w:val="005F5841"/>
    <w:rsid w:val="005F5A5C"/>
    <w:rsid w:val="005F5CD9"/>
    <w:rsid w:val="005F7D60"/>
    <w:rsid w:val="0060138D"/>
    <w:rsid w:val="00602664"/>
    <w:rsid w:val="00602D66"/>
    <w:rsid w:val="00604EA9"/>
    <w:rsid w:val="00605A1C"/>
    <w:rsid w:val="0061135C"/>
    <w:rsid w:val="006136DD"/>
    <w:rsid w:val="006149F0"/>
    <w:rsid w:val="006220A5"/>
    <w:rsid w:val="00622D86"/>
    <w:rsid w:val="00624AC8"/>
    <w:rsid w:val="00633812"/>
    <w:rsid w:val="00633C60"/>
    <w:rsid w:val="006365FB"/>
    <w:rsid w:val="0063771A"/>
    <w:rsid w:val="00637E99"/>
    <w:rsid w:val="0064126D"/>
    <w:rsid w:val="006451B8"/>
    <w:rsid w:val="00645722"/>
    <w:rsid w:val="006509C3"/>
    <w:rsid w:val="00652432"/>
    <w:rsid w:val="00657840"/>
    <w:rsid w:val="0066003C"/>
    <w:rsid w:val="0066041E"/>
    <w:rsid w:val="006619BB"/>
    <w:rsid w:val="00666430"/>
    <w:rsid w:val="0067042E"/>
    <w:rsid w:val="00672063"/>
    <w:rsid w:val="00673CCC"/>
    <w:rsid w:val="00675C98"/>
    <w:rsid w:val="0069026B"/>
    <w:rsid w:val="006956EA"/>
    <w:rsid w:val="006A0D82"/>
    <w:rsid w:val="006A490C"/>
    <w:rsid w:val="006A5881"/>
    <w:rsid w:val="006A766E"/>
    <w:rsid w:val="006B44CA"/>
    <w:rsid w:val="006B4F7D"/>
    <w:rsid w:val="006B63B1"/>
    <w:rsid w:val="006B65E9"/>
    <w:rsid w:val="006C114C"/>
    <w:rsid w:val="006C3668"/>
    <w:rsid w:val="006C3864"/>
    <w:rsid w:val="006C5383"/>
    <w:rsid w:val="006C5E72"/>
    <w:rsid w:val="006D2AEC"/>
    <w:rsid w:val="006D438F"/>
    <w:rsid w:val="006D4B1C"/>
    <w:rsid w:val="006D4C8E"/>
    <w:rsid w:val="006E19D1"/>
    <w:rsid w:val="006E1CBB"/>
    <w:rsid w:val="006E4B27"/>
    <w:rsid w:val="006E5E7E"/>
    <w:rsid w:val="006F100B"/>
    <w:rsid w:val="006F239A"/>
    <w:rsid w:val="006F2C9D"/>
    <w:rsid w:val="006F4201"/>
    <w:rsid w:val="006F4DB8"/>
    <w:rsid w:val="006F65CD"/>
    <w:rsid w:val="006F6B51"/>
    <w:rsid w:val="007048DB"/>
    <w:rsid w:val="0070637D"/>
    <w:rsid w:val="007071DD"/>
    <w:rsid w:val="0070771F"/>
    <w:rsid w:val="00712A14"/>
    <w:rsid w:val="00713208"/>
    <w:rsid w:val="00716C04"/>
    <w:rsid w:val="00717085"/>
    <w:rsid w:val="00717180"/>
    <w:rsid w:val="007179D2"/>
    <w:rsid w:val="00720750"/>
    <w:rsid w:val="0072549C"/>
    <w:rsid w:val="00725A80"/>
    <w:rsid w:val="00726E61"/>
    <w:rsid w:val="0073102A"/>
    <w:rsid w:val="007311E2"/>
    <w:rsid w:val="00732B6D"/>
    <w:rsid w:val="00733970"/>
    <w:rsid w:val="00735854"/>
    <w:rsid w:val="007375FE"/>
    <w:rsid w:val="00741D0B"/>
    <w:rsid w:val="00741E6B"/>
    <w:rsid w:val="00754C58"/>
    <w:rsid w:val="007579FE"/>
    <w:rsid w:val="0077436E"/>
    <w:rsid w:val="00776E78"/>
    <w:rsid w:val="0078138A"/>
    <w:rsid w:val="00783014"/>
    <w:rsid w:val="007834DC"/>
    <w:rsid w:val="00786AC7"/>
    <w:rsid w:val="00790768"/>
    <w:rsid w:val="007959D8"/>
    <w:rsid w:val="0079630F"/>
    <w:rsid w:val="007A04C2"/>
    <w:rsid w:val="007A37CA"/>
    <w:rsid w:val="007A4238"/>
    <w:rsid w:val="007A47D0"/>
    <w:rsid w:val="007B146A"/>
    <w:rsid w:val="007B57C9"/>
    <w:rsid w:val="007C0E7C"/>
    <w:rsid w:val="007C0EAA"/>
    <w:rsid w:val="007C19C3"/>
    <w:rsid w:val="007C44B2"/>
    <w:rsid w:val="007C54EE"/>
    <w:rsid w:val="007C5B53"/>
    <w:rsid w:val="007C6496"/>
    <w:rsid w:val="007C72DB"/>
    <w:rsid w:val="007C745E"/>
    <w:rsid w:val="007D0ABE"/>
    <w:rsid w:val="007E0E53"/>
    <w:rsid w:val="007E2476"/>
    <w:rsid w:val="007E356F"/>
    <w:rsid w:val="007E3F8C"/>
    <w:rsid w:val="007F2058"/>
    <w:rsid w:val="007F3CD8"/>
    <w:rsid w:val="007F41A3"/>
    <w:rsid w:val="007F7685"/>
    <w:rsid w:val="0080011D"/>
    <w:rsid w:val="00800EA5"/>
    <w:rsid w:val="008014B6"/>
    <w:rsid w:val="00801C01"/>
    <w:rsid w:val="008107C7"/>
    <w:rsid w:val="008112CC"/>
    <w:rsid w:val="008130BB"/>
    <w:rsid w:val="00813D7D"/>
    <w:rsid w:val="008147C6"/>
    <w:rsid w:val="00817406"/>
    <w:rsid w:val="008208A7"/>
    <w:rsid w:val="008237FA"/>
    <w:rsid w:val="00825D37"/>
    <w:rsid w:val="008369B0"/>
    <w:rsid w:val="008372D1"/>
    <w:rsid w:val="00837540"/>
    <w:rsid w:val="0084176E"/>
    <w:rsid w:val="00845C1E"/>
    <w:rsid w:val="00852A13"/>
    <w:rsid w:val="0085732C"/>
    <w:rsid w:val="00860B45"/>
    <w:rsid w:val="00861F68"/>
    <w:rsid w:val="00863860"/>
    <w:rsid w:val="008638B5"/>
    <w:rsid w:val="00864865"/>
    <w:rsid w:val="00866B47"/>
    <w:rsid w:val="008734DB"/>
    <w:rsid w:val="0087390B"/>
    <w:rsid w:val="008745A1"/>
    <w:rsid w:val="008768E9"/>
    <w:rsid w:val="0087751B"/>
    <w:rsid w:val="00880358"/>
    <w:rsid w:val="00880455"/>
    <w:rsid w:val="00890995"/>
    <w:rsid w:val="008914FB"/>
    <w:rsid w:val="00892516"/>
    <w:rsid w:val="00893254"/>
    <w:rsid w:val="0089737A"/>
    <w:rsid w:val="00897E99"/>
    <w:rsid w:val="00897F60"/>
    <w:rsid w:val="008A4829"/>
    <w:rsid w:val="008A6B83"/>
    <w:rsid w:val="008B2384"/>
    <w:rsid w:val="008B38D6"/>
    <w:rsid w:val="008B4802"/>
    <w:rsid w:val="008B69E3"/>
    <w:rsid w:val="008C1FD1"/>
    <w:rsid w:val="008C24A8"/>
    <w:rsid w:val="008C35EF"/>
    <w:rsid w:val="008C553A"/>
    <w:rsid w:val="008C5996"/>
    <w:rsid w:val="008D4FA9"/>
    <w:rsid w:val="008D5A11"/>
    <w:rsid w:val="008D5E23"/>
    <w:rsid w:val="008D77AF"/>
    <w:rsid w:val="008E6D59"/>
    <w:rsid w:val="008F30C7"/>
    <w:rsid w:val="008F4527"/>
    <w:rsid w:val="008F5D66"/>
    <w:rsid w:val="00901A97"/>
    <w:rsid w:val="009028AA"/>
    <w:rsid w:val="00903E3F"/>
    <w:rsid w:val="009049C3"/>
    <w:rsid w:val="00904AB8"/>
    <w:rsid w:val="009057D9"/>
    <w:rsid w:val="0090774A"/>
    <w:rsid w:val="00910D07"/>
    <w:rsid w:val="00914B2F"/>
    <w:rsid w:val="009150E6"/>
    <w:rsid w:val="00916290"/>
    <w:rsid w:val="00917F89"/>
    <w:rsid w:val="00922177"/>
    <w:rsid w:val="009223BE"/>
    <w:rsid w:val="0092487F"/>
    <w:rsid w:val="0092499B"/>
    <w:rsid w:val="009255EE"/>
    <w:rsid w:val="00925603"/>
    <w:rsid w:val="00925F76"/>
    <w:rsid w:val="00925FCE"/>
    <w:rsid w:val="00932E89"/>
    <w:rsid w:val="0093359D"/>
    <w:rsid w:val="00933F2B"/>
    <w:rsid w:val="00942EEB"/>
    <w:rsid w:val="0094468E"/>
    <w:rsid w:val="00944B6E"/>
    <w:rsid w:val="00945261"/>
    <w:rsid w:val="00947377"/>
    <w:rsid w:val="009506A5"/>
    <w:rsid w:val="00951452"/>
    <w:rsid w:val="009541CC"/>
    <w:rsid w:val="00956564"/>
    <w:rsid w:val="009567A6"/>
    <w:rsid w:val="00956D5A"/>
    <w:rsid w:val="00961B2C"/>
    <w:rsid w:val="00961DBB"/>
    <w:rsid w:val="00963C78"/>
    <w:rsid w:val="00963D2B"/>
    <w:rsid w:val="0096618E"/>
    <w:rsid w:val="009758AE"/>
    <w:rsid w:val="00981433"/>
    <w:rsid w:val="0098222F"/>
    <w:rsid w:val="0098244F"/>
    <w:rsid w:val="00983122"/>
    <w:rsid w:val="00985C07"/>
    <w:rsid w:val="00995B4F"/>
    <w:rsid w:val="00995FA3"/>
    <w:rsid w:val="0099640A"/>
    <w:rsid w:val="00997582"/>
    <w:rsid w:val="009A18C2"/>
    <w:rsid w:val="009A2C21"/>
    <w:rsid w:val="009A3E58"/>
    <w:rsid w:val="009A4F88"/>
    <w:rsid w:val="009A5F02"/>
    <w:rsid w:val="009A7AB1"/>
    <w:rsid w:val="009B70E6"/>
    <w:rsid w:val="009C6DAA"/>
    <w:rsid w:val="009D0E74"/>
    <w:rsid w:val="009D1A96"/>
    <w:rsid w:val="009D370B"/>
    <w:rsid w:val="009D7EE0"/>
    <w:rsid w:val="009E2087"/>
    <w:rsid w:val="009E252B"/>
    <w:rsid w:val="009E3265"/>
    <w:rsid w:val="009E3353"/>
    <w:rsid w:val="009E446D"/>
    <w:rsid w:val="009E600B"/>
    <w:rsid w:val="009E7C09"/>
    <w:rsid w:val="009F146D"/>
    <w:rsid w:val="009F4F1E"/>
    <w:rsid w:val="009F5D6A"/>
    <w:rsid w:val="00A015E4"/>
    <w:rsid w:val="00A075BC"/>
    <w:rsid w:val="00A11222"/>
    <w:rsid w:val="00A12C39"/>
    <w:rsid w:val="00A134FB"/>
    <w:rsid w:val="00A162FE"/>
    <w:rsid w:val="00A20802"/>
    <w:rsid w:val="00A22FCB"/>
    <w:rsid w:val="00A25B4F"/>
    <w:rsid w:val="00A261B3"/>
    <w:rsid w:val="00A27E8B"/>
    <w:rsid w:val="00A311CF"/>
    <w:rsid w:val="00A442BF"/>
    <w:rsid w:val="00A50315"/>
    <w:rsid w:val="00A517D0"/>
    <w:rsid w:val="00A51B96"/>
    <w:rsid w:val="00A53716"/>
    <w:rsid w:val="00A5629E"/>
    <w:rsid w:val="00A64832"/>
    <w:rsid w:val="00A732DB"/>
    <w:rsid w:val="00A75338"/>
    <w:rsid w:val="00A76BCA"/>
    <w:rsid w:val="00A838D2"/>
    <w:rsid w:val="00A86F04"/>
    <w:rsid w:val="00A90CF3"/>
    <w:rsid w:val="00A919E1"/>
    <w:rsid w:val="00A946C4"/>
    <w:rsid w:val="00AA478E"/>
    <w:rsid w:val="00AB137D"/>
    <w:rsid w:val="00AC01F8"/>
    <w:rsid w:val="00AC059A"/>
    <w:rsid w:val="00AC3BE3"/>
    <w:rsid w:val="00AC41CF"/>
    <w:rsid w:val="00AD0308"/>
    <w:rsid w:val="00AD377A"/>
    <w:rsid w:val="00AD4B3B"/>
    <w:rsid w:val="00AD67BB"/>
    <w:rsid w:val="00AE15FD"/>
    <w:rsid w:val="00AE1CC1"/>
    <w:rsid w:val="00AE3EA4"/>
    <w:rsid w:val="00AE51FE"/>
    <w:rsid w:val="00AF1B02"/>
    <w:rsid w:val="00AF41E4"/>
    <w:rsid w:val="00AF568A"/>
    <w:rsid w:val="00AF72A0"/>
    <w:rsid w:val="00B00952"/>
    <w:rsid w:val="00B02C40"/>
    <w:rsid w:val="00B05262"/>
    <w:rsid w:val="00B06A75"/>
    <w:rsid w:val="00B06BC3"/>
    <w:rsid w:val="00B144F6"/>
    <w:rsid w:val="00B15A0F"/>
    <w:rsid w:val="00B17FB2"/>
    <w:rsid w:val="00B20236"/>
    <w:rsid w:val="00B202DD"/>
    <w:rsid w:val="00B20937"/>
    <w:rsid w:val="00B220A0"/>
    <w:rsid w:val="00B22B64"/>
    <w:rsid w:val="00B22D72"/>
    <w:rsid w:val="00B22FEA"/>
    <w:rsid w:val="00B24321"/>
    <w:rsid w:val="00B30FEB"/>
    <w:rsid w:val="00B311BA"/>
    <w:rsid w:val="00B344FD"/>
    <w:rsid w:val="00B35B47"/>
    <w:rsid w:val="00B40AA3"/>
    <w:rsid w:val="00B43AF9"/>
    <w:rsid w:val="00B44478"/>
    <w:rsid w:val="00B4609C"/>
    <w:rsid w:val="00B508DA"/>
    <w:rsid w:val="00B538BA"/>
    <w:rsid w:val="00B6002C"/>
    <w:rsid w:val="00B620EE"/>
    <w:rsid w:val="00B80FB4"/>
    <w:rsid w:val="00B85366"/>
    <w:rsid w:val="00B87F60"/>
    <w:rsid w:val="00B9079B"/>
    <w:rsid w:val="00B91AA6"/>
    <w:rsid w:val="00B93B5E"/>
    <w:rsid w:val="00B93D3D"/>
    <w:rsid w:val="00B96341"/>
    <w:rsid w:val="00BA471F"/>
    <w:rsid w:val="00BB5013"/>
    <w:rsid w:val="00BB528E"/>
    <w:rsid w:val="00BB615A"/>
    <w:rsid w:val="00BB78CD"/>
    <w:rsid w:val="00BC11EC"/>
    <w:rsid w:val="00BC2600"/>
    <w:rsid w:val="00BC36F0"/>
    <w:rsid w:val="00BC3E99"/>
    <w:rsid w:val="00BC4FA7"/>
    <w:rsid w:val="00BC5E30"/>
    <w:rsid w:val="00BD00ED"/>
    <w:rsid w:val="00BD02C5"/>
    <w:rsid w:val="00BD068D"/>
    <w:rsid w:val="00BD6D94"/>
    <w:rsid w:val="00BD713B"/>
    <w:rsid w:val="00BE0D9A"/>
    <w:rsid w:val="00BE1A50"/>
    <w:rsid w:val="00BE2F0D"/>
    <w:rsid w:val="00BE5E2E"/>
    <w:rsid w:val="00BF0BD5"/>
    <w:rsid w:val="00BF0D35"/>
    <w:rsid w:val="00BF55F8"/>
    <w:rsid w:val="00C051FD"/>
    <w:rsid w:val="00C1744F"/>
    <w:rsid w:val="00C20C7D"/>
    <w:rsid w:val="00C20DEF"/>
    <w:rsid w:val="00C24B25"/>
    <w:rsid w:val="00C24E89"/>
    <w:rsid w:val="00C32C2F"/>
    <w:rsid w:val="00C3738A"/>
    <w:rsid w:val="00C40859"/>
    <w:rsid w:val="00C40BD0"/>
    <w:rsid w:val="00C4315A"/>
    <w:rsid w:val="00C43F5E"/>
    <w:rsid w:val="00C44074"/>
    <w:rsid w:val="00C4651F"/>
    <w:rsid w:val="00C51D0B"/>
    <w:rsid w:val="00C52207"/>
    <w:rsid w:val="00C52A50"/>
    <w:rsid w:val="00C540A0"/>
    <w:rsid w:val="00C642D4"/>
    <w:rsid w:val="00C66AF6"/>
    <w:rsid w:val="00C730F4"/>
    <w:rsid w:val="00C74311"/>
    <w:rsid w:val="00C77E23"/>
    <w:rsid w:val="00C80200"/>
    <w:rsid w:val="00C80E0A"/>
    <w:rsid w:val="00C8270B"/>
    <w:rsid w:val="00C841A9"/>
    <w:rsid w:val="00C8728F"/>
    <w:rsid w:val="00C87C8C"/>
    <w:rsid w:val="00C91D48"/>
    <w:rsid w:val="00C963A2"/>
    <w:rsid w:val="00C97FBC"/>
    <w:rsid w:val="00CA06C8"/>
    <w:rsid w:val="00CA0B7E"/>
    <w:rsid w:val="00CA37B6"/>
    <w:rsid w:val="00CA4C28"/>
    <w:rsid w:val="00CA4E33"/>
    <w:rsid w:val="00CA5598"/>
    <w:rsid w:val="00CA5EF8"/>
    <w:rsid w:val="00CB28A3"/>
    <w:rsid w:val="00CB6B9D"/>
    <w:rsid w:val="00CB73EC"/>
    <w:rsid w:val="00CC00A0"/>
    <w:rsid w:val="00CC0FED"/>
    <w:rsid w:val="00CC3C34"/>
    <w:rsid w:val="00CC5455"/>
    <w:rsid w:val="00CC6C06"/>
    <w:rsid w:val="00CD1526"/>
    <w:rsid w:val="00CD1546"/>
    <w:rsid w:val="00CD2807"/>
    <w:rsid w:val="00CD2ED6"/>
    <w:rsid w:val="00CD5509"/>
    <w:rsid w:val="00CE0215"/>
    <w:rsid w:val="00CE1EB0"/>
    <w:rsid w:val="00CE3DF2"/>
    <w:rsid w:val="00CF04D5"/>
    <w:rsid w:val="00CF0C0F"/>
    <w:rsid w:val="00CF1690"/>
    <w:rsid w:val="00CF1F2A"/>
    <w:rsid w:val="00CF3A6B"/>
    <w:rsid w:val="00CF5CE3"/>
    <w:rsid w:val="00CF7412"/>
    <w:rsid w:val="00D030F8"/>
    <w:rsid w:val="00D077B7"/>
    <w:rsid w:val="00D13B28"/>
    <w:rsid w:val="00D20297"/>
    <w:rsid w:val="00D21E6B"/>
    <w:rsid w:val="00D2336A"/>
    <w:rsid w:val="00D23634"/>
    <w:rsid w:val="00D25039"/>
    <w:rsid w:val="00D34551"/>
    <w:rsid w:val="00D36D27"/>
    <w:rsid w:val="00D3757E"/>
    <w:rsid w:val="00D37CA2"/>
    <w:rsid w:val="00D41664"/>
    <w:rsid w:val="00D4569D"/>
    <w:rsid w:val="00D457D6"/>
    <w:rsid w:val="00D6141C"/>
    <w:rsid w:val="00D63363"/>
    <w:rsid w:val="00D64CE2"/>
    <w:rsid w:val="00D661D4"/>
    <w:rsid w:val="00D702E1"/>
    <w:rsid w:val="00D719B9"/>
    <w:rsid w:val="00D7224B"/>
    <w:rsid w:val="00D7270F"/>
    <w:rsid w:val="00D7596A"/>
    <w:rsid w:val="00D7751B"/>
    <w:rsid w:val="00D815DC"/>
    <w:rsid w:val="00D822B5"/>
    <w:rsid w:val="00D82A49"/>
    <w:rsid w:val="00D83D3C"/>
    <w:rsid w:val="00D867AE"/>
    <w:rsid w:val="00D87BBB"/>
    <w:rsid w:val="00D87C87"/>
    <w:rsid w:val="00D921C4"/>
    <w:rsid w:val="00D9296A"/>
    <w:rsid w:val="00D93C23"/>
    <w:rsid w:val="00D95638"/>
    <w:rsid w:val="00D9584C"/>
    <w:rsid w:val="00D97180"/>
    <w:rsid w:val="00D97246"/>
    <w:rsid w:val="00D97C79"/>
    <w:rsid w:val="00DA14D9"/>
    <w:rsid w:val="00DB13AD"/>
    <w:rsid w:val="00DB23F9"/>
    <w:rsid w:val="00DB58BE"/>
    <w:rsid w:val="00DB602E"/>
    <w:rsid w:val="00DB6176"/>
    <w:rsid w:val="00DB6AA0"/>
    <w:rsid w:val="00DB7C3A"/>
    <w:rsid w:val="00DC1A4B"/>
    <w:rsid w:val="00DD14EE"/>
    <w:rsid w:val="00DD1C11"/>
    <w:rsid w:val="00DD281D"/>
    <w:rsid w:val="00DD32AB"/>
    <w:rsid w:val="00DD5BF6"/>
    <w:rsid w:val="00DD64DC"/>
    <w:rsid w:val="00DE1865"/>
    <w:rsid w:val="00DE6CEF"/>
    <w:rsid w:val="00DF11C2"/>
    <w:rsid w:val="00DF2134"/>
    <w:rsid w:val="00DF4593"/>
    <w:rsid w:val="00DF533A"/>
    <w:rsid w:val="00DF556E"/>
    <w:rsid w:val="00DF64E0"/>
    <w:rsid w:val="00E10D05"/>
    <w:rsid w:val="00E174AF"/>
    <w:rsid w:val="00E2223E"/>
    <w:rsid w:val="00E22D98"/>
    <w:rsid w:val="00E23FA4"/>
    <w:rsid w:val="00E24623"/>
    <w:rsid w:val="00E252E3"/>
    <w:rsid w:val="00E25B1B"/>
    <w:rsid w:val="00E333E7"/>
    <w:rsid w:val="00E36C6A"/>
    <w:rsid w:val="00E40505"/>
    <w:rsid w:val="00E42A41"/>
    <w:rsid w:val="00E45766"/>
    <w:rsid w:val="00E45AC5"/>
    <w:rsid w:val="00E532A4"/>
    <w:rsid w:val="00E563C5"/>
    <w:rsid w:val="00E567E5"/>
    <w:rsid w:val="00E60499"/>
    <w:rsid w:val="00E64480"/>
    <w:rsid w:val="00E65807"/>
    <w:rsid w:val="00E66103"/>
    <w:rsid w:val="00E6708B"/>
    <w:rsid w:val="00E73A8C"/>
    <w:rsid w:val="00E75050"/>
    <w:rsid w:val="00E75D5E"/>
    <w:rsid w:val="00E76F42"/>
    <w:rsid w:val="00E77D6D"/>
    <w:rsid w:val="00E915E6"/>
    <w:rsid w:val="00E929EC"/>
    <w:rsid w:val="00EA3E11"/>
    <w:rsid w:val="00EA6EB3"/>
    <w:rsid w:val="00EB25FE"/>
    <w:rsid w:val="00EB4A8E"/>
    <w:rsid w:val="00EB5EF3"/>
    <w:rsid w:val="00EB62F7"/>
    <w:rsid w:val="00EB664D"/>
    <w:rsid w:val="00EB695D"/>
    <w:rsid w:val="00EB7C6D"/>
    <w:rsid w:val="00EC38F3"/>
    <w:rsid w:val="00EC4241"/>
    <w:rsid w:val="00EC4A02"/>
    <w:rsid w:val="00EC7A25"/>
    <w:rsid w:val="00ED0404"/>
    <w:rsid w:val="00ED1407"/>
    <w:rsid w:val="00ED39CE"/>
    <w:rsid w:val="00ED4134"/>
    <w:rsid w:val="00ED7A9F"/>
    <w:rsid w:val="00EE05F1"/>
    <w:rsid w:val="00EE3226"/>
    <w:rsid w:val="00EE471A"/>
    <w:rsid w:val="00EE5492"/>
    <w:rsid w:val="00EE583A"/>
    <w:rsid w:val="00EF0A00"/>
    <w:rsid w:val="00EF1A1B"/>
    <w:rsid w:val="00EF7395"/>
    <w:rsid w:val="00F0183C"/>
    <w:rsid w:val="00F0379D"/>
    <w:rsid w:val="00F03C79"/>
    <w:rsid w:val="00F07BD5"/>
    <w:rsid w:val="00F122D6"/>
    <w:rsid w:val="00F15BF4"/>
    <w:rsid w:val="00F171E0"/>
    <w:rsid w:val="00F17940"/>
    <w:rsid w:val="00F17DC0"/>
    <w:rsid w:val="00F2046C"/>
    <w:rsid w:val="00F20647"/>
    <w:rsid w:val="00F207FC"/>
    <w:rsid w:val="00F274DB"/>
    <w:rsid w:val="00F27877"/>
    <w:rsid w:val="00F31392"/>
    <w:rsid w:val="00F348B5"/>
    <w:rsid w:val="00F3652B"/>
    <w:rsid w:val="00F36D95"/>
    <w:rsid w:val="00F377B9"/>
    <w:rsid w:val="00F45442"/>
    <w:rsid w:val="00F5145E"/>
    <w:rsid w:val="00F558EA"/>
    <w:rsid w:val="00F5681C"/>
    <w:rsid w:val="00F6045D"/>
    <w:rsid w:val="00F613CB"/>
    <w:rsid w:val="00F61F79"/>
    <w:rsid w:val="00F651DD"/>
    <w:rsid w:val="00F656A4"/>
    <w:rsid w:val="00F6665E"/>
    <w:rsid w:val="00F6775B"/>
    <w:rsid w:val="00F7075F"/>
    <w:rsid w:val="00F71D76"/>
    <w:rsid w:val="00F73F48"/>
    <w:rsid w:val="00F8349F"/>
    <w:rsid w:val="00F83FB7"/>
    <w:rsid w:val="00F85935"/>
    <w:rsid w:val="00F85D29"/>
    <w:rsid w:val="00F969D3"/>
    <w:rsid w:val="00F9789E"/>
    <w:rsid w:val="00FA190E"/>
    <w:rsid w:val="00FA54D8"/>
    <w:rsid w:val="00FB460E"/>
    <w:rsid w:val="00FC4FB7"/>
    <w:rsid w:val="00FC6998"/>
    <w:rsid w:val="00FD1EE0"/>
    <w:rsid w:val="00FD357B"/>
    <w:rsid w:val="00FD38FC"/>
    <w:rsid w:val="00FD6119"/>
    <w:rsid w:val="00FD688E"/>
    <w:rsid w:val="00FD7C0C"/>
    <w:rsid w:val="00FE045C"/>
    <w:rsid w:val="00FE0C52"/>
    <w:rsid w:val="00FE0DC6"/>
    <w:rsid w:val="00FE1692"/>
    <w:rsid w:val="00FE3069"/>
    <w:rsid w:val="00FE3B13"/>
    <w:rsid w:val="00FE7FF9"/>
    <w:rsid w:val="00FF0566"/>
    <w:rsid w:val="00FF15F5"/>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1" w:unhideWhenUsed="0" w:qFormat="1"/>
    <w:lsdException w:name="heading 2" w:uiPriority="2" w:qFormat="1"/>
    <w:lsdException w:name="heading 3" w:uiPriority="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uiPriority="13" w:qFormat="1"/>
    <w:lsdException w:name="table of figures" w:semiHidden="0" w:uiPriority="99" w:unhideWhenUsed="0"/>
    <w:lsdException w:name="List Bullet" w:uiPriority="7" w:qFormat="1"/>
    <w:lsdException w:name="List Number" w:qFormat="1"/>
    <w:lsdException w:name="List Bullet 2" w:uiPriority="8" w:qFormat="1"/>
    <w:lsdException w:name="List Bullet 3" w:uiPriority="9"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9B70E6"/>
    <w:pPr>
      <w:keepNext/>
      <w:keepLines/>
      <w:numPr>
        <w:numId w:val="10"/>
      </w:numPr>
      <w:tabs>
        <w:tab w:val="right" w:pos="1418"/>
        <w:tab w:val="right" w:pos="1701"/>
        <w:tab w:val="right" w:pos="1985"/>
      </w:tabs>
      <w:spacing w:before="360" w:after="180"/>
      <w:outlineLvl w:val="0"/>
    </w:pPr>
    <w:rPr>
      <w:rFonts w:ascii="Calibri" w:hAnsi="Calibri"/>
      <w:bCs/>
      <w:color w:val="2B3B5F" w:themeColor="text2"/>
      <w:spacing w:val="-6"/>
      <w:kern w:val="32"/>
      <w:sz w:val="30"/>
      <w:szCs w:val="32"/>
    </w:rPr>
  </w:style>
  <w:style w:type="paragraph" w:styleId="Heading2">
    <w:name w:val="heading 2"/>
    <w:basedOn w:val="Normal"/>
    <w:next w:val="BodyText"/>
    <w:link w:val="Heading2Char"/>
    <w:uiPriority w:val="2"/>
    <w:qFormat/>
    <w:rsid w:val="00602D66"/>
    <w:pPr>
      <w:keepNext/>
      <w:keepLines/>
      <w:numPr>
        <w:ilvl w:val="1"/>
        <w:numId w:val="10"/>
      </w:numPr>
      <w:tabs>
        <w:tab w:val="left" w:pos="1418"/>
        <w:tab w:val="left" w:pos="1701"/>
        <w:tab w:val="left" w:pos="1985"/>
      </w:tabs>
      <w:spacing w:before="360" w:after="120"/>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10074"/>
    <w:pPr>
      <w:keepNext/>
      <w:keepLines/>
      <w:numPr>
        <w:numId w:val="1"/>
      </w:numPr>
      <w:tabs>
        <w:tab w:val="left" w:pos="4536"/>
      </w:tabs>
      <w:spacing w:after="240"/>
      <w:outlineLvl w:val="7"/>
    </w:pPr>
    <w:rPr>
      <w:rFonts w:ascii="Calibri" w:eastAsiaTheme="majorEastAsia" w:hAnsi="Calibri" w:cstheme="majorBidi"/>
      <w:color w:val="2B3B5F" w:themeColor="text2"/>
      <w:sz w:val="30"/>
    </w:rPr>
  </w:style>
  <w:style w:type="paragraph" w:styleId="Heading9">
    <w:name w:val="heading 9"/>
    <w:aliases w:val="Attachment Heading 1"/>
    <w:basedOn w:val="Normal"/>
    <w:next w:val="BodyText"/>
    <w:link w:val="Heading9Char"/>
    <w:uiPriority w:val="32"/>
    <w:qFormat/>
    <w:rsid w:val="002D239A"/>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9B70E6"/>
    <w:pPr>
      <w:spacing w:before="120" w:after="120"/>
    </w:pPr>
    <w:rPr>
      <w:rFonts w:cs="Times New Roman"/>
      <w:spacing w:val="-1"/>
    </w:rPr>
  </w:style>
  <w:style w:type="character" w:customStyle="1" w:styleId="BodyTextChar">
    <w:name w:val="Body Text Char"/>
    <w:basedOn w:val="DefaultParagraphFont"/>
    <w:link w:val="BodyText"/>
    <w:uiPriority w:val="5"/>
    <w:rsid w:val="009B70E6"/>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9B70E6"/>
    <w:rPr>
      <w:rFonts w:ascii="Calibri" w:hAnsi="Calibri"/>
      <w:bCs/>
      <w:color w:val="2B3B5F" w:themeColor="text2"/>
      <w:spacing w:val="-6"/>
      <w:kern w:val="32"/>
      <w:sz w:val="30"/>
      <w:szCs w:val="32"/>
    </w:rPr>
  </w:style>
  <w:style w:type="character" w:customStyle="1" w:styleId="Heading2Char">
    <w:name w:val="Heading 2 Char"/>
    <w:basedOn w:val="DefaultParagraphFont"/>
    <w:link w:val="Heading2"/>
    <w:uiPriority w:val="2"/>
    <w:rsid w:val="00602D66"/>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210074"/>
    <w:rPr>
      <w:rFonts w:ascii="Calibri" w:eastAsiaTheme="majorEastAsia" w:hAnsi="Calibri" w:cstheme="majorBidi"/>
      <w:color w:val="2B3B5F" w:themeColor="text2"/>
      <w:sz w:val="30"/>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ttachmentHeading3">
    <w:name w:val="Attachment Heading 3"/>
    <w:basedOn w:val="Normal"/>
    <w:next w:val="BodyText"/>
    <w:uiPriority w:val="34"/>
    <w:qForma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602D66"/>
    <w:pPr>
      <w:keepNext/>
      <w:spacing w:before="240" w:after="120"/>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5467E2"/>
    <w:pPr>
      <w:keepLines/>
      <w:numPr>
        <w:numId w:val="2"/>
      </w:numPr>
      <w:spacing w:before="120" w:after="120"/>
      <w:ind w:left="284" w:hanging="284"/>
    </w:pPr>
    <w:rPr>
      <w:spacing w:val="-1"/>
    </w:rPr>
  </w:style>
  <w:style w:type="paragraph" w:styleId="ListBullet2">
    <w:name w:val="List Bullet 2"/>
    <w:basedOn w:val="ListBullet"/>
    <w:uiPriority w:val="8"/>
    <w:qFormat/>
    <w:rsid w:val="006F4DB8"/>
    <w:pPr>
      <w:numPr>
        <w:ilvl w:val="1"/>
      </w:numPr>
      <w:tabs>
        <w:tab w:val="clear" w:pos="907"/>
        <w:tab w:val="num" w:pos="567"/>
      </w:tabs>
      <w:ind w:left="567" w:hanging="283"/>
    </w:pPr>
  </w:style>
  <w:style w:type="paragraph" w:styleId="ListBullet3">
    <w:name w:val="List Bullet 3"/>
    <w:basedOn w:val="ListBullet2"/>
    <w:uiPriority w:val="9"/>
    <w:qFormat/>
    <w:rsid w:val="006F4DB8"/>
    <w:pPr>
      <w:numPr>
        <w:ilvl w:val="2"/>
      </w:numPr>
      <w:tabs>
        <w:tab w:val="clear" w:pos="1361"/>
        <w:tab w:val="num" w:pos="851"/>
      </w:tabs>
      <w:ind w:left="851" w:hanging="284"/>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link w:val="PullOutBoxBodyTextChar"/>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link w:val="PullOutBoxHeadingChar"/>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9B70E6"/>
    <w:pPr>
      <w:keepLines/>
      <w:numPr>
        <w:numId w:val="7"/>
      </w:numPr>
      <w:spacing w:line="260" w:lineRule="atLeast"/>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41A6D"/>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B96341"/>
    <w:pPr>
      <w:spacing w:before="240" w:after="0"/>
    </w:pPr>
    <w:rPr>
      <w:rFonts w:ascii="Calibri" w:hAnsi="Calibri"/>
      <w:spacing w:val="0"/>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Heading1spacebefore">
    <w:name w:val="Heading 1 space before"/>
    <w:basedOn w:val="Heading1"/>
    <w:link w:val="Heading1spacebeforeChar"/>
    <w:uiPriority w:val="39"/>
    <w:qFormat/>
    <w:rsid w:val="00482F63"/>
    <w:pPr>
      <w:spacing w:before="720"/>
    </w:pPr>
  </w:style>
  <w:style w:type="character" w:customStyle="1" w:styleId="Heading1spacebeforeChar">
    <w:name w:val="Heading 1 space before Char"/>
    <w:basedOn w:val="Heading1Char"/>
    <w:link w:val="Heading1spacebefore"/>
    <w:uiPriority w:val="39"/>
    <w:rsid w:val="00482F63"/>
    <w:rPr>
      <w:rFonts w:ascii="Calibri" w:hAnsi="Calibri"/>
      <w:bCs/>
      <w:color w:val="2B3B5F" w:themeColor="text2"/>
      <w:spacing w:val="-6"/>
      <w:kern w:val="32"/>
      <w:sz w:val="30"/>
      <w:szCs w:val="32"/>
    </w:rPr>
  </w:style>
  <w:style w:type="character" w:styleId="CommentReference">
    <w:name w:val="annotation reference"/>
    <w:basedOn w:val="DefaultParagraphFont"/>
    <w:semiHidden/>
    <w:unhideWhenUsed/>
    <w:rsid w:val="009758AE"/>
    <w:rPr>
      <w:sz w:val="16"/>
      <w:szCs w:val="16"/>
    </w:rPr>
  </w:style>
  <w:style w:type="paragraph" w:styleId="CommentText">
    <w:name w:val="annotation text"/>
    <w:basedOn w:val="Normal"/>
    <w:link w:val="CommentTextChar"/>
    <w:semiHidden/>
    <w:unhideWhenUsed/>
    <w:rsid w:val="009758AE"/>
    <w:pPr>
      <w:spacing w:line="240" w:lineRule="auto"/>
    </w:pPr>
    <w:rPr>
      <w:sz w:val="20"/>
      <w:szCs w:val="20"/>
    </w:rPr>
  </w:style>
  <w:style w:type="character" w:customStyle="1" w:styleId="CommentTextChar">
    <w:name w:val="Comment Text Char"/>
    <w:basedOn w:val="DefaultParagraphFont"/>
    <w:link w:val="CommentText"/>
    <w:semiHidden/>
    <w:rsid w:val="009758AE"/>
    <w:rPr>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9758AE"/>
    <w:rPr>
      <w:b/>
      <w:bCs/>
      <w:sz w:val="20"/>
      <w:szCs w:val="20"/>
    </w:rPr>
  </w:style>
  <w:style w:type="paragraph" w:styleId="ListParagraph">
    <w:name w:val="List Paragraph"/>
    <w:basedOn w:val="Normal"/>
    <w:uiPriority w:val="39"/>
    <w:rsid w:val="001C7F8D"/>
    <w:pPr>
      <w:ind w:left="720"/>
      <w:contextualSpacing/>
    </w:pPr>
  </w:style>
  <w:style w:type="paragraph" w:customStyle="1" w:styleId="Nameofproposal">
    <w:name w:val="Name of proposal"/>
    <w:basedOn w:val="PullOutBoxHeading"/>
    <w:link w:val="NameofproposalChar"/>
    <w:uiPriority w:val="39"/>
    <w:qFormat/>
    <w:rsid w:val="00210074"/>
    <w:pPr>
      <w:keepNext w:val="0"/>
      <w:keepLines w:val="0"/>
      <w:widowControl w:val="0"/>
      <w:spacing w:line="240" w:lineRule="auto"/>
      <w:ind w:left="0" w:right="0"/>
    </w:pPr>
    <w:rPr>
      <w:rFonts w:ascii="Calibri" w:hAnsi="Calibri"/>
    </w:rPr>
  </w:style>
  <w:style w:type="character" w:customStyle="1" w:styleId="PullOutBoxBodyTextChar">
    <w:name w:val="Pull Out Box Body Text Char"/>
    <w:basedOn w:val="DefaultParagraphFont"/>
    <w:link w:val="PullOutBoxBodyText"/>
    <w:uiPriority w:val="24"/>
    <w:rsid w:val="00210074"/>
    <w:rPr>
      <w:spacing w:val="-1"/>
    </w:rPr>
  </w:style>
  <w:style w:type="character" w:customStyle="1" w:styleId="PullOutBoxHeadingChar">
    <w:name w:val="Pull Out Box Heading Char"/>
    <w:basedOn w:val="PullOutBoxBodyTextChar"/>
    <w:link w:val="PullOutBoxHeading"/>
    <w:uiPriority w:val="23"/>
    <w:rsid w:val="00210074"/>
    <w:rPr>
      <w:b/>
      <w:spacing w:val="-1"/>
    </w:rPr>
  </w:style>
  <w:style w:type="character" w:customStyle="1" w:styleId="NameofproposalChar">
    <w:name w:val="Name of proposal Char"/>
    <w:basedOn w:val="PullOutBoxHeadingChar"/>
    <w:link w:val="Nameofproposal"/>
    <w:uiPriority w:val="39"/>
    <w:rsid w:val="00210074"/>
    <w:rPr>
      <w:rFonts w:ascii="Calibri" w:hAnsi="Calibri"/>
      <w:b/>
      <w:spacing w:val="-1"/>
    </w:rPr>
  </w:style>
  <w:style w:type="paragraph" w:styleId="Revision">
    <w:name w:val="Revision"/>
    <w:hidden/>
    <w:uiPriority w:val="99"/>
    <w:semiHidden/>
    <w:rsid w:val="00EE3226"/>
    <w:pPr>
      <w:spacing w:line="240" w:lineRule="auto"/>
    </w:pPr>
  </w:style>
  <w:style w:type="paragraph" w:customStyle="1" w:styleId="Letterbullet">
    <w:name w:val="Letter bullet"/>
    <w:basedOn w:val="Lettertext"/>
    <w:uiPriority w:val="1"/>
    <w:qFormat/>
    <w:rsid w:val="009D7EE0"/>
    <w:pPr>
      <w:numPr>
        <w:numId w:val="37"/>
      </w:numPr>
      <w:ind w:left="284" w:hanging="284"/>
    </w:pPr>
    <w:rPr>
      <w:rFonts w:asciiTheme="minorHAnsi" w:hAnsiTheme="minorHAnsi"/>
    </w:rPr>
  </w:style>
  <w:style w:type="paragraph" w:customStyle="1" w:styleId="Footnote">
    <w:name w:val="Footnote"/>
    <w:basedOn w:val="FootnoteText"/>
    <w:link w:val="FootnoteChar"/>
    <w:uiPriority w:val="39"/>
    <w:qFormat/>
    <w:rsid w:val="007E2476"/>
    <w:pPr>
      <w:ind w:left="11" w:hanging="11"/>
    </w:pPr>
  </w:style>
  <w:style w:type="character" w:customStyle="1" w:styleId="FootnoteChar">
    <w:name w:val="Footnote Char"/>
    <w:basedOn w:val="FootnoteTextChar"/>
    <w:link w:val="Footnote"/>
    <w:uiPriority w:val="39"/>
    <w:rsid w:val="007E2476"/>
    <w:rPr>
      <w:kern w:val="16"/>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1" w:unhideWhenUsed="0" w:qFormat="1"/>
    <w:lsdException w:name="heading 2" w:uiPriority="2" w:qFormat="1"/>
    <w:lsdException w:name="heading 3" w:uiPriority="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uiPriority="13" w:qFormat="1"/>
    <w:lsdException w:name="table of figures" w:semiHidden="0" w:uiPriority="99" w:unhideWhenUsed="0"/>
    <w:lsdException w:name="List Bullet" w:uiPriority="7" w:qFormat="1"/>
    <w:lsdException w:name="List Number" w:qFormat="1"/>
    <w:lsdException w:name="List Bullet 2" w:uiPriority="8" w:qFormat="1"/>
    <w:lsdException w:name="List Bullet 3" w:uiPriority="9"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9B70E6"/>
    <w:pPr>
      <w:keepNext/>
      <w:keepLines/>
      <w:numPr>
        <w:numId w:val="10"/>
      </w:numPr>
      <w:tabs>
        <w:tab w:val="right" w:pos="1418"/>
        <w:tab w:val="right" w:pos="1701"/>
        <w:tab w:val="right" w:pos="1985"/>
      </w:tabs>
      <w:spacing w:before="360" w:after="180"/>
      <w:outlineLvl w:val="0"/>
    </w:pPr>
    <w:rPr>
      <w:rFonts w:ascii="Calibri" w:hAnsi="Calibri"/>
      <w:bCs/>
      <w:color w:val="2B3B5F" w:themeColor="text2"/>
      <w:spacing w:val="-6"/>
      <w:kern w:val="32"/>
      <w:sz w:val="30"/>
      <w:szCs w:val="32"/>
    </w:rPr>
  </w:style>
  <w:style w:type="paragraph" w:styleId="Heading2">
    <w:name w:val="heading 2"/>
    <w:basedOn w:val="Normal"/>
    <w:next w:val="BodyText"/>
    <w:link w:val="Heading2Char"/>
    <w:uiPriority w:val="2"/>
    <w:qFormat/>
    <w:rsid w:val="00602D66"/>
    <w:pPr>
      <w:keepNext/>
      <w:keepLines/>
      <w:numPr>
        <w:ilvl w:val="1"/>
        <w:numId w:val="10"/>
      </w:numPr>
      <w:tabs>
        <w:tab w:val="left" w:pos="1418"/>
        <w:tab w:val="left" w:pos="1701"/>
        <w:tab w:val="left" w:pos="1985"/>
      </w:tabs>
      <w:spacing w:before="360" w:after="120"/>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10074"/>
    <w:pPr>
      <w:keepNext/>
      <w:keepLines/>
      <w:numPr>
        <w:numId w:val="1"/>
      </w:numPr>
      <w:tabs>
        <w:tab w:val="left" w:pos="4536"/>
      </w:tabs>
      <w:spacing w:after="240"/>
      <w:outlineLvl w:val="7"/>
    </w:pPr>
    <w:rPr>
      <w:rFonts w:ascii="Calibri" w:eastAsiaTheme="majorEastAsia" w:hAnsi="Calibri" w:cstheme="majorBidi"/>
      <w:color w:val="2B3B5F" w:themeColor="text2"/>
      <w:sz w:val="30"/>
    </w:rPr>
  </w:style>
  <w:style w:type="paragraph" w:styleId="Heading9">
    <w:name w:val="heading 9"/>
    <w:aliases w:val="Attachment Heading 1"/>
    <w:basedOn w:val="Normal"/>
    <w:next w:val="BodyText"/>
    <w:link w:val="Heading9Char"/>
    <w:uiPriority w:val="32"/>
    <w:qFormat/>
    <w:rsid w:val="002D239A"/>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9B70E6"/>
    <w:pPr>
      <w:spacing w:before="120" w:after="120"/>
    </w:pPr>
    <w:rPr>
      <w:rFonts w:cs="Times New Roman"/>
      <w:spacing w:val="-1"/>
    </w:rPr>
  </w:style>
  <w:style w:type="character" w:customStyle="1" w:styleId="BodyTextChar">
    <w:name w:val="Body Text Char"/>
    <w:basedOn w:val="DefaultParagraphFont"/>
    <w:link w:val="BodyText"/>
    <w:uiPriority w:val="5"/>
    <w:rsid w:val="009B70E6"/>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9B70E6"/>
    <w:rPr>
      <w:rFonts w:ascii="Calibri" w:hAnsi="Calibri"/>
      <w:bCs/>
      <w:color w:val="2B3B5F" w:themeColor="text2"/>
      <w:spacing w:val="-6"/>
      <w:kern w:val="32"/>
      <w:sz w:val="30"/>
      <w:szCs w:val="32"/>
    </w:rPr>
  </w:style>
  <w:style w:type="character" w:customStyle="1" w:styleId="Heading2Char">
    <w:name w:val="Heading 2 Char"/>
    <w:basedOn w:val="DefaultParagraphFont"/>
    <w:link w:val="Heading2"/>
    <w:uiPriority w:val="2"/>
    <w:rsid w:val="00602D66"/>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210074"/>
    <w:rPr>
      <w:rFonts w:ascii="Calibri" w:eastAsiaTheme="majorEastAsia" w:hAnsi="Calibri" w:cstheme="majorBidi"/>
      <w:color w:val="2B3B5F" w:themeColor="text2"/>
      <w:sz w:val="30"/>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ttachmentHeading3">
    <w:name w:val="Attachment Heading 3"/>
    <w:basedOn w:val="Normal"/>
    <w:next w:val="BodyText"/>
    <w:uiPriority w:val="34"/>
    <w:qForma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602D66"/>
    <w:pPr>
      <w:keepNext/>
      <w:spacing w:before="240" w:after="120"/>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5467E2"/>
    <w:pPr>
      <w:keepLines/>
      <w:numPr>
        <w:numId w:val="2"/>
      </w:numPr>
      <w:spacing w:before="120" w:after="120"/>
      <w:ind w:left="284" w:hanging="284"/>
    </w:pPr>
    <w:rPr>
      <w:spacing w:val="-1"/>
    </w:rPr>
  </w:style>
  <w:style w:type="paragraph" w:styleId="ListBullet2">
    <w:name w:val="List Bullet 2"/>
    <w:basedOn w:val="ListBullet"/>
    <w:uiPriority w:val="8"/>
    <w:qFormat/>
    <w:rsid w:val="006F4DB8"/>
    <w:pPr>
      <w:numPr>
        <w:ilvl w:val="1"/>
      </w:numPr>
      <w:tabs>
        <w:tab w:val="clear" w:pos="907"/>
        <w:tab w:val="num" w:pos="567"/>
      </w:tabs>
      <w:ind w:left="567" w:hanging="283"/>
    </w:pPr>
  </w:style>
  <w:style w:type="paragraph" w:styleId="ListBullet3">
    <w:name w:val="List Bullet 3"/>
    <w:basedOn w:val="ListBullet2"/>
    <w:uiPriority w:val="9"/>
    <w:qFormat/>
    <w:rsid w:val="006F4DB8"/>
    <w:pPr>
      <w:numPr>
        <w:ilvl w:val="2"/>
      </w:numPr>
      <w:tabs>
        <w:tab w:val="clear" w:pos="1361"/>
        <w:tab w:val="num" w:pos="851"/>
      </w:tabs>
      <w:ind w:left="851" w:hanging="284"/>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link w:val="PullOutBoxBodyTextChar"/>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link w:val="PullOutBoxHeadingChar"/>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9B70E6"/>
    <w:pPr>
      <w:keepLines/>
      <w:numPr>
        <w:numId w:val="7"/>
      </w:numPr>
      <w:spacing w:line="260" w:lineRule="atLeast"/>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41A6D"/>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B96341"/>
    <w:pPr>
      <w:spacing w:before="240" w:after="0"/>
    </w:pPr>
    <w:rPr>
      <w:rFonts w:ascii="Calibri" w:hAnsi="Calibri"/>
      <w:spacing w:val="0"/>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Heading1spacebefore">
    <w:name w:val="Heading 1 space before"/>
    <w:basedOn w:val="Heading1"/>
    <w:link w:val="Heading1spacebeforeChar"/>
    <w:uiPriority w:val="39"/>
    <w:qFormat/>
    <w:rsid w:val="00482F63"/>
    <w:pPr>
      <w:spacing w:before="720"/>
    </w:pPr>
  </w:style>
  <w:style w:type="character" w:customStyle="1" w:styleId="Heading1spacebeforeChar">
    <w:name w:val="Heading 1 space before Char"/>
    <w:basedOn w:val="Heading1Char"/>
    <w:link w:val="Heading1spacebefore"/>
    <w:uiPriority w:val="39"/>
    <w:rsid w:val="00482F63"/>
    <w:rPr>
      <w:rFonts w:ascii="Calibri" w:hAnsi="Calibri"/>
      <w:bCs/>
      <w:color w:val="2B3B5F" w:themeColor="text2"/>
      <w:spacing w:val="-6"/>
      <w:kern w:val="32"/>
      <w:sz w:val="30"/>
      <w:szCs w:val="32"/>
    </w:rPr>
  </w:style>
  <w:style w:type="character" w:styleId="CommentReference">
    <w:name w:val="annotation reference"/>
    <w:basedOn w:val="DefaultParagraphFont"/>
    <w:semiHidden/>
    <w:unhideWhenUsed/>
    <w:rsid w:val="009758AE"/>
    <w:rPr>
      <w:sz w:val="16"/>
      <w:szCs w:val="16"/>
    </w:rPr>
  </w:style>
  <w:style w:type="paragraph" w:styleId="CommentText">
    <w:name w:val="annotation text"/>
    <w:basedOn w:val="Normal"/>
    <w:link w:val="CommentTextChar"/>
    <w:semiHidden/>
    <w:unhideWhenUsed/>
    <w:rsid w:val="009758AE"/>
    <w:pPr>
      <w:spacing w:line="240" w:lineRule="auto"/>
    </w:pPr>
    <w:rPr>
      <w:sz w:val="20"/>
      <w:szCs w:val="20"/>
    </w:rPr>
  </w:style>
  <w:style w:type="character" w:customStyle="1" w:styleId="CommentTextChar">
    <w:name w:val="Comment Text Char"/>
    <w:basedOn w:val="DefaultParagraphFont"/>
    <w:link w:val="CommentText"/>
    <w:semiHidden/>
    <w:rsid w:val="009758AE"/>
    <w:rPr>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9758AE"/>
    <w:rPr>
      <w:b/>
      <w:bCs/>
      <w:sz w:val="20"/>
      <w:szCs w:val="20"/>
    </w:rPr>
  </w:style>
  <w:style w:type="paragraph" w:styleId="ListParagraph">
    <w:name w:val="List Paragraph"/>
    <w:basedOn w:val="Normal"/>
    <w:uiPriority w:val="39"/>
    <w:rsid w:val="001C7F8D"/>
    <w:pPr>
      <w:ind w:left="720"/>
      <w:contextualSpacing/>
    </w:pPr>
  </w:style>
  <w:style w:type="paragraph" w:customStyle="1" w:styleId="Nameofproposal">
    <w:name w:val="Name of proposal"/>
    <w:basedOn w:val="PullOutBoxHeading"/>
    <w:link w:val="NameofproposalChar"/>
    <w:uiPriority w:val="39"/>
    <w:qFormat/>
    <w:rsid w:val="00210074"/>
    <w:pPr>
      <w:keepNext w:val="0"/>
      <w:keepLines w:val="0"/>
      <w:widowControl w:val="0"/>
      <w:spacing w:line="240" w:lineRule="auto"/>
      <w:ind w:left="0" w:right="0"/>
    </w:pPr>
    <w:rPr>
      <w:rFonts w:ascii="Calibri" w:hAnsi="Calibri"/>
    </w:rPr>
  </w:style>
  <w:style w:type="character" w:customStyle="1" w:styleId="PullOutBoxBodyTextChar">
    <w:name w:val="Pull Out Box Body Text Char"/>
    <w:basedOn w:val="DefaultParagraphFont"/>
    <w:link w:val="PullOutBoxBodyText"/>
    <w:uiPriority w:val="24"/>
    <w:rsid w:val="00210074"/>
    <w:rPr>
      <w:spacing w:val="-1"/>
    </w:rPr>
  </w:style>
  <w:style w:type="character" w:customStyle="1" w:styleId="PullOutBoxHeadingChar">
    <w:name w:val="Pull Out Box Heading Char"/>
    <w:basedOn w:val="PullOutBoxBodyTextChar"/>
    <w:link w:val="PullOutBoxHeading"/>
    <w:uiPriority w:val="23"/>
    <w:rsid w:val="00210074"/>
    <w:rPr>
      <w:b/>
      <w:spacing w:val="-1"/>
    </w:rPr>
  </w:style>
  <w:style w:type="character" w:customStyle="1" w:styleId="NameofproposalChar">
    <w:name w:val="Name of proposal Char"/>
    <w:basedOn w:val="PullOutBoxHeadingChar"/>
    <w:link w:val="Nameofproposal"/>
    <w:uiPriority w:val="39"/>
    <w:rsid w:val="00210074"/>
    <w:rPr>
      <w:rFonts w:ascii="Calibri" w:hAnsi="Calibri"/>
      <w:b/>
      <w:spacing w:val="-1"/>
    </w:rPr>
  </w:style>
  <w:style w:type="paragraph" w:styleId="Revision">
    <w:name w:val="Revision"/>
    <w:hidden/>
    <w:uiPriority w:val="99"/>
    <w:semiHidden/>
    <w:rsid w:val="00EE3226"/>
    <w:pPr>
      <w:spacing w:line="240" w:lineRule="auto"/>
    </w:pPr>
  </w:style>
  <w:style w:type="paragraph" w:customStyle="1" w:styleId="Letterbullet">
    <w:name w:val="Letter bullet"/>
    <w:basedOn w:val="Lettertext"/>
    <w:uiPriority w:val="1"/>
    <w:qFormat/>
    <w:rsid w:val="009D7EE0"/>
    <w:pPr>
      <w:numPr>
        <w:numId w:val="37"/>
      </w:numPr>
      <w:ind w:left="284" w:hanging="284"/>
    </w:pPr>
    <w:rPr>
      <w:rFonts w:asciiTheme="minorHAnsi" w:hAnsiTheme="minorHAnsi"/>
    </w:rPr>
  </w:style>
  <w:style w:type="paragraph" w:customStyle="1" w:styleId="Footnote">
    <w:name w:val="Footnote"/>
    <w:basedOn w:val="FootnoteText"/>
    <w:link w:val="FootnoteChar"/>
    <w:uiPriority w:val="39"/>
    <w:qFormat/>
    <w:rsid w:val="007E2476"/>
    <w:pPr>
      <w:ind w:left="11" w:hanging="11"/>
    </w:pPr>
  </w:style>
  <w:style w:type="character" w:customStyle="1" w:styleId="FootnoteChar">
    <w:name w:val="Footnote Char"/>
    <w:basedOn w:val="FootnoteTextChar"/>
    <w:link w:val="Footnote"/>
    <w:uiPriority w:val="39"/>
    <w:rsid w:val="007E2476"/>
    <w:rPr>
      <w:kern w:val="1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1382709790">
      <w:bodyDiv w:val="1"/>
      <w:marLeft w:val="0"/>
      <w:marRight w:val="0"/>
      <w:marTop w:val="0"/>
      <w:marBottom w:val="0"/>
      <w:divBdr>
        <w:top w:val="none" w:sz="0" w:space="0" w:color="auto"/>
        <w:left w:val="none" w:sz="0" w:space="0" w:color="auto"/>
        <w:bottom w:val="none" w:sz="0" w:space="0" w:color="auto"/>
        <w:right w:val="none" w:sz="0" w:space="0" w:color="auto"/>
      </w:divBdr>
    </w:div>
    <w:div w:id="20424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1.%20PR,%20IR\CLC%20and%20CM%20&#8211;%20RBA.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D996A4252B48C399CB64816464D84A"/>
        <w:category>
          <w:name w:val="General"/>
          <w:gallery w:val="placeholder"/>
        </w:category>
        <w:types>
          <w:type w:val="bbPlcHdr"/>
        </w:types>
        <w:behaviors>
          <w:behavior w:val="content"/>
        </w:behaviors>
        <w:guid w:val="{5E30EC1B-0475-42F0-9BEA-D341B8A02D45}"/>
      </w:docPartPr>
      <w:docPartBody>
        <w:p w:rsidR="00F6329A" w:rsidRDefault="00F6329A">
          <w:pPr>
            <w:pStyle w:val="9ED996A4252B48C399CB64816464D84A"/>
          </w:pPr>
          <w:r w:rsidRPr="009253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A"/>
    <w:rsid w:val="00B90AE1"/>
    <w:rsid w:val="00F632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39"/>
    <w:rPr>
      <w:color w:val="808080"/>
    </w:rPr>
  </w:style>
  <w:style w:type="paragraph" w:customStyle="1" w:styleId="9ED996A4252B48C399CB64816464D84A">
    <w:name w:val="9ED996A4252B48C399CB64816464D8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39"/>
    <w:rPr>
      <w:color w:val="808080"/>
    </w:rPr>
  </w:style>
  <w:style w:type="paragraph" w:customStyle="1" w:styleId="9ED996A4252B48C399CB64816464D84A">
    <w:name w:val="9ED996A4252B48C399CB64816464D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Com17</b:Tag>
    <b:SourceType>Report</b:SourceType>
    <b:Guid>{5D22630B-20D5-45CA-BA98-CA8033D5E870}</b:Guid>
    <b:Author>
      <b:Author>
        <b:Corporate>Commonwealth of Australia</b:Corporate>
      </b:Author>
    </b:Author>
    <b:Title>2017-18 Budget</b:Title>
    <b:Year>2017</b:Year>
    <b:Publisher>Commonwealth of Australia</b:Publisher>
    <b:City>Canberra</b:City>
    <b:RefOrder>1</b:RefOrder>
  </b:Source>
</b:Sources>
</file>

<file path=customXml/itemProps1.xml><?xml version="1.0" encoding="utf-8"?>
<ds:datastoreItem xmlns:ds="http://schemas.openxmlformats.org/officeDocument/2006/customXml" ds:itemID="{D73D6FB5-D78A-42DB-864F-45A5D56C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CLC and CM – RBA.dotm</Template>
  <TotalTime>12</TotalTime>
  <Pages>3</Pages>
  <Words>1330</Words>
  <Characters>6614</Characters>
  <Application>Microsoft Office Word</Application>
  <DocSecurity>0</DocSecurity>
  <Lines>367</Lines>
  <Paragraphs>273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budget analysis</dc:title>
  <dc:creator>Parliamentary Budget Office</dc:creator>
  <cp:lastModifiedBy>Moorhouse, Helen (PBO)</cp:lastModifiedBy>
  <cp:revision>5</cp:revision>
  <cp:lastPrinted>2018-06-01T02:47:00Z</cp:lastPrinted>
  <dcterms:created xsi:type="dcterms:W3CDTF">2018-06-05T23:14:00Z</dcterms:created>
  <dcterms:modified xsi:type="dcterms:W3CDTF">2018-06-05T23:54:00Z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Attachment</vt:lpwstr>
  </property>
</Properties>
</file>