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8E" w:rsidRDefault="00AA478E" w:rsidP="00AA478E">
      <w:pPr>
        <w:pStyle w:val="Heading1spacebefore"/>
        <w:tabs>
          <w:tab w:val="left" w:pos="2694"/>
        </w:tabs>
        <w:spacing w:before="480" w:after="240"/>
        <w:rPr>
          <w:sz w:val="32"/>
        </w:rPr>
      </w:pPr>
      <w:bookmarkStart w:id="0" w:name="_GoBack"/>
      <w:bookmarkEnd w:id="0"/>
      <w:r w:rsidRPr="008D4FA9">
        <w:rPr>
          <w:sz w:val="32"/>
        </w:rPr>
        <w:t xml:space="preserve">Policy costing </w:t>
      </w:r>
    </w:p>
    <w:tbl>
      <w:tblPr>
        <w:tblStyle w:val="LightGrid-Accent6"/>
        <w:tblW w:w="4992" w:type="pct"/>
        <w:tblLook w:val="0600" w:firstRow="0" w:lastRow="0" w:firstColumn="0" w:lastColumn="0" w:noHBand="1" w:noVBand="1"/>
      </w:tblPr>
      <w:tblGrid>
        <w:gridCol w:w="3629"/>
        <w:gridCol w:w="2835"/>
        <w:gridCol w:w="2807"/>
      </w:tblGrid>
      <w:tr w:rsidR="00AA478E" w:rsidRPr="008D77AF" w:rsidTr="00013620">
        <w:tc>
          <w:tcPr>
            <w:tcW w:w="5000" w:type="pct"/>
            <w:gridSpan w:val="3"/>
            <w:shd w:val="clear" w:color="auto" w:fill="D7DDE9" w:themeFill="accent3"/>
          </w:tcPr>
          <w:p w:rsidR="00AA478E" w:rsidRPr="008D77AF" w:rsidRDefault="002D6B7B" w:rsidP="00013620">
            <w:pPr>
              <w:pStyle w:val="Nameofproposal"/>
            </w:pPr>
            <w:r>
              <w:t xml:space="preserve">Magnetic </w:t>
            </w:r>
            <w:r w:rsidR="008D3E41">
              <w:t>R</w:t>
            </w:r>
            <w:r>
              <w:t xml:space="preserve">esonance </w:t>
            </w:r>
            <w:r w:rsidR="008D3E41">
              <w:t>I</w:t>
            </w:r>
            <w:r>
              <w:t>maging (MRI) licences for Mount Barker and Victor Harbor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Person/party requesting the costing:</w:t>
            </w:r>
          </w:p>
        </w:tc>
        <w:tc>
          <w:tcPr>
            <w:tcW w:w="3043" w:type="pct"/>
            <w:gridSpan w:val="2"/>
            <w:tcBorders>
              <w:bottom w:val="single" w:sz="8" w:space="0" w:color="788184" w:themeColor="accent6"/>
            </w:tcBorders>
          </w:tcPr>
          <w:p w:rsidR="00AA478E" w:rsidRPr="008D77AF" w:rsidRDefault="00311CEB" w:rsidP="00696DCC">
            <w:pPr>
              <w:pStyle w:val="BodyText"/>
            </w:pPr>
            <w:r>
              <w:t>Ms Rebekha Sharkie MP, Centre Alliance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Date costing completed:</w:t>
            </w:r>
          </w:p>
        </w:tc>
        <w:tc>
          <w:tcPr>
            <w:tcW w:w="3043" w:type="pct"/>
            <w:gridSpan w:val="2"/>
          </w:tcPr>
          <w:p w:rsidR="00AA478E" w:rsidRPr="008D77AF" w:rsidRDefault="00646D8E" w:rsidP="00696DCC">
            <w:pPr>
              <w:pStyle w:val="BodyText"/>
            </w:pPr>
            <w:r>
              <w:t>23</w:t>
            </w:r>
            <w:r w:rsidR="00D52C57">
              <w:t xml:space="preserve"> August 2018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Expiry date of the costing:</w:t>
            </w:r>
          </w:p>
        </w:tc>
        <w:tc>
          <w:tcPr>
            <w:tcW w:w="3043" w:type="pct"/>
            <w:gridSpan w:val="2"/>
          </w:tcPr>
          <w:p w:rsidR="00AA478E" w:rsidRPr="008D77AF" w:rsidRDefault="00AA478E" w:rsidP="00696DCC">
            <w:pPr>
              <w:pStyle w:val="BodyText"/>
            </w:pPr>
            <w:r w:rsidRPr="008D77AF">
              <w:t>Release of the next economic and fiscal outlook report.</w:t>
            </w:r>
          </w:p>
        </w:tc>
      </w:tr>
      <w:tr w:rsidR="00AA478E" w:rsidTr="00013620">
        <w:tc>
          <w:tcPr>
            <w:tcW w:w="1957" w:type="pct"/>
            <w:vMerge w:val="restart"/>
          </w:tcPr>
          <w:p w:rsidR="00AA478E" w:rsidRDefault="00AA478E" w:rsidP="00696DCC">
            <w:pPr>
              <w:pStyle w:val="BodyText"/>
            </w:pPr>
            <w:r>
              <w:t>Status at time of request</w:t>
            </w:r>
            <w:r w:rsidRPr="008D77AF">
              <w:t>:</w:t>
            </w:r>
          </w:p>
        </w:tc>
        <w:tc>
          <w:tcPr>
            <w:tcW w:w="3043" w:type="pct"/>
            <w:gridSpan w:val="2"/>
            <w:tcBorders>
              <w:bottom w:val="nil"/>
              <w:right w:val="single" w:sz="8" w:space="0" w:color="788184" w:themeColor="accent6"/>
            </w:tcBorders>
          </w:tcPr>
          <w:p w:rsidR="00AA478E" w:rsidRDefault="00AA478E" w:rsidP="00696DCC">
            <w:pPr>
              <w:pStyle w:val="BodyText"/>
            </w:pPr>
            <w:r>
              <w:t>Submitted outside the caretaker period</w:t>
            </w:r>
          </w:p>
        </w:tc>
      </w:tr>
      <w:tr w:rsidR="00AA478E" w:rsidRPr="008D77AF" w:rsidTr="00013620">
        <w:tc>
          <w:tcPr>
            <w:tcW w:w="1957" w:type="pct"/>
            <w:vMerge/>
          </w:tcPr>
          <w:p w:rsidR="00AA478E" w:rsidRPr="008D77AF" w:rsidRDefault="00AA478E" w:rsidP="00013620">
            <w:pPr>
              <w:pStyle w:val="PullOutBoxBodyText"/>
              <w:ind w:left="0" w:right="0"/>
            </w:pPr>
          </w:p>
        </w:tc>
        <w:tc>
          <w:tcPr>
            <w:tcW w:w="1529" w:type="pct"/>
            <w:tcBorders>
              <w:top w:val="nil"/>
              <w:right w:val="nil"/>
            </w:tcBorders>
          </w:tcPr>
          <w:p w:rsidR="00AA478E" w:rsidRPr="008D77AF" w:rsidRDefault="00DD6D7C" w:rsidP="00696DCC">
            <w:pPr>
              <w:pStyle w:val="BodyText"/>
            </w:pPr>
            <w:sdt>
              <w:sdtPr>
                <w:id w:val="-90191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C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478E" w:rsidRPr="008D77AF">
              <w:t xml:space="preserve"> </w:t>
            </w:r>
            <w:r w:rsidR="00AA478E">
              <w:t>Confidential</w:t>
            </w:r>
          </w:p>
        </w:tc>
        <w:tc>
          <w:tcPr>
            <w:tcW w:w="1514" w:type="pct"/>
            <w:tcBorders>
              <w:top w:val="nil"/>
              <w:left w:val="nil"/>
              <w:right w:val="single" w:sz="8" w:space="0" w:color="788184" w:themeColor="accent6"/>
            </w:tcBorders>
          </w:tcPr>
          <w:p w:rsidR="00AA478E" w:rsidRPr="008D77AF" w:rsidRDefault="00DD6D7C" w:rsidP="00696DCC">
            <w:pPr>
              <w:pStyle w:val="BodyText"/>
            </w:pPr>
            <w:sdt>
              <w:sdtPr>
                <w:id w:val="1635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8E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78E" w:rsidRPr="008D77AF">
              <w:t xml:space="preserve"> No</w:t>
            </w:r>
            <w:r w:rsidR="00AA478E">
              <w:t>t confidential</w:t>
            </w:r>
          </w:p>
        </w:tc>
      </w:tr>
      <w:tr w:rsidR="00AA478E" w:rsidRPr="008D77AF" w:rsidTr="00013620">
        <w:tc>
          <w:tcPr>
            <w:tcW w:w="5000" w:type="pct"/>
            <w:gridSpan w:val="3"/>
          </w:tcPr>
          <w:p w:rsidR="00AA478E" w:rsidRPr="00E75D5E" w:rsidRDefault="00AA478E" w:rsidP="00696DCC">
            <w:pPr>
              <w:pStyle w:val="BodyText"/>
            </w:pPr>
            <w:r w:rsidRPr="00E75D5E">
              <w:t>Summary of proposal:</w:t>
            </w:r>
          </w:p>
          <w:p w:rsidR="00AA478E" w:rsidRDefault="002D6B7B" w:rsidP="00696DCC">
            <w:pPr>
              <w:pStyle w:val="BodyText"/>
            </w:pPr>
            <w:r>
              <w:t xml:space="preserve">This proposal would grant two </w:t>
            </w:r>
            <w:r w:rsidR="00137292">
              <w:t xml:space="preserve">MRI machines with </w:t>
            </w:r>
            <w:r>
              <w:t xml:space="preserve">full </w:t>
            </w:r>
            <w:r w:rsidR="00137292">
              <w:t xml:space="preserve">Medicare rebate </w:t>
            </w:r>
            <w:r>
              <w:t>licences</w:t>
            </w:r>
            <w:r w:rsidR="008D3E41">
              <w:t>, one</w:t>
            </w:r>
            <w:r w:rsidR="00757EF0">
              <w:t xml:space="preserve"> </w:t>
            </w:r>
            <w:r w:rsidR="008D3E41">
              <w:t xml:space="preserve">in </w:t>
            </w:r>
            <w:r>
              <w:t xml:space="preserve">Mount Barker and </w:t>
            </w:r>
            <w:r w:rsidR="008D3E41">
              <w:t xml:space="preserve">one in </w:t>
            </w:r>
            <w:r>
              <w:t>Victor Harbor</w:t>
            </w:r>
            <w:r w:rsidR="00D90291">
              <w:t>, South Australia</w:t>
            </w:r>
            <w:r>
              <w:t>.</w:t>
            </w:r>
            <w:r w:rsidR="00D00E54">
              <w:t xml:space="preserve">  </w:t>
            </w:r>
            <w:r w:rsidR="00D00E54" w:rsidRPr="00D00E54">
              <w:t>Granting an MRI lice</w:t>
            </w:r>
            <w:r w:rsidR="00D90291">
              <w:t xml:space="preserve">nce means that the Commonwealth Government </w:t>
            </w:r>
            <w:r w:rsidR="00D00E54" w:rsidRPr="00D00E54">
              <w:t>pays Medicare rebates for images from those machines.</w:t>
            </w:r>
            <w:r w:rsidR="006C692A">
              <w:t xml:space="preserve">  </w:t>
            </w:r>
            <w:r w:rsidR="006C692A" w:rsidRPr="006C692A">
              <w:t>Full licences mean patient</w:t>
            </w:r>
            <w:r w:rsidR="00AE084F">
              <w:t>s</w:t>
            </w:r>
            <w:r w:rsidR="006C692A" w:rsidRPr="006C692A">
              <w:t xml:space="preserve"> can receive a rebate for any MRI item on the Medicare Benefits Schedule.</w:t>
            </w:r>
          </w:p>
          <w:p w:rsidR="002D6B7B" w:rsidRPr="008D77AF" w:rsidRDefault="002D6B7B" w:rsidP="00696DCC">
            <w:pPr>
              <w:pStyle w:val="BodyText"/>
            </w:pPr>
            <w:r>
              <w:t>Th</w:t>
            </w:r>
            <w:r w:rsidR="008D3E41">
              <w:t>e</w:t>
            </w:r>
            <w:r>
              <w:t xml:space="preserve"> proposal would have effect from 1 July 2019.</w:t>
            </w:r>
          </w:p>
        </w:tc>
      </w:tr>
    </w:tbl>
    <w:p w:rsidR="00AA478E" w:rsidRDefault="00AA478E" w:rsidP="00AA478E">
      <w:pPr>
        <w:pStyle w:val="Heading1"/>
      </w:pPr>
      <w:r w:rsidRPr="008D77AF">
        <w:t>Costing overview</w:t>
      </w:r>
    </w:p>
    <w:p w:rsidR="002D6B7B" w:rsidRDefault="002D6B7B" w:rsidP="002D6B7B">
      <w:pPr>
        <w:pStyle w:val="BodyText"/>
      </w:pPr>
      <w:r>
        <w:t>This proposal would be expected to decrease both the fiscal and underlying cash balances by $</w:t>
      </w:r>
      <w:r w:rsidR="00891D19">
        <w:t>8.4 </w:t>
      </w:r>
      <w:r>
        <w:t xml:space="preserve">million over the 2018-19 Budget forward estimates period. </w:t>
      </w:r>
      <w:r w:rsidR="006B2109">
        <w:t xml:space="preserve"> </w:t>
      </w:r>
      <w:r>
        <w:t>This impact is due to an increase in administered expenses of $</w:t>
      </w:r>
      <w:r w:rsidR="00891D19">
        <w:t>8.4</w:t>
      </w:r>
      <w:r>
        <w:t xml:space="preserve"> million and a minor increase in departmental expenses.</w:t>
      </w:r>
    </w:p>
    <w:p w:rsidR="002D6B7B" w:rsidRDefault="002D6B7B" w:rsidP="002D6B7B">
      <w:pPr>
        <w:pStyle w:val="BodyText"/>
      </w:pPr>
      <w:r>
        <w:t>The proposal would be expected to have an ongoing impact beyond the 2018-19 Budget forward estimates period</w:t>
      </w:r>
      <w:r w:rsidR="00D00E54">
        <w:t>.</w:t>
      </w:r>
      <w:r>
        <w:t xml:space="preserve"> </w:t>
      </w:r>
      <w:r w:rsidR="00D00E54">
        <w:t xml:space="preserve"> F</w:t>
      </w:r>
      <w:r>
        <w:t xml:space="preserve">inancial implications for the period 2018-19 to 2028-29 are provided at </w:t>
      </w:r>
      <w:r w:rsidRPr="002D6B7B">
        <w:rPr>
          <w:u w:val="single"/>
        </w:rPr>
        <w:t>Attachment A</w:t>
      </w:r>
      <w:r>
        <w:t>.</w:t>
      </w:r>
    </w:p>
    <w:p w:rsidR="002D6B7B" w:rsidRDefault="002D6B7B" w:rsidP="002D6B7B">
      <w:pPr>
        <w:pStyle w:val="BodyText"/>
      </w:pPr>
      <w:r>
        <w:t xml:space="preserve">The financial implications of this proposal are sensitive to the level and composition of services </w:t>
      </w:r>
      <w:r w:rsidR="00D00E54">
        <w:t>supplied</w:t>
      </w:r>
      <w:r>
        <w:t xml:space="preserve"> by the newly licensed machines and the Medicare rebates paid for MRI items. </w:t>
      </w:r>
    </w:p>
    <w:p w:rsidR="0050132A" w:rsidRPr="00F274DB" w:rsidRDefault="0050132A" w:rsidP="00916F37">
      <w:pPr>
        <w:pStyle w:val="Caption"/>
      </w:pPr>
      <w:r w:rsidRPr="00916F37">
        <w:t xml:space="preserve">Table </w:t>
      </w:r>
      <w:r w:rsidR="00AB4593">
        <w:t>1</w:t>
      </w:r>
      <w:r w:rsidRPr="00916F37">
        <w:t>: Financial implications ($m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742"/>
        <w:gridCol w:w="1310"/>
        <w:gridCol w:w="1309"/>
        <w:gridCol w:w="1309"/>
        <w:gridCol w:w="1309"/>
        <w:gridCol w:w="1307"/>
      </w:tblGrid>
      <w:tr w:rsidR="00FC65E5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"/>
              <w:rPr>
                <w:b w:val="0"/>
                <w:sz w:val="22"/>
              </w:rPr>
            </w:pP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866043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866043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2019–20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866043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2020–21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2021–22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FC65E5" w:rsidRPr="009B70E6" w:rsidRDefault="00FC65E5" w:rsidP="00FC65E5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B70E6">
              <w:rPr>
                <w:sz w:val="22"/>
              </w:rPr>
              <w:t>Total to 202</w:t>
            </w:r>
            <w:r>
              <w:rPr>
                <w:sz w:val="22"/>
              </w:rPr>
              <w:t>1</w:t>
            </w:r>
            <w:r w:rsidRPr="009B70E6">
              <w:rPr>
                <w:sz w:val="22"/>
              </w:rPr>
              <w:t>–2</w:t>
            </w:r>
            <w:r>
              <w:rPr>
                <w:sz w:val="22"/>
              </w:rPr>
              <w:t>2</w:t>
            </w:r>
          </w:p>
        </w:tc>
      </w:tr>
      <w:tr w:rsidR="00FC65E5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FC65E5" w:rsidRPr="009B70E6" w:rsidRDefault="00FC65E5" w:rsidP="006262CF">
            <w:pPr>
              <w:pStyle w:val="TableHeading"/>
              <w:rPr>
                <w:rFonts w:asciiTheme="majorHAnsi" w:hAnsiTheme="majorHAnsi"/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..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-2.6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-2.8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-2.9</w:t>
            </w:r>
          </w:p>
        </w:tc>
        <w:tc>
          <w:tcPr>
            <w:tcW w:w="704" w:type="pct"/>
            <w:vAlign w:val="center"/>
          </w:tcPr>
          <w:p w:rsidR="00FC65E5" w:rsidRPr="009B70E6" w:rsidRDefault="00891D19" w:rsidP="006262CF">
            <w:pPr>
              <w:pStyle w:val="TableTextRightBol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-8.4</w:t>
            </w:r>
          </w:p>
        </w:tc>
      </w:tr>
      <w:tr w:rsidR="00FC65E5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FC65E5" w:rsidRPr="009B70E6" w:rsidRDefault="00FC65E5" w:rsidP="006262CF">
            <w:pPr>
              <w:pStyle w:val="TableHeading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..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-2.6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-2.8</w:t>
            </w:r>
          </w:p>
        </w:tc>
        <w:tc>
          <w:tcPr>
            <w:tcW w:w="705" w:type="pct"/>
            <w:vAlign w:val="center"/>
          </w:tcPr>
          <w:p w:rsidR="00FC65E5" w:rsidRPr="009B70E6" w:rsidRDefault="00891D19" w:rsidP="006262CF">
            <w:pPr>
              <w:pStyle w:val="TableTextRigh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-2.9</w:t>
            </w:r>
          </w:p>
        </w:tc>
        <w:tc>
          <w:tcPr>
            <w:tcW w:w="704" w:type="pct"/>
            <w:vAlign w:val="center"/>
          </w:tcPr>
          <w:p w:rsidR="00FC65E5" w:rsidRPr="009B70E6" w:rsidRDefault="00891D19" w:rsidP="006262CF">
            <w:pPr>
              <w:pStyle w:val="TableTextRightBol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-8.4</w:t>
            </w:r>
          </w:p>
        </w:tc>
      </w:tr>
    </w:tbl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(a)</w:t>
      </w:r>
      <w:r w:rsidRPr="00A162FE">
        <w:rPr>
          <w:sz w:val="20"/>
          <w:szCs w:val="20"/>
        </w:rPr>
        <w:tab/>
        <w:t>A positive number represents an increase in the relevant budget balance; a negative number represents a decrease.</w:t>
      </w:r>
    </w:p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(b)</w:t>
      </w:r>
      <w:r w:rsidRPr="00A162FE">
        <w:rPr>
          <w:sz w:val="20"/>
          <w:szCs w:val="20"/>
        </w:rPr>
        <w:tab/>
        <w:t>Figures may not sum to totals due to rounding.</w:t>
      </w:r>
    </w:p>
    <w:p w:rsidR="0050132A" w:rsidRPr="004F6A83" w:rsidRDefault="0050132A" w:rsidP="00E82C6A">
      <w:pPr>
        <w:keepLines/>
        <w:spacing w:line="260" w:lineRule="atLeast"/>
        <w:ind w:left="284" w:hanging="284"/>
        <w:rPr>
          <w:sz w:val="20"/>
          <w:szCs w:val="20"/>
        </w:rPr>
      </w:pPr>
      <w:r w:rsidRPr="006262CF">
        <w:rPr>
          <w:sz w:val="20"/>
          <w:szCs w:val="20"/>
        </w:rPr>
        <w:t>..</w:t>
      </w:r>
      <w:r w:rsidRPr="006262CF">
        <w:rPr>
          <w:sz w:val="20"/>
          <w:szCs w:val="20"/>
        </w:rPr>
        <w:tab/>
        <w:t>Not zero but rounded to zero.</w:t>
      </w:r>
    </w:p>
    <w:p w:rsidR="00FE3B13" w:rsidRPr="00CA06C8" w:rsidRDefault="00FE3B13" w:rsidP="00CA06C8">
      <w:pPr>
        <w:pStyle w:val="Heading1"/>
      </w:pPr>
      <w:r w:rsidRPr="00CA06C8">
        <w:lastRenderedPageBreak/>
        <w:t>Key assumptions</w:t>
      </w:r>
    </w:p>
    <w:p w:rsidR="00A82939" w:rsidRDefault="00A82939" w:rsidP="00A82939">
      <w:pPr>
        <w:pStyle w:val="BodyText"/>
      </w:pPr>
      <w:r>
        <w:t>The Parliamentary Budget Office (PBO) has made the following assumptions</w:t>
      </w:r>
      <w:r w:rsidR="006B2109">
        <w:t xml:space="preserve"> in costing this proposal</w:t>
      </w:r>
      <w:r>
        <w:t>.</w:t>
      </w:r>
    </w:p>
    <w:p w:rsidR="00A82939" w:rsidRDefault="00D90291" w:rsidP="00A82939">
      <w:pPr>
        <w:pStyle w:val="ListBullet"/>
      </w:pPr>
      <w:r>
        <w:t>The average Medicare benefit</w:t>
      </w:r>
      <w:r w:rsidR="00A82939">
        <w:t xml:space="preserve"> payable per newly licensed MRI m</w:t>
      </w:r>
      <w:r>
        <w:t>achine would be similar to that</w:t>
      </w:r>
      <w:r w:rsidR="00A82939">
        <w:t xml:space="preserve"> for</w:t>
      </w:r>
      <w:r w:rsidR="00AB4593">
        <w:t xml:space="preserve"> </w:t>
      </w:r>
      <w:r w:rsidR="00A82939">
        <w:t>currently licensed machines</w:t>
      </w:r>
      <w:r w:rsidR="00AB4593">
        <w:t xml:space="preserve"> in regional areas</w:t>
      </w:r>
      <w:r w:rsidR="00A82939">
        <w:t>.</w:t>
      </w:r>
    </w:p>
    <w:p w:rsidR="00A82939" w:rsidRDefault="00A82939" w:rsidP="00AB4593">
      <w:pPr>
        <w:pStyle w:val="ListBullet"/>
      </w:pPr>
      <w:r>
        <w:t xml:space="preserve">The Department of Health would run an application process to select </w:t>
      </w:r>
      <w:r w:rsidR="00D00E54">
        <w:t xml:space="preserve">which MRI service providers would receive the </w:t>
      </w:r>
      <w:r>
        <w:t>license</w:t>
      </w:r>
      <w:r w:rsidR="00D00E54">
        <w:t>s</w:t>
      </w:r>
      <w:r>
        <w:t>.</w:t>
      </w:r>
      <w:r w:rsidR="00D00E54">
        <w:t xml:space="preserve"> </w:t>
      </w:r>
      <w:r>
        <w:t xml:space="preserve"> This process would start in time for the MRIs to</w:t>
      </w:r>
      <w:r w:rsidR="00AB4593">
        <w:t xml:space="preserve"> </w:t>
      </w:r>
      <w:r>
        <w:t xml:space="preserve">have licences </w:t>
      </w:r>
      <w:r w:rsidR="00AB4593">
        <w:t>by 1</w:t>
      </w:r>
      <w:r w:rsidR="00AE084F">
        <w:t> </w:t>
      </w:r>
      <w:r w:rsidR="00AB4593">
        <w:t>July</w:t>
      </w:r>
      <w:r w:rsidR="00AE084F">
        <w:t> </w:t>
      </w:r>
      <w:r w:rsidR="00AB4593">
        <w:t>2019</w:t>
      </w:r>
      <w:r>
        <w:t>.</w:t>
      </w:r>
    </w:p>
    <w:p w:rsidR="00A82939" w:rsidRDefault="00A82939" w:rsidP="00AB4593">
      <w:pPr>
        <w:pStyle w:val="ListBullet"/>
      </w:pPr>
      <w:r>
        <w:t>The Department of Human Services’ departmental expenses have b</w:t>
      </w:r>
      <w:r w:rsidR="00AB4593">
        <w:t>een calculated based on similar</w:t>
      </w:r>
      <w:r w:rsidR="00D00E54">
        <w:t xml:space="preserve"> previous budget </w:t>
      </w:r>
      <w:r>
        <w:t>measures.</w:t>
      </w:r>
    </w:p>
    <w:p w:rsidR="006C3668" w:rsidRDefault="00A82939" w:rsidP="00A82939">
      <w:pPr>
        <w:pStyle w:val="ListBullet"/>
      </w:pPr>
      <w:r>
        <w:t xml:space="preserve">The shares of total </w:t>
      </w:r>
      <w:r w:rsidR="00AB4593">
        <w:t>Medicare Benefit</w:t>
      </w:r>
      <w:r w:rsidR="00D90291">
        <w:t>s</w:t>
      </w:r>
      <w:r w:rsidR="00AB4593">
        <w:t xml:space="preserve"> Schedule</w:t>
      </w:r>
      <w:r>
        <w:t xml:space="preserve"> expenses between the Department of Health and the Department of</w:t>
      </w:r>
      <w:r w:rsidR="00AB4593">
        <w:t xml:space="preserve"> </w:t>
      </w:r>
      <w:r>
        <w:t>Veterans’ Affairs would be constant over the period to 2028-29 and equal to their shares from the</w:t>
      </w:r>
      <w:r w:rsidR="00AB4593">
        <w:t xml:space="preserve"> </w:t>
      </w:r>
      <w:r>
        <w:t xml:space="preserve">2011-12 Budget measure </w:t>
      </w:r>
      <w:r w:rsidRPr="00AB4593">
        <w:rPr>
          <w:i/>
        </w:rPr>
        <w:t>Diagnostic Imaging – reforms</w:t>
      </w:r>
      <w:r>
        <w:t>.</w:t>
      </w:r>
    </w:p>
    <w:p w:rsidR="00FE3B13" w:rsidRDefault="00FE3B13" w:rsidP="0056001A">
      <w:pPr>
        <w:pStyle w:val="Heading1"/>
      </w:pPr>
      <w:r>
        <w:t>Methodology</w:t>
      </w:r>
    </w:p>
    <w:p w:rsidR="00AB4593" w:rsidRDefault="00D00E54" w:rsidP="00AB4593">
      <w:pPr>
        <w:pStyle w:val="BodyText"/>
      </w:pPr>
      <w:r>
        <w:t xml:space="preserve">The administered cost of this proposal was calculated by </w:t>
      </w:r>
      <w:r w:rsidR="00137292">
        <w:t xml:space="preserve">multiplying the </w:t>
      </w:r>
      <w:r>
        <w:t>a</w:t>
      </w:r>
      <w:r w:rsidR="00AB4593">
        <w:t>verage Medicare benefit payable for currently licensed machines</w:t>
      </w:r>
      <w:r>
        <w:t xml:space="preserve"> </w:t>
      </w:r>
      <w:r w:rsidR="00AB4593">
        <w:t xml:space="preserve">by the </w:t>
      </w:r>
      <w:r>
        <w:t xml:space="preserve">two </w:t>
      </w:r>
      <w:r w:rsidR="00AB4593">
        <w:t>new licences</w:t>
      </w:r>
      <w:r w:rsidR="00137292">
        <w:t xml:space="preserve"> and growing the result over time</w:t>
      </w:r>
      <w:r w:rsidR="00AB4593">
        <w:t>.</w:t>
      </w:r>
    </w:p>
    <w:p w:rsidR="00AB4593" w:rsidRDefault="00AB4593" w:rsidP="00AB4593">
      <w:pPr>
        <w:pStyle w:val="BodyText"/>
      </w:pPr>
      <w:r>
        <w:t>Departmental costs are based on similar programs and account for the net effect of indexation parameters and the efficiency divided, in accordance with the Department of Finance’s costing practices.</w:t>
      </w:r>
    </w:p>
    <w:p w:rsidR="005467E2" w:rsidRDefault="00137292" w:rsidP="00AB4593">
      <w:pPr>
        <w:pStyle w:val="BodyText"/>
      </w:pPr>
      <w:r>
        <w:t>Administered cost e</w:t>
      </w:r>
      <w:r w:rsidR="00AB4593">
        <w:t>stimates have been rounded to the nearest $0.1 million.</w:t>
      </w:r>
    </w:p>
    <w:p w:rsidR="00FE3B13" w:rsidRDefault="00FE3B13" w:rsidP="00FE3B13">
      <w:pPr>
        <w:pStyle w:val="Heading1"/>
      </w:pPr>
      <w:r>
        <w:t>Data sources</w:t>
      </w:r>
    </w:p>
    <w:p w:rsidR="00AB4593" w:rsidRPr="00AB4593" w:rsidRDefault="00AB4593" w:rsidP="00AB4593">
      <w:pPr>
        <w:pStyle w:val="BodyText"/>
      </w:pPr>
      <w:r w:rsidRPr="00AB4593">
        <w:t>The Department of Health provided information on average Medicare benefits payable by MRI</w:t>
      </w:r>
      <w:r>
        <w:t xml:space="preserve"> </w:t>
      </w:r>
      <w:r w:rsidRPr="00AB4593">
        <w:t>machines as at 25 July 2018.</w:t>
      </w:r>
    </w:p>
    <w:p w:rsidR="00AB4593" w:rsidRPr="00AB4593" w:rsidRDefault="00AB4593" w:rsidP="00AB4593">
      <w:pPr>
        <w:pStyle w:val="BodyText"/>
      </w:pPr>
      <w:r w:rsidRPr="00AB4593">
        <w:t xml:space="preserve">Commonwealth of Australia, 2018. </w:t>
      </w:r>
      <w:r w:rsidRPr="00AB4593">
        <w:rPr>
          <w:i/>
        </w:rPr>
        <w:t>2011-12 Budget</w:t>
      </w:r>
      <w:r w:rsidRPr="00AB4593">
        <w:t>, Canberra: Commonwealth of Australia.</w:t>
      </w:r>
    </w:p>
    <w:p w:rsidR="007D0ABE" w:rsidRPr="0046444F" w:rsidRDefault="007D0ABE" w:rsidP="00B311BA">
      <w:pPr>
        <w:pStyle w:val="BodyText"/>
      </w:pPr>
    </w:p>
    <w:p w:rsidR="0046444F" w:rsidRDefault="0046444F" w:rsidP="00B311BA">
      <w:pPr>
        <w:pStyle w:val="BodyText"/>
        <w:sectPr w:rsidR="0046444F" w:rsidSect="007A423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284" w:footer="454" w:gutter="0"/>
          <w:pgNumType w:start="1"/>
          <w:cols w:space="708"/>
          <w:formProt w:val="0"/>
          <w:titlePg/>
          <w:docGrid w:linePitch="360"/>
        </w:sectPr>
      </w:pPr>
    </w:p>
    <w:p w:rsidR="00016D53" w:rsidRDefault="00016D53" w:rsidP="00B538BA">
      <w:pPr>
        <w:pStyle w:val="Heading8"/>
        <w:spacing w:before="240" w:after="120"/>
      </w:pPr>
      <w:r w:rsidRPr="002D239A">
        <w:lastRenderedPageBreak/>
        <w:t xml:space="preserve">– </w:t>
      </w:r>
      <w:fldSimple w:instr=" STYLEREF  &quot;Name of proposal&quot;  \* MERGEFORMAT ">
        <w:r w:rsidR="00E82C6A">
          <w:rPr>
            <w:noProof/>
          </w:rPr>
          <w:t>Magnetic Resonance Imaging (MRI) licences for Mount Barker and Victor Harbor</w:t>
        </w:r>
      </w:fldSimple>
      <w:r w:rsidR="00326E3E">
        <w:t xml:space="preserve"> – </w:t>
      </w:r>
      <w:r w:rsidRPr="00482F63">
        <w:t>financial</w:t>
      </w:r>
      <w:r w:rsidRPr="002D239A">
        <w:t> implications</w:t>
      </w:r>
    </w:p>
    <w:p w:rsidR="00866043" w:rsidRDefault="00866043" w:rsidP="00866043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r w:rsidR="00DD6D7C">
        <w:fldChar w:fldCharType="begin"/>
      </w:r>
      <w:r w:rsidR="00DD6D7C">
        <w:instrText xml:space="preserve"> STYLEREF 8 \s </w:instrText>
      </w:r>
      <w:r w:rsidR="00DD6D7C">
        <w:fldChar w:fldCharType="separate"/>
      </w:r>
      <w:r w:rsidR="00E82C6A">
        <w:rPr>
          <w:noProof/>
        </w:rPr>
        <w:t>A</w:t>
      </w:r>
      <w:r w:rsidR="00DD6D7C">
        <w:rPr>
          <w:noProof/>
        </w:rPr>
        <w:fldChar w:fldCharType="end"/>
      </w:r>
      <w:r w:rsidR="00DD6D7C">
        <w:fldChar w:fldCharType="begin"/>
      </w:r>
      <w:r w:rsidR="00DD6D7C">
        <w:instrText xml:space="preserve"> SEQ AppendixTable\s 8 </w:instrText>
      </w:r>
      <w:r w:rsidR="00DD6D7C">
        <w:fldChar w:fldCharType="separate"/>
      </w:r>
      <w:r w:rsidR="00E82C6A">
        <w:rPr>
          <w:noProof/>
        </w:rPr>
        <w:t>1</w:t>
      </w:r>
      <w:r w:rsidR="00DD6D7C">
        <w:rPr>
          <w:noProof/>
        </w:rPr>
        <w:fldChar w:fldCharType="end"/>
      </w:r>
      <w:r w:rsidRPr="002D239A">
        <w:t xml:space="preserve">: </w:t>
      </w:r>
      <w:fldSimple w:instr=" STYLEREF  &quot;Name of proposal&quot;  \* MERGEFORMAT ">
        <w:r w:rsidR="00E82C6A">
          <w:rPr>
            <w:noProof/>
          </w:rPr>
          <w:t>Magnetic Resonance Imaging (MRI) licences for Mount Barker and Victor Harbor</w:t>
        </w:r>
      </w:fldSimple>
      <w:r w:rsidR="00CB0E2F">
        <w:t xml:space="preserve"> –</w:t>
      </w:r>
      <w:r>
        <w:t xml:space="preserve"> Fiscal and underlying cash balances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866043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D7DDE9" w:themeFill="accent3"/>
            <w:vAlign w:val="center"/>
          </w:tcPr>
          <w:p w:rsidR="00866043" w:rsidRPr="009F2A5C" w:rsidRDefault="00866043" w:rsidP="00866043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D7DDE9" w:themeFill="accent3"/>
            <w:vAlign w:val="center"/>
          </w:tcPr>
          <w:p w:rsidR="00866043" w:rsidRPr="00ED0817" w:rsidRDefault="00866043" w:rsidP="00866043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66043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Expenses</w:t>
            </w:r>
          </w:p>
        </w:tc>
        <w:tc>
          <w:tcPr>
            <w:tcW w:w="283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84" w:type="pct"/>
            <w:tcBorders>
              <w:left w:val="nil"/>
            </w:tcBorders>
            <w:shd w:val="clear" w:color="auto" w:fill="E9ECF3" w:themeFill="accent2" w:themeFillTint="33"/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866043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Administered</w:t>
            </w: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left w:val="nil"/>
            </w:tcBorders>
            <w:vAlign w:val="center"/>
          </w:tcPr>
          <w:p w:rsidR="00866043" w:rsidRPr="009F2A5C" w:rsidRDefault="00866043" w:rsidP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D5CEB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D5CEB" w:rsidRPr="009F2A5C" w:rsidRDefault="009D5CEB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Department of Health</w:t>
            </w:r>
          </w:p>
        </w:tc>
        <w:tc>
          <w:tcPr>
            <w:tcW w:w="283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283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281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281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278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392" w:type="pct"/>
            <w:vAlign w:val="center"/>
          </w:tcPr>
          <w:p w:rsidR="009D5CEB" w:rsidRP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D5CE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384" w:type="pct"/>
            <w:vAlign w:val="center"/>
          </w:tcPr>
          <w:p w:rsidR="009D5CEB" w:rsidRP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D5CE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-34.0</w:t>
            </w:r>
          </w:p>
        </w:tc>
      </w:tr>
      <w:tr w:rsidR="009D5CEB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D5CEB" w:rsidRPr="009F2A5C" w:rsidRDefault="009D5CEB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Department of Veterans’ Affairs</w:t>
            </w:r>
          </w:p>
        </w:tc>
        <w:tc>
          <w:tcPr>
            <w:tcW w:w="283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.. </w:t>
            </w:r>
          </w:p>
        </w:tc>
        <w:tc>
          <w:tcPr>
            <w:tcW w:w="283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.. </w:t>
            </w:r>
          </w:p>
        </w:tc>
        <w:tc>
          <w:tcPr>
            <w:tcW w:w="281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.. </w:t>
            </w:r>
          </w:p>
        </w:tc>
        <w:tc>
          <w:tcPr>
            <w:tcW w:w="281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.. </w:t>
            </w:r>
          </w:p>
        </w:tc>
        <w:tc>
          <w:tcPr>
            <w:tcW w:w="278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.. 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.. 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276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2" w:type="pct"/>
            <w:vAlign w:val="center"/>
          </w:tcPr>
          <w:p w:rsidR="009D5CEB" w:rsidRP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D5CE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4" w:type="pct"/>
            <w:vAlign w:val="center"/>
          </w:tcPr>
          <w:p w:rsidR="009D5CEB" w:rsidRP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9D5CEB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-0.5</w:t>
            </w:r>
          </w:p>
        </w:tc>
      </w:tr>
      <w:tr w:rsidR="009D5CEB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bottom w:val="single" w:sz="8" w:space="0" w:color="788184" w:themeColor="accent6"/>
            </w:tcBorders>
            <w:vAlign w:val="center"/>
          </w:tcPr>
          <w:p w:rsidR="009D5CEB" w:rsidRPr="009F2A5C" w:rsidRDefault="009D5CEB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administered</w:t>
            </w:r>
          </w:p>
        </w:tc>
        <w:tc>
          <w:tcPr>
            <w:tcW w:w="283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283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281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281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278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-3.7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276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392" w:type="pct"/>
            <w:tcBorders>
              <w:bottom w:val="single" w:sz="8" w:space="0" w:color="788184" w:themeColor="accent6"/>
            </w:tcBorders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-8.4</w:t>
            </w:r>
          </w:p>
        </w:tc>
        <w:tc>
          <w:tcPr>
            <w:tcW w:w="384" w:type="pct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-34.5</w:t>
            </w:r>
          </w:p>
        </w:tc>
      </w:tr>
      <w:tr w:rsidR="00866043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right w:val="nil"/>
            </w:tcBorders>
            <w:vAlign w:val="center"/>
          </w:tcPr>
          <w:p w:rsidR="00866043" w:rsidRPr="009F2A5C" w:rsidRDefault="00866043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Departmental</w:t>
            </w: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 w:rsidP="008C6FD0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left w:val="nil"/>
            </w:tcBorders>
            <w:vAlign w:val="center"/>
          </w:tcPr>
          <w:p w:rsidR="00866043" w:rsidRPr="009F2A5C" w:rsidRDefault="00866043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66043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66043" w:rsidRPr="009F2A5C" w:rsidRDefault="00B26776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Department of Health</w:t>
            </w:r>
          </w:p>
        </w:tc>
        <w:tc>
          <w:tcPr>
            <w:tcW w:w="283" w:type="pct"/>
            <w:vAlign w:val="center"/>
          </w:tcPr>
          <w:p w:rsidR="00866043" w:rsidRPr="009F2A5C" w:rsidRDefault="00CB0E2F" w:rsidP="008C6FD0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2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66043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92" w:type="pct"/>
            <w:vAlign w:val="center"/>
          </w:tcPr>
          <w:p w:rsidR="00866043" w:rsidRPr="009D5CE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9D5CEB">
              <w:rPr>
                <w:rFonts w:asciiTheme="minorHAnsi" w:hAnsiTheme="minorHAnsi"/>
                <w:b/>
                <w:noProof/>
                <w:sz w:val="16"/>
                <w:szCs w:val="16"/>
              </w:rPr>
              <w:t>..</w:t>
            </w:r>
          </w:p>
        </w:tc>
        <w:tc>
          <w:tcPr>
            <w:tcW w:w="384" w:type="pct"/>
            <w:vAlign w:val="center"/>
          </w:tcPr>
          <w:p w:rsidR="00866043" w:rsidRPr="009D5CE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9D5CEB">
              <w:rPr>
                <w:rFonts w:asciiTheme="minorHAnsi" w:hAnsiTheme="minorHAnsi"/>
                <w:b/>
                <w:noProof/>
                <w:sz w:val="16"/>
                <w:szCs w:val="16"/>
              </w:rPr>
              <w:t>..</w:t>
            </w:r>
          </w:p>
        </w:tc>
      </w:tr>
      <w:tr w:rsidR="00CB0E2F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CB0E2F" w:rsidRPr="009F2A5C" w:rsidRDefault="00CB0E2F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Department of Human Services</w:t>
            </w:r>
          </w:p>
        </w:tc>
        <w:tc>
          <w:tcPr>
            <w:tcW w:w="283" w:type="pct"/>
            <w:vAlign w:val="center"/>
          </w:tcPr>
          <w:p w:rsidR="00CB0E2F" w:rsidRPr="009F2A5C" w:rsidRDefault="002C64D8" w:rsidP="008C6FD0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3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1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1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8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9F2A5C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392" w:type="pct"/>
            <w:vAlign w:val="center"/>
          </w:tcPr>
          <w:p w:rsidR="00CB0E2F" w:rsidRPr="009D5CE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9D5CEB">
              <w:rPr>
                <w:rFonts w:asciiTheme="minorHAnsi" w:hAnsiTheme="minorHAnsi"/>
                <w:b/>
                <w:noProof/>
                <w:sz w:val="16"/>
                <w:szCs w:val="16"/>
              </w:rPr>
              <w:t>..</w:t>
            </w:r>
          </w:p>
        </w:tc>
        <w:tc>
          <w:tcPr>
            <w:tcW w:w="384" w:type="pct"/>
            <w:vAlign w:val="center"/>
          </w:tcPr>
          <w:p w:rsidR="00CB0E2F" w:rsidRPr="009D5CE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9D5CEB">
              <w:rPr>
                <w:rFonts w:asciiTheme="minorHAnsi" w:hAnsiTheme="minorHAnsi"/>
                <w:b/>
                <w:noProof/>
                <w:sz w:val="16"/>
                <w:szCs w:val="16"/>
              </w:rPr>
              <w:t>..</w:t>
            </w:r>
          </w:p>
        </w:tc>
      </w:tr>
      <w:tr w:rsidR="00CB0E2F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CB0E2F" w:rsidRPr="009F2A5C" w:rsidRDefault="00CB0E2F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departmental</w:t>
            </w:r>
          </w:p>
        </w:tc>
        <w:tc>
          <w:tcPr>
            <w:tcW w:w="283" w:type="pct"/>
            <w:vAlign w:val="center"/>
          </w:tcPr>
          <w:p w:rsidR="00CB0E2F" w:rsidRPr="00A92CDB" w:rsidRDefault="00CB0E2F" w:rsidP="008C6FD0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2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3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1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81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8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276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A92C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..</w:t>
            </w:r>
          </w:p>
        </w:tc>
        <w:tc>
          <w:tcPr>
            <w:tcW w:w="392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A92CDB">
              <w:rPr>
                <w:rFonts w:asciiTheme="minorHAnsi" w:hAnsiTheme="minorHAnsi"/>
                <w:b/>
                <w:noProof/>
                <w:sz w:val="16"/>
                <w:szCs w:val="16"/>
              </w:rPr>
              <w:t>..</w:t>
            </w:r>
          </w:p>
        </w:tc>
        <w:tc>
          <w:tcPr>
            <w:tcW w:w="384" w:type="pct"/>
            <w:vAlign w:val="center"/>
          </w:tcPr>
          <w:p w:rsidR="00CB0E2F" w:rsidRPr="00A92CDB" w:rsidRDefault="00CB0E2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A92CDB">
              <w:rPr>
                <w:rFonts w:asciiTheme="minorHAnsi" w:hAnsiTheme="minorHAnsi"/>
                <w:b/>
                <w:noProof/>
                <w:sz w:val="16"/>
                <w:szCs w:val="16"/>
              </w:rPr>
              <w:t>..</w:t>
            </w:r>
          </w:p>
        </w:tc>
      </w:tr>
      <w:tr w:rsidR="009D5CEB" w:rsidRPr="009F2A5C" w:rsidTr="00866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D7DDE9" w:themeFill="accent3"/>
            <w:vAlign w:val="center"/>
          </w:tcPr>
          <w:p w:rsidR="009D5CEB" w:rsidRPr="009F2A5C" w:rsidRDefault="009D5CEB" w:rsidP="0086604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Total – expenses </w:t>
            </w: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282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283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281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278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-3.7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392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-8.4</w:t>
            </w:r>
          </w:p>
        </w:tc>
        <w:tc>
          <w:tcPr>
            <w:tcW w:w="384" w:type="pct"/>
            <w:shd w:val="clear" w:color="auto" w:fill="D7DDE9" w:themeFill="accent3"/>
            <w:vAlign w:val="center"/>
          </w:tcPr>
          <w:p w:rsidR="009D5CEB" w:rsidRDefault="009D5CEB" w:rsidP="004F6A83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-34.5</w:t>
            </w:r>
          </w:p>
        </w:tc>
      </w:tr>
    </w:tbl>
    <w:p w:rsidR="00866043" w:rsidRPr="009F2A5C" w:rsidRDefault="00866043" w:rsidP="00866043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(a)</w:t>
      </w:r>
      <w:r w:rsidRPr="009F2A5C">
        <w:rPr>
          <w:sz w:val="16"/>
          <w:szCs w:val="16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866043" w:rsidRPr="009F2A5C" w:rsidRDefault="00866043" w:rsidP="00866043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866043" w:rsidRPr="009F2A5C" w:rsidRDefault="00866043" w:rsidP="00866043">
      <w:pPr>
        <w:pStyle w:val="TableFootnotes"/>
        <w:keepNext/>
        <w:keepLines w:val="0"/>
        <w:widowControl w:val="0"/>
        <w:numPr>
          <w:ilvl w:val="0"/>
          <w:numId w:val="0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..</w:t>
      </w:r>
      <w:r w:rsidRPr="009F2A5C">
        <w:rPr>
          <w:sz w:val="16"/>
          <w:szCs w:val="16"/>
        </w:rPr>
        <w:tab/>
        <w:t>Not zero but rounded to zero.</w:t>
      </w:r>
    </w:p>
    <w:p w:rsidR="00866043" w:rsidRPr="009F2A5C" w:rsidRDefault="00866043" w:rsidP="00866043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131861" w:rsidRPr="00131861" w:rsidRDefault="00131861" w:rsidP="00131861">
      <w:pPr>
        <w:pStyle w:val="BodyText"/>
      </w:pPr>
    </w:p>
    <w:sectPr w:rsidR="00131861" w:rsidRPr="00131861" w:rsidSect="00131861">
      <w:footerReference w:type="default" r:id="rId13"/>
      <w:pgSz w:w="11907" w:h="16839" w:code="9"/>
      <w:pgMar w:top="1134" w:right="992" w:bottom="1134" w:left="992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43" w:rsidRDefault="00866043" w:rsidP="00A20802">
      <w:pPr>
        <w:spacing w:line="240" w:lineRule="auto"/>
      </w:pPr>
      <w:r>
        <w:separator/>
      </w:r>
    </w:p>
    <w:p w:rsidR="00866043" w:rsidRDefault="00866043"/>
    <w:p w:rsidR="00866043" w:rsidRDefault="00866043"/>
  </w:endnote>
  <w:endnote w:type="continuationSeparator" w:id="0">
    <w:p w:rsidR="00866043" w:rsidRDefault="00866043" w:rsidP="00A20802">
      <w:pPr>
        <w:spacing w:line="240" w:lineRule="auto"/>
      </w:pPr>
      <w:r>
        <w:continuationSeparator/>
      </w:r>
    </w:p>
    <w:p w:rsidR="00866043" w:rsidRDefault="00866043"/>
    <w:p w:rsidR="00866043" w:rsidRDefault="00866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3" w:rsidRPr="00015E04" w:rsidRDefault="00866043" w:rsidP="0042553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400853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="005E7BF9" w:rsidRPr="002C4DA6">
      <w:rPr>
        <w:rStyle w:val="FooterChar"/>
        <w:b/>
      </w:rPr>
      <w:t xml:space="preserve">Page </w:t>
    </w:r>
    <w:r w:rsidR="005E7BF9">
      <w:rPr>
        <w:rStyle w:val="FooterChar"/>
        <w:b/>
      </w:rPr>
      <w:t>2</w:t>
    </w:r>
    <w:r w:rsidR="005E7BF9" w:rsidRPr="002C4DA6">
      <w:rPr>
        <w:rStyle w:val="FooterChar"/>
        <w:b/>
      </w:rPr>
      <w:t xml:space="preserve"> of </w:t>
    </w:r>
    <w:r w:rsidR="005E7BF9">
      <w:rPr>
        <w:rStyle w:val="FooterChar"/>
        <w:b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3" w:rsidRPr="007A47D0" w:rsidRDefault="00866043" w:rsidP="00015E0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 w:rsidRPr="00DD281D">
      <w:rPr>
        <w:rStyle w:val="FooterChar"/>
        <w:rFonts w:ascii="Calibri" w:hAnsi="Calibri" w:cs="Arial"/>
        <w:b/>
      </w:rPr>
      <w:t>PBO</w:t>
    </w:r>
    <w:r>
      <w:rPr>
        <w:rStyle w:val="FooterChar"/>
        <w:rFonts w:ascii="Calibri" w:hAnsi="Calibri" w:cs="Arial"/>
        <w:b/>
      </w:rPr>
      <w:t xml:space="preserve"> reference </w:t>
    </w:r>
    <w:r w:rsidRPr="003E41B2">
      <w:rPr>
        <w:rStyle w:val="FooterChar"/>
        <w:rFonts w:ascii="Calibri" w:hAnsi="Calibri" w:cs="Arial"/>
        <w:b/>
      </w:rPr>
      <w:t>PR1</w:t>
    </w:r>
    <w:r>
      <w:rPr>
        <w:rStyle w:val="FooterChar"/>
        <w:rFonts w:ascii="Calibri" w:hAnsi="Calibri" w:cs="Arial"/>
        <w:b/>
      </w:rPr>
      <w:t>8</w:t>
    </w:r>
    <w:r w:rsidRPr="003E41B2">
      <w:rPr>
        <w:rStyle w:val="FooterChar"/>
        <w:rFonts w:ascii="Calibri" w:hAnsi="Calibri" w:cs="Arial"/>
        <w:b/>
      </w:rPr>
      <w:t>/00</w:t>
    </w:r>
    <w:r w:rsidR="00CB0E2F">
      <w:rPr>
        <w:rStyle w:val="FooterChar"/>
        <w:rFonts w:ascii="Calibri" w:hAnsi="Calibri" w:cs="Arial"/>
        <w:b/>
      </w:rPr>
      <w:t>444</w:t>
    </w:r>
    <w:r w:rsidRPr="009B70E6">
      <w:rPr>
        <w:rStyle w:val="FooterChar"/>
        <w:rFonts w:ascii="Calibri" w:hAnsi="Calibri" w:cs="Arial"/>
        <w:b/>
        <w:sz w:val="20"/>
        <w:szCs w:val="20"/>
      </w:rPr>
      <w:tab/>
    </w:r>
    <w:r w:rsidRPr="00400853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="005E7BF9" w:rsidRPr="002C4DA6">
      <w:rPr>
        <w:rStyle w:val="FooterChar"/>
        <w:b/>
      </w:rPr>
      <w:t xml:space="preserve">Page </w:t>
    </w:r>
    <w:r w:rsidR="005E7BF9">
      <w:rPr>
        <w:rStyle w:val="FooterChar"/>
        <w:b/>
      </w:rPr>
      <w:t>1</w:t>
    </w:r>
    <w:r w:rsidR="005E7BF9" w:rsidRPr="002C4DA6">
      <w:rPr>
        <w:rStyle w:val="FooterChar"/>
        <w:b/>
      </w:rPr>
      <w:t xml:space="preserve"> of</w:t>
    </w:r>
    <w:r w:rsidR="005E7BF9">
      <w:rPr>
        <w:rStyle w:val="FooterChar"/>
        <w:b/>
      </w:rPr>
      <w:t xml:space="preserve">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3" w:rsidRPr="00015E04" w:rsidRDefault="00866043" w:rsidP="002E5CE6">
    <w:pPr>
      <w:pStyle w:val="Footer"/>
      <w:tabs>
        <w:tab w:val="center" w:pos="4962"/>
        <w:tab w:val="right" w:pos="9923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E340E8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="005E7BF9" w:rsidRPr="002C4DA6">
      <w:rPr>
        <w:rStyle w:val="FooterChar"/>
        <w:b/>
      </w:rPr>
      <w:t xml:space="preserve">Page </w:t>
    </w:r>
    <w:r w:rsidR="005E7BF9">
      <w:rPr>
        <w:rStyle w:val="FooterChar"/>
        <w:b/>
      </w:rPr>
      <w:t>3</w:t>
    </w:r>
    <w:r w:rsidR="005E7BF9" w:rsidRPr="002C4DA6">
      <w:rPr>
        <w:rStyle w:val="FooterChar"/>
        <w:b/>
      </w:rPr>
      <w:t xml:space="preserve"> of </w:t>
    </w:r>
    <w:r w:rsidR="005E7BF9">
      <w:rPr>
        <w:rStyle w:val="FooterChar"/>
        <w:b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43" w:rsidRPr="000557A7" w:rsidRDefault="00866043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  <w:p w:rsidR="00866043" w:rsidRDefault="00866043"/>
  </w:footnote>
  <w:footnote w:type="continuationSeparator" w:id="0">
    <w:p w:rsidR="00866043" w:rsidRDefault="00866043" w:rsidP="00A20802">
      <w:pPr>
        <w:spacing w:line="240" w:lineRule="auto"/>
      </w:pPr>
      <w:r>
        <w:continuationSeparator/>
      </w:r>
    </w:p>
    <w:p w:rsidR="00866043" w:rsidRDefault="00866043"/>
    <w:p w:rsidR="00866043" w:rsidRDefault="008660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3" w:rsidRPr="00400853" w:rsidRDefault="00400853" w:rsidP="00400853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400853">
      <w:rPr>
        <w:rFonts w:ascii="Calibri" w:hAnsi="Calibri"/>
        <w:b/>
        <w:strike/>
        <w:color w:val="FF0000"/>
        <w:sz w:val="40"/>
        <w:szCs w:val="40"/>
      </w:rPr>
      <w:t>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3" w:rsidRPr="00400853" w:rsidRDefault="00866043" w:rsidP="002C4DA6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400853">
      <w:rPr>
        <w:rFonts w:ascii="Calibri" w:hAnsi="Calibri"/>
        <w:b/>
        <w:strike/>
        <w:color w:val="FF0000"/>
        <w:sz w:val="40"/>
        <w:szCs w:val="40"/>
      </w:rPr>
      <w:t>Sensitive</w:t>
    </w:r>
  </w:p>
  <w:p w:rsidR="00866043" w:rsidRPr="0046444F" w:rsidRDefault="00866043" w:rsidP="0046444F">
    <w:pPr>
      <w:pStyle w:val="Header"/>
    </w:pPr>
    <w:r>
      <w:rPr>
        <w:noProof/>
        <w:lang w:eastAsia="en-AU"/>
      </w:rPr>
      <w:drawing>
        <wp:inline distT="0" distB="0" distL="0" distR="0" wp14:anchorId="0F8A2A0B" wp14:editId="427BA5AA">
          <wp:extent cx="2696845" cy="572135"/>
          <wp:effectExtent l="0" t="0" r="8255" b="0"/>
          <wp:docPr id="6" name="Picture 6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40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FE"/>
    <w:multiLevelType w:val="multilevel"/>
    <w:tmpl w:val="2CA8A22A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9AD6A00"/>
    <w:multiLevelType w:val="hybridMultilevel"/>
    <w:tmpl w:val="4B3A4D4E"/>
    <w:lvl w:ilvl="0" w:tplc="18CCC816">
      <w:start w:val="1"/>
      <w:numFmt w:val="lowerLetter"/>
      <w:lvlText w:val="(%1)"/>
      <w:lvlJc w:val="left"/>
      <w:pPr>
        <w:ind w:left="720" w:hanging="360"/>
      </w:pPr>
      <w:rPr>
        <w:rFonts w:ascii="Calibri" w:hAnsi="Calibr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448"/>
    <w:multiLevelType w:val="multilevel"/>
    <w:tmpl w:val="B9B27878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4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>
    <w:nsid w:val="147F785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>
    <w:nsid w:val="1A154848"/>
    <w:multiLevelType w:val="hybridMultilevel"/>
    <w:tmpl w:val="09B261B0"/>
    <w:lvl w:ilvl="0" w:tplc="0652CEDE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60DA"/>
    <w:multiLevelType w:val="hybridMultilevel"/>
    <w:tmpl w:val="8F4E44D6"/>
    <w:lvl w:ilvl="0" w:tplc="CABC4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32D14000"/>
    <w:multiLevelType w:val="hybridMultilevel"/>
    <w:tmpl w:val="7BEEEA2A"/>
    <w:lvl w:ilvl="0" w:tplc="FC10A6D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034B"/>
    <w:multiLevelType w:val="hybridMultilevel"/>
    <w:tmpl w:val="AC467CF0"/>
    <w:lvl w:ilvl="0" w:tplc="E8FC9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8F13100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B13AF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568AF"/>
    <w:multiLevelType w:val="hybridMultilevel"/>
    <w:tmpl w:val="50BA43C4"/>
    <w:lvl w:ilvl="0" w:tplc="138EAD4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B2E15"/>
    <w:multiLevelType w:val="multilevel"/>
    <w:tmpl w:val="7BEEEA2A"/>
    <w:lvl w:ilvl="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359A8"/>
    <w:multiLevelType w:val="hybridMultilevel"/>
    <w:tmpl w:val="D098FA50"/>
    <w:lvl w:ilvl="0" w:tplc="62C4575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E7FD1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D7EE9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A4897"/>
    <w:multiLevelType w:val="hybridMultilevel"/>
    <w:tmpl w:val="17683AEC"/>
    <w:lvl w:ilvl="0" w:tplc="CEA0677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4">
    <w:nsid w:val="62A77F1C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B45AC"/>
    <w:multiLevelType w:val="hybridMultilevel"/>
    <w:tmpl w:val="FDD6AE4E"/>
    <w:lvl w:ilvl="0" w:tplc="6CCC4AE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E4BDD"/>
    <w:multiLevelType w:val="hybridMultilevel"/>
    <w:tmpl w:val="B5D41A40"/>
    <w:lvl w:ilvl="0" w:tplc="497A32C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71C9"/>
    <w:multiLevelType w:val="hybridMultilevel"/>
    <w:tmpl w:val="1CC8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0">
    <w:nsid w:val="707C1A2E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>
    <w:nsid w:val="78A76270"/>
    <w:multiLevelType w:val="hybridMultilevel"/>
    <w:tmpl w:val="9ACE365C"/>
    <w:lvl w:ilvl="0" w:tplc="BB36BB8E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804D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31"/>
  </w:num>
  <w:num w:numId="4">
    <w:abstractNumId w:val="13"/>
  </w:num>
  <w:num w:numId="5">
    <w:abstractNumId w:val="10"/>
  </w:num>
  <w:num w:numId="6">
    <w:abstractNumId w:val="29"/>
  </w:num>
  <w:num w:numId="7">
    <w:abstractNumId w:val="4"/>
  </w:num>
  <w:num w:numId="8">
    <w:abstractNumId w:val="6"/>
  </w:num>
  <w:num w:numId="9">
    <w:abstractNumId w:val="28"/>
  </w:num>
  <w:num w:numId="10">
    <w:abstractNumId w:val="3"/>
  </w:num>
  <w:num w:numId="11">
    <w:abstractNumId w:val="8"/>
  </w:num>
  <w:num w:numId="12">
    <w:abstractNumId w:val="2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0"/>
  </w:num>
  <w:num w:numId="18">
    <w:abstractNumId w:val="33"/>
  </w:num>
  <w:num w:numId="19">
    <w:abstractNumId w:val="0"/>
  </w:num>
  <w:num w:numId="20">
    <w:abstractNumId w:val="19"/>
  </w:num>
  <w:num w:numId="21">
    <w:abstractNumId w:val="21"/>
  </w:num>
  <w:num w:numId="22">
    <w:abstractNumId w:val="15"/>
  </w:num>
  <w:num w:numId="23">
    <w:abstractNumId w:val="16"/>
  </w:num>
  <w:num w:numId="24">
    <w:abstractNumId w:val="25"/>
  </w:num>
  <w:num w:numId="25">
    <w:abstractNumId w:val="14"/>
  </w:num>
  <w:num w:numId="26">
    <w:abstractNumId w:val="5"/>
  </w:num>
  <w:num w:numId="27">
    <w:abstractNumId w:val="24"/>
  </w:num>
  <w:num w:numId="28">
    <w:abstractNumId w:val="22"/>
  </w:num>
  <w:num w:numId="29">
    <w:abstractNumId w:val="26"/>
  </w:num>
  <w:num w:numId="30">
    <w:abstractNumId w:val="32"/>
  </w:num>
  <w:num w:numId="31">
    <w:abstractNumId w:val="20"/>
  </w:num>
  <w:num w:numId="32">
    <w:abstractNumId w:val="11"/>
  </w:num>
  <w:num w:numId="33">
    <w:abstractNumId w:val="17"/>
  </w:num>
  <w:num w:numId="34">
    <w:abstractNumId w:val="9"/>
  </w:num>
  <w:num w:numId="35">
    <w:abstractNumId w:val="3"/>
  </w:num>
  <w:num w:numId="36">
    <w:abstractNumId w:val="1"/>
  </w:num>
  <w:num w:numId="37">
    <w:abstractNumId w:val="7"/>
  </w:num>
  <w:num w:numId="38">
    <w:abstractNumId w:val="4"/>
  </w:num>
  <w:num w:numId="39">
    <w:abstractNumId w:val="4"/>
  </w:num>
  <w:num w:numId="4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311CEB"/>
    <w:rsid w:val="0000071C"/>
    <w:rsid w:val="0000322C"/>
    <w:rsid w:val="00003CDD"/>
    <w:rsid w:val="00013620"/>
    <w:rsid w:val="0001406F"/>
    <w:rsid w:val="00015E04"/>
    <w:rsid w:val="000168A7"/>
    <w:rsid w:val="00016D53"/>
    <w:rsid w:val="000278D0"/>
    <w:rsid w:val="00027E62"/>
    <w:rsid w:val="000307C8"/>
    <w:rsid w:val="00030F73"/>
    <w:rsid w:val="00033326"/>
    <w:rsid w:val="00035ADE"/>
    <w:rsid w:val="0004224B"/>
    <w:rsid w:val="00046226"/>
    <w:rsid w:val="000505FB"/>
    <w:rsid w:val="0005330D"/>
    <w:rsid w:val="000557A7"/>
    <w:rsid w:val="00055805"/>
    <w:rsid w:val="00056CB3"/>
    <w:rsid w:val="0005793B"/>
    <w:rsid w:val="00061758"/>
    <w:rsid w:val="00065125"/>
    <w:rsid w:val="00066CDC"/>
    <w:rsid w:val="00066D54"/>
    <w:rsid w:val="00067A28"/>
    <w:rsid w:val="0007260F"/>
    <w:rsid w:val="000739CB"/>
    <w:rsid w:val="00073C89"/>
    <w:rsid w:val="0007488E"/>
    <w:rsid w:val="000805D5"/>
    <w:rsid w:val="0008103B"/>
    <w:rsid w:val="00085F97"/>
    <w:rsid w:val="000879B1"/>
    <w:rsid w:val="00092A33"/>
    <w:rsid w:val="000973F9"/>
    <w:rsid w:val="00097A23"/>
    <w:rsid w:val="000A0848"/>
    <w:rsid w:val="000A2FEC"/>
    <w:rsid w:val="000A348F"/>
    <w:rsid w:val="000B1B0C"/>
    <w:rsid w:val="000B4345"/>
    <w:rsid w:val="000B5900"/>
    <w:rsid w:val="000B60AE"/>
    <w:rsid w:val="000B6942"/>
    <w:rsid w:val="000B6D00"/>
    <w:rsid w:val="000C09FA"/>
    <w:rsid w:val="000C1AB0"/>
    <w:rsid w:val="000C37A9"/>
    <w:rsid w:val="000C42A7"/>
    <w:rsid w:val="000C6728"/>
    <w:rsid w:val="000C702E"/>
    <w:rsid w:val="000D15E9"/>
    <w:rsid w:val="000D3182"/>
    <w:rsid w:val="000D45C4"/>
    <w:rsid w:val="000D46B3"/>
    <w:rsid w:val="000E18F3"/>
    <w:rsid w:val="000E19AC"/>
    <w:rsid w:val="000E266E"/>
    <w:rsid w:val="000E4C7B"/>
    <w:rsid w:val="000F1515"/>
    <w:rsid w:val="000F16B5"/>
    <w:rsid w:val="000F616E"/>
    <w:rsid w:val="000F7D50"/>
    <w:rsid w:val="00110D43"/>
    <w:rsid w:val="001159EA"/>
    <w:rsid w:val="00120A75"/>
    <w:rsid w:val="00125410"/>
    <w:rsid w:val="00130858"/>
    <w:rsid w:val="00131861"/>
    <w:rsid w:val="00136C26"/>
    <w:rsid w:val="00137292"/>
    <w:rsid w:val="0014059F"/>
    <w:rsid w:val="00141551"/>
    <w:rsid w:val="001417CE"/>
    <w:rsid w:val="0014479F"/>
    <w:rsid w:val="00146B30"/>
    <w:rsid w:val="00146EAD"/>
    <w:rsid w:val="001541BF"/>
    <w:rsid w:val="00154DC5"/>
    <w:rsid w:val="00160C8D"/>
    <w:rsid w:val="001629C0"/>
    <w:rsid w:val="00165122"/>
    <w:rsid w:val="00165854"/>
    <w:rsid w:val="00166078"/>
    <w:rsid w:val="00166A15"/>
    <w:rsid w:val="001711BC"/>
    <w:rsid w:val="001738DB"/>
    <w:rsid w:val="001738F5"/>
    <w:rsid w:val="00173DFD"/>
    <w:rsid w:val="00180FF9"/>
    <w:rsid w:val="0019204F"/>
    <w:rsid w:val="00195228"/>
    <w:rsid w:val="00195696"/>
    <w:rsid w:val="00196532"/>
    <w:rsid w:val="001A1EFC"/>
    <w:rsid w:val="001A48EF"/>
    <w:rsid w:val="001A49CC"/>
    <w:rsid w:val="001A5553"/>
    <w:rsid w:val="001A716E"/>
    <w:rsid w:val="001B18C6"/>
    <w:rsid w:val="001B2C65"/>
    <w:rsid w:val="001B4255"/>
    <w:rsid w:val="001B7058"/>
    <w:rsid w:val="001C3A4F"/>
    <w:rsid w:val="001C4121"/>
    <w:rsid w:val="001C48DE"/>
    <w:rsid w:val="001C7F8D"/>
    <w:rsid w:val="001D30C1"/>
    <w:rsid w:val="001D52E3"/>
    <w:rsid w:val="001D576F"/>
    <w:rsid w:val="001D7C29"/>
    <w:rsid w:val="001E0475"/>
    <w:rsid w:val="001E33C2"/>
    <w:rsid w:val="001E708A"/>
    <w:rsid w:val="001F2AAD"/>
    <w:rsid w:val="001F5C90"/>
    <w:rsid w:val="001F767C"/>
    <w:rsid w:val="001F7B10"/>
    <w:rsid w:val="00203A7B"/>
    <w:rsid w:val="002057EF"/>
    <w:rsid w:val="00205C6E"/>
    <w:rsid w:val="00210074"/>
    <w:rsid w:val="00210FCF"/>
    <w:rsid w:val="002179B6"/>
    <w:rsid w:val="00222EFF"/>
    <w:rsid w:val="002240D5"/>
    <w:rsid w:val="002261A7"/>
    <w:rsid w:val="00226AEC"/>
    <w:rsid w:val="0023077A"/>
    <w:rsid w:val="00235C95"/>
    <w:rsid w:val="002545F3"/>
    <w:rsid w:val="0026257E"/>
    <w:rsid w:val="0026344F"/>
    <w:rsid w:val="00266A17"/>
    <w:rsid w:val="00270372"/>
    <w:rsid w:val="00275534"/>
    <w:rsid w:val="00277075"/>
    <w:rsid w:val="002775D2"/>
    <w:rsid w:val="00281ADD"/>
    <w:rsid w:val="0028563E"/>
    <w:rsid w:val="00287823"/>
    <w:rsid w:val="0028792D"/>
    <w:rsid w:val="00293E0D"/>
    <w:rsid w:val="00293E80"/>
    <w:rsid w:val="002973B0"/>
    <w:rsid w:val="00297C14"/>
    <w:rsid w:val="002A220F"/>
    <w:rsid w:val="002A24F1"/>
    <w:rsid w:val="002A43A0"/>
    <w:rsid w:val="002A5778"/>
    <w:rsid w:val="002A6E3B"/>
    <w:rsid w:val="002B1C24"/>
    <w:rsid w:val="002B1E84"/>
    <w:rsid w:val="002B2085"/>
    <w:rsid w:val="002B3EC4"/>
    <w:rsid w:val="002C37D5"/>
    <w:rsid w:val="002C4DA6"/>
    <w:rsid w:val="002C60A0"/>
    <w:rsid w:val="002C64D8"/>
    <w:rsid w:val="002D0BAB"/>
    <w:rsid w:val="002D18E1"/>
    <w:rsid w:val="002D239A"/>
    <w:rsid w:val="002D34DB"/>
    <w:rsid w:val="002D48BE"/>
    <w:rsid w:val="002D4B11"/>
    <w:rsid w:val="002D6B7B"/>
    <w:rsid w:val="002E5633"/>
    <w:rsid w:val="002E5CE6"/>
    <w:rsid w:val="002F1963"/>
    <w:rsid w:val="002F48A2"/>
    <w:rsid w:val="002F5B6E"/>
    <w:rsid w:val="002F61B5"/>
    <w:rsid w:val="00300066"/>
    <w:rsid w:val="0030209B"/>
    <w:rsid w:val="0030449A"/>
    <w:rsid w:val="003116DE"/>
    <w:rsid w:val="00311CEB"/>
    <w:rsid w:val="00312494"/>
    <w:rsid w:val="003127E4"/>
    <w:rsid w:val="00312C42"/>
    <w:rsid w:val="00313215"/>
    <w:rsid w:val="00313DA1"/>
    <w:rsid w:val="003174C3"/>
    <w:rsid w:val="0032063F"/>
    <w:rsid w:val="003230D5"/>
    <w:rsid w:val="0032557A"/>
    <w:rsid w:val="00326E3E"/>
    <w:rsid w:val="003318BA"/>
    <w:rsid w:val="003326F7"/>
    <w:rsid w:val="00340778"/>
    <w:rsid w:val="00343205"/>
    <w:rsid w:val="00344D2C"/>
    <w:rsid w:val="003458CE"/>
    <w:rsid w:val="00345A57"/>
    <w:rsid w:val="00346D90"/>
    <w:rsid w:val="00351F62"/>
    <w:rsid w:val="0035792C"/>
    <w:rsid w:val="003601F4"/>
    <w:rsid w:val="00361150"/>
    <w:rsid w:val="003671E2"/>
    <w:rsid w:val="00370320"/>
    <w:rsid w:val="00372AE6"/>
    <w:rsid w:val="00376C3A"/>
    <w:rsid w:val="0038082C"/>
    <w:rsid w:val="003837E1"/>
    <w:rsid w:val="0038542D"/>
    <w:rsid w:val="0038584D"/>
    <w:rsid w:val="0039257F"/>
    <w:rsid w:val="003931DE"/>
    <w:rsid w:val="00397D1A"/>
    <w:rsid w:val="003A163C"/>
    <w:rsid w:val="003A2B4E"/>
    <w:rsid w:val="003A2FBB"/>
    <w:rsid w:val="003A3799"/>
    <w:rsid w:val="003A4913"/>
    <w:rsid w:val="003A54A9"/>
    <w:rsid w:val="003A62A5"/>
    <w:rsid w:val="003A7083"/>
    <w:rsid w:val="003B2CF2"/>
    <w:rsid w:val="003B3103"/>
    <w:rsid w:val="003B38B3"/>
    <w:rsid w:val="003B3A97"/>
    <w:rsid w:val="003B3D44"/>
    <w:rsid w:val="003B47BC"/>
    <w:rsid w:val="003C2540"/>
    <w:rsid w:val="003C6BB5"/>
    <w:rsid w:val="003C7CC2"/>
    <w:rsid w:val="003D3379"/>
    <w:rsid w:val="003D50B6"/>
    <w:rsid w:val="003E05DF"/>
    <w:rsid w:val="003E1562"/>
    <w:rsid w:val="003E41B2"/>
    <w:rsid w:val="003E6085"/>
    <w:rsid w:val="003E6CA3"/>
    <w:rsid w:val="003F4C96"/>
    <w:rsid w:val="00400853"/>
    <w:rsid w:val="00401C49"/>
    <w:rsid w:val="00404CFE"/>
    <w:rsid w:val="00406002"/>
    <w:rsid w:val="00406AD3"/>
    <w:rsid w:val="00410731"/>
    <w:rsid w:val="00412E42"/>
    <w:rsid w:val="00413EC1"/>
    <w:rsid w:val="00415776"/>
    <w:rsid w:val="0042112A"/>
    <w:rsid w:val="00425534"/>
    <w:rsid w:val="00425C05"/>
    <w:rsid w:val="00426356"/>
    <w:rsid w:val="00426929"/>
    <w:rsid w:val="00433D11"/>
    <w:rsid w:val="00440108"/>
    <w:rsid w:val="00441A6D"/>
    <w:rsid w:val="00442C16"/>
    <w:rsid w:val="00445410"/>
    <w:rsid w:val="00446439"/>
    <w:rsid w:val="00450BDA"/>
    <w:rsid w:val="00453A3E"/>
    <w:rsid w:val="0045452F"/>
    <w:rsid w:val="0045766B"/>
    <w:rsid w:val="00457EA9"/>
    <w:rsid w:val="004618A2"/>
    <w:rsid w:val="0046444F"/>
    <w:rsid w:val="00464FF9"/>
    <w:rsid w:val="004716E3"/>
    <w:rsid w:val="00474BB7"/>
    <w:rsid w:val="00476133"/>
    <w:rsid w:val="00476800"/>
    <w:rsid w:val="004816D7"/>
    <w:rsid w:val="00482F63"/>
    <w:rsid w:val="0048342E"/>
    <w:rsid w:val="00487478"/>
    <w:rsid w:val="0048782D"/>
    <w:rsid w:val="00490873"/>
    <w:rsid w:val="00491703"/>
    <w:rsid w:val="00494DC1"/>
    <w:rsid w:val="004A3F56"/>
    <w:rsid w:val="004A4F1C"/>
    <w:rsid w:val="004A5E21"/>
    <w:rsid w:val="004A666A"/>
    <w:rsid w:val="004B143F"/>
    <w:rsid w:val="004B3022"/>
    <w:rsid w:val="004B49A0"/>
    <w:rsid w:val="004C3BDA"/>
    <w:rsid w:val="004C6306"/>
    <w:rsid w:val="004C6F5E"/>
    <w:rsid w:val="004C7E94"/>
    <w:rsid w:val="004D4551"/>
    <w:rsid w:val="004D7CF8"/>
    <w:rsid w:val="004D7EDA"/>
    <w:rsid w:val="004E0E49"/>
    <w:rsid w:val="004E197A"/>
    <w:rsid w:val="004E5D52"/>
    <w:rsid w:val="004F07D7"/>
    <w:rsid w:val="004F1297"/>
    <w:rsid w:val="004F16DB"/>
    <w:rsid w:val="004F4D7E"/>
    <w:rsid w:val="004F5B16"/>
    <w:rsid w:val="004F5D9D"/>
    <w:rsid w:val="004F68E5"/>
    <w:rsid w:val="004F6A83"/>
    <w:rsid w:val="004F7037"/>
    <w:rsid w:val="004F741B"/>
    <w:rsid w:val="00500F08"/>
    <w:rsid w:val="0050132A"/>
    <w:rsid w:val="00503253"/>
    <w:rsid w:val="00503BB0"/>
    <w:rsid w:val="00503E03"/>
    <w:rsid w:val="00511F0B"/>
    <w:rsid w:val="00512226"/>
    <w:rsid w:val="00512B31"/>
    <w:rsid w:val="005147C6"/>
    <w:rsid w:val="005159B1"/>
    <w:rsid w:val="00522502"/>
    <w:rsid w:val="00522530"/>
    <w:rsid w:val="005255A1"/>
    <w:rsid w:val="00525825"/>
    <w:rsid w:val="0052641C"/>
    <w:rsid w:val="005311C2"/>
    <w:rsid w:val="0053795D"/>
    <w:rsid w:val="00544522"/>
    <w:rsid w:val="00545D37"/>
    <w:rsid w:val="005467E2"/>
    <w:rsid w:val="005468AB"/>
    <w:rsid w:val="005501A0"/>
    <w:rsid w:val="0055026B"/>
    <w:rsid w:val="00550831"/>
    <w:rsid w:val="005525B0"/>
    <w:rsid w:val="005529CC"/>
    <w:rsid w:val="00554273"/>
    <w:rsid w:val="0056001A"/>
    <w:rsid w:val="005642B6"/>
    <w:rsid w:val="00566A97"/>
    <w:rsid w:val="00571D5E"/>
    <w:rsid w:val="005814CA"/>
    <w:rsid w:val="005823D0"/>
    <w:rsid w:val="00582D54"/>
    <w:rsid w:val="00583AAF"/>
    <w:rsid w:val="00587AF9"/>
    <w:rsid w:val="005962D5"/>
    <w:rsid w:val="005979D8"/>
    <w:rsid w:val="005A2748"/>
    <w:rsid w:val="005A443F"/>
    <w:rsid w:val="005A5215"/>
    <w:rsid w:val="005A7C26"/>
    <w:rsid w:val="005B0970"/>
    <w:rsid w:val="005B0E43"/>
    <w:rsid w:val="005B54F9"/>
    <w:rsid w:val="005B58D4"/>
    <w:rsid w:val="005B5B58"/>
    <w:rsid w:val="005B7DC9"/>
    <w:rsid w:val="005C07B3"/>
    <w:rsid w:val="005C284E"/>
    <w:rsid w:val="005C47D4"/>
    <w:rsid w:val="005D51D0"/>
    <w:rsid w:val="005D6F83"/>
    <w:rsid w:val="005D7877"/>
    <w:rsid w:val="005D7B5B"/>
    <w:rsid w:val="005D7CCF"/>
    <w:rsid w:val="005E04CF"/>
    <w:rsid w:val="005E58C4"/>
    <w:rsid w:val="005E5D8F"/>
    <w:rsid w:val="005E7BF9"/>
    <w:rsid w:val="005F5A5C"/>
    <w:rsid w:val="005F5CD9"/>
    <w:rsid w:val="00602664"/>
    <w:rsid w:val="0061135C"/>
    <w:rsid w:val="006136DD"/>
    <w:rsid w:val="006149F0"/>
    <w:rsid w:val="006220A5"/>
    <w:rsid w:val="00622D86"/>
    <w:rsid w:val="00624AC8"/>
    <w:rsid w:val="006262CF"/>
    <w:rsid w:val="00633812"/>
    <w:rsid w:val="00633C60"/>
    <w:rsid w:val="0064126D"/>
    <w:rsid w:val="006451B8"/>
    <w:rsid w:val="00645722"/>
    <w:rsid w:val="00646D8E"/>
    <w:rsid w:val="006509C3"/>
    <w:rsid w:val="00652432"/>
    <w:rsid w:val="00657840"/>
    <w:rsid w:val="0066003C"/>
    <w:rsid w:val="0066041E"/>
    <w:rsid w:val="006619BB"/>
    <w:rsid w:val="00673CCC"/>
    <w:rsid w:val="00675C98"/>
    <w:rsid w:val="0069026B"/>
    <w:rsid w:val="006956EA"/>
    <w:rsid w:val="00696DCC"/>
    <w:rsid w:val="006A0D82"/>
    <w:rsid w:val="006A490C"/>
    <w:rsid w:val="006A5881"/>
    <w:rsid w:val="006A766E"/>
    <w:rsid w:val="006B2109"/>
    <w:rsid w:val="006B4F7D"/>
    <w:rsid w:val="006B63B1"/>
    <w:rsid w:val="006C114C"/>
    <w:rsid w:val="006C3668"/>
    <w:rsid w:val="006C3864"/>
    <w:rsid w:val="006C5383"/>
    <w:rsid w:val="006C5E72"/>
    <w:rsid w:val="006C692A"/>
    <w:rsid w:val="006D2AEC"/>
    <w:rsid w:val="006D438F"/>
    <w:rsid w:val="006D4B1C"/>
    <w:rsid w:val="006D4C8E"/>
    <w:rsid w:val="006E19D1"/>
    <w:rsid w:val="006E1CBB"/>
    <w:rsid w:val="006E4B27"/>
    <w:rsid w:val="006E5E7E"/>
    <w:rsid w:val="006F100B"/>
    <w:rsid w:val="006F239A"/>
    <w:rsid w:val="006F2C9D"/>
    <w:rsid w:val="006F4201"/>
    <w:rsid w:val="006F6B51"/>
    <w:rsid w:val="007048DB"/>
    <w:rsid w:val="0070637D"/>
    <w:rsid w:val="007071DD"/>
    <w:rsid w:val="0070771F"/>
    <w:rsid w:val="00712A14"/>
    <w:rsid w:val="00713208"/>
    <w:rsid w:val="00716C04"/>
    <w:rsid w:val="00717180"/>
    <w:rsid w:val="007179D2"/>
    <w:rsid w:val="00720750"/>
    <w:rsid w:val="0072549C"/>
    <w:rsid w:val="00725A80"/>
    <w:rsid w:val="00726E61"/>
    <w:rsid w:val="0073102A"/>
    <w:rsid w:val="00733970"/>
    <w:rsid w:val="007375FE"/>
    <w:rsid w:val="00741D0B"/>
    <w:rsid w:val="00754C58"/>
    <w:rsid w:val="00757EF0"/>
    <w:rsid w:val="0077436E"/>
    <w:rsid w:val="00776E78"/>
    <w:rsid w:val="0078138A"/>
    <w:rsid w:val="00783014"/>
    <w:rsid w:val="007834DC"/>
    <w:rsid w:val="00790768"/>
    <w:rsid w:val="007959D8"/>
    <w:rsid w:val="0079630F"/>
    <w:rsid w:val="007A04C2"/>
    <w:rsid w:val="007A2B29"/>
    <w:rsid w:val="007A4188"/>
    <w:rsid w:val="007A4238"/>
    <w:rsid w:val="007A47D0"/>
    <w:rsid w:val="007B146A"/>
    <w:rsid w:val="007B57C9"/>
    <w:rsid w:val="007C0E7C"/>
    <w:rsid w:val="007C0EAA"/>
    <w:rsid w:val="007C19C3"/>
    <w:rsid w:val="007C44B2"/>
    <w:rsid w:val="007C54EE"/>
    <w:rsid w:val="007C6496"/>
    <w:rsid w:val="007C745E"/>
    <w:rsid w:val="007D0ABE"/>
    <w:rsid w:val="007E0E53"/>
    <w:rsid w:val="007E319A"/>
    <w:rsid w:val="007E356F"/>
    <w:rsid w:val="007E3F8C"/>
    <w:rsid w:val="007F2058"/>
    <w:rsid w:val="007F41A3"/>
    <w:rsid w:val="007F7685"/>
    <w:rsid w:val="0080011D"/>
    <w:rsid w:val="00800EA5"/>
    <w:rsid w:val="00801C01"/>
    <w:rsid w:val="008112CC"/>
    <w:rsid w:val="008130BB"/>
    <w:rsid w:val="00813D7D"/>
    <w:rsid w:val="008147C6"/>
    <w:rsid w:val="00817406"/>
    <w:rsid w:val="008208A7"/>
    <w:rsid w:val="008237FA"/>
    <w:rsid w:val="00825D37"/>
    <w:rsid w:val="008369B0"/>
    <w:rsid w:val="008372D1"/>
    <w:rsid w:val="00845C1E"/>
    <w:rsid w:val="0085732C"/>
    <w:rsid w:val="00857C91"/>
    <w:rsid w:val="00860B45"/>
    <w:rsid w:val="00861F68"/>
    <w:rsid w:val="00863860"/>
    <w:rsid w:val="008638B5"/>
    <w:rsid w:val="00866043"/>
    <w:rsid w:val="00866B47"/>
    <w:rsid w:val="008734DB"/>
    <w:rsid w:val="0087390B"/>
    <w:rsid w:val="00874035"/>
    <w:rsid w:val="008745A1"/>
    <w:rsid w:val="008768E9"/>
    <w:rsid w:val="0087751B"/>
    <w:rsid w:val="00881A32"/>
    <w:rsid w:val="00890995"/>
    <w:rsid w:val="008914FB"/>
    <w:rsid w:val="00891D19"/>
    <w:rsid w:val="00892516"/>
    <w:rsid w:val="0089737A"/>
    <w:rsid w:val="00897E99"/>
    <w:rsid w:val="00897F60"/>
    <w:rsid w:val="008A4829"/>
    <w:rsid w:val="008B2384"/>
    <w:rsid w:val="008B38D6"/>
    <w:rsid w:val="008B4802"/>
    <w:rsid w:val="008B69E3"/>
    <w:rsid w:val="008C1FD1"/>
    <w:rsid w:val="008C24A8"/>
    <w:rsid w:val="008C35EF"/>
    <w:rsid w:val="008C3664"/>
    <w:rsid w:val="008C5996"/>
    <w:rsid w:val="008C6FD0"/>
    <w:rsid w:val="008D3E41"/>
    <w:rsid w:val="008D4FA9"/>
    <w:rsid w:val="008D5A11"/>
    <w:rsid w:val="008D5E23"/>
    <w:rsid w:val="008D77AF"/>
    <w:rsid w:val="008E6D59"/>
    <w:rsid w:val="008F24A6"/>
    <w:rsid w:val="008F30C7"/>
    <w:rsid w:val="008F4527"/>
    <w:rsid w:val="008F5D66"/>
    <w:rsid w:val="009028AA"/>
    <w:rsid w:val="00903E3F"/>
    <w:rsid w:val="009049C3"/>
    <w:rsid w:val="00904AB8"/>
    <w:rsid w:val="009057D9"/>
    <w:rsid w:val="0090774A"/>
    <w:rsid w:val="00907C97"/>
    <w:rsid w:val="00910D07"/>
    <w:rsid w:val="00914B2F"/>
    <w:rsid w:val="009150E6"/>
    <w:rsid w:val="00916290"/>
    <w:rsid w:val="00916F37"/>
    <w:rsid w:val="00917F89"/>
    <w:rsid w:val="009223BE"/>
    <w:rsid w:val="0092499B"/>
    <w:rsid w:val="009255EE"/>
    <w:rsid w:val="00925603"/>
    <w:rsid w:val="00925F76"/>
    <w:rsid w:val="00925FCE"/>
    <w:rsid w:val="00932E89"/>
    <w:rsid w:val="0093359D"/>
    <w:rsid w:val="00933F2B"/>
    <w:rsid w:val="00942EEB"/>
    <w:rsid w:val="0094468E"/>
    <w:rsid w:val="00944B6E"/>
    <w:rsid w:val="00945261"/>
    <w:rsid w:val="00947377"/>
    <w:rsid w:val="009506A5"/>
    <w:rsid w:val="00951452"/>
    <w:rsid w:val="009541CC"/>
    <w:rsid w:val="00956564"/>
    <w:rsid w:val="009567A6"/>
    <w:rsid w:val="00956D5A"/>
    <w:rsid w:val="00961B2C"/>
    <w:rsid w:val="00961DBB"/>
    <w:rsid w:val="00963D2B"/>
    <w:rsid w:val="0096618E"/>
    <w:rsid w:val="009758AE"/>
    <w:rsid w:val="00981433"/>
    <w:rsid w:val="0098222F"/>
    <w:rsid w:val="0098244F"/>
    <w:rsid w:val="00983122"/>
    <w:rsid w:val="00985C07"/>
    <w:rsid w:val="00995B4F"/>
    <w:rsid w:val="00995FA3"/>
    <w:rsid w:val="00997582"/>
    <w:rsid w:val="009A22F8"/>
    <w:rsid w:val="009A2C21"/>
    <w:rsid w:val="009A3E58"/>
    <w:rsid w:val="009A5F02"/>
    <w:rsid w:val="009A7AB1"/>
    <w:rsid w:val="009B424D"/>
    <w:rsid w:val="009B6408"/>
    <w:rsid w:val="009B70E6"/>
    <w:rsid w:val="009C6DAA"/>
    <w:rsid w:val="009D0E74"/>
    <w:rsid w:val="009D1A96"/>
    <w:rsid w:val="009D370B"/>
    <w:rsid w:val="009D5CEB"/>
    <w:rsid w:val="009D7EE0"/>
    <w:rsid w:val="009E2087"/>
    <w:rsid w:val="009E252B"/>
    <w:rsid w:val="009E3265"/>
    <w:rsid w:val="009E3353"/>
    <w:rsid w:val="009E446D"/>
    <w:rsid w:val="009E7C09"/>
    <w:rsid w:val="009F146D"/>
    <w:rsid w:val="009F4F1E"/>
    <w:rsid w:val="009F5D6A"/>
    <w:rsid w:val="00A015E4"/>
    <w:rsid w:val="00A075BC"/>
    <w:rsid w:val="00A11222"/>
    <w:rsid w:val="00A12C39"/>
    <w:rsid w:val="00A134FB"/>
    <w:rsid w:val="00A162FE"/>
    <w:rsid w:val="00A172D4"/>
    <w:rsid w:val="00A20802"/>
    <w:rsid w:val="00A25B4F"/>
    <w:rsid w:val="00A261B3"/>
    <w:rsid w:val="00A27E8B"/>
    <w:rsid w:val="00A311CF"/>
    <w:rsid w:val="00A442BF"/>
    <w:rsid w:val="00A50BC1"/>
    <w:rsid w:val="00A517D0"/>
    <w:rsid w:val="00A51B96"/>
    <w:rsid w:val="00A53716"/>
    <w:rsid w:val="00A5629E"/>
    <w:rsid w:val="00A64832"/>
    <w:rsid w:val="00A732DB"/>
    <w:rsid w:val="00A75338"/>
    <w:rsid w:val="00A82939"/>
    <w:rsid w:val="00A838D2"/>
    <w:rsid w:val="00A86F04"/>
    <w:rsid w:val="00A92C08"/>
    <w:rsid w:val="00A92CDB"/>
    <w:rsid w:val="00A946C4"/>
    <w:rsid w:val="00AA478E"/>
    <w:rsid w:val="00AB137D"/>
    <w:rsid w:val="00AB4593"/>
    <w:rsid w:val="00AC01F8"/>
    <w:rsid w:val="00AC059A"/>
    <w:rsid w:val="00AC3BE3"/>
    <w:rsid w:val="00AC41CF"/>
    <w:rsid w:val="00AD0308"/>
    <w:rsid w:val="00AD377A"/>
    <w:rsid w:val="00AD67BB"/>
    <w:rsid w:val="00AE084F"/>
    <w:rsid w:val="00AE1CC1"/>
    <w:rsid w:val="00AE3EA4"/>
    <w:rsid w:val="00AE51FE"/>
    <w:rsid w:val="00AF1B02"/>
    <w:rsid w:val="00AF41E4"/>
    <w:rsid w:val="00AF568A"/>
    <w:rsid w:val="00B020EF"/>
    <w:rsid w:val="00B05262"/>
    <w:rsid w:val="00B06A75"/>
    <w:rsid w:val="00B06BC3"/>
    <w:rsid w:val="00B15A0F"/>
    <w:rsid w:val="00B17FB2"/>
    <w:rsid w:val="00B20236"/>
    <w:rsid w:val="00B20937"/>
    <w:rsid w:val="00B220A0"/>
    <w:rsid w:val="00B22B64"/>
    <w:rsid w:val="00B22D72"/>
    <w:rsid w:val="00B22FEA"/>
    <w:rsid w:val="00B24321"/>
    <w:rsid w:val="00B26776"/>
    <w:rsid w:val="00B30FEB"/>
    <w:rsid w:val="00B311BA"/>
    <w:rsid w:val="00B35B47"/>
    <w:rsid w:val="00B40AA3"/>
    <w:rsid w:val="00B43AF9"/>
    <w:rsid w:val="00B44478"/>
    <w:rsid w:val="00B4609C"/>
    <w:rsid w:val="00B508DA"/>
    <w:rsid w:val="00B538BA"/>
    <w:rsid w:val="00B6002C"/>
    <w:rsid w:val="00B620EE"/>
    <w:rsid w:val="00B717FF"/>
    <w:rsid w:val="00B80FB4"/>
    <w:rsid w:val="00B85366"/>
    <w:rsid w:val="00B87F60"/>
    <w:rsid w:val="00B9079B"/>
    <w:rsid w:val="00B93B5E"/>
    <w:rsid w:val="00B93D3D"/>
    <w:rsid w:val="00B96341"/>
    <w:rsid w:val="00BA471F"/>
    <w:rsid w:val="00BB5013"/>
    <w:rsid w:val="00BB528E"/>
    <w:rsid w:val="00BB615A"/>
    <w:rsid w:val="00BB78CD"/>
    <w:rsid w:val="00BC11EC"/>
    <w:rsid w:val="00BC2600"/>
    <w:rsid w:val="00BC36F0"/>
    <w:rsid w:val="00BC3E99"/>
    <w:rsid w:val="00BC4FA7"/>
    <w:rsid w:val="00BC5E30"/>
    <w:rsid w:val="00BD00ED"/>
    <w:rsid w:val="00BD02C5"/>
    <w:rsid w:val="00BD068D"/>
    <w:rsid w:val="00BE0D9A"/>
    <w:rsid w:val="00BE1A50"/>
    <w:rsid w:val="00BE2F0D"/>
    <w:rsid w:val="00BE5E2E"/>
    <w:rsid w:val="00BF0BD5"/>
    <w:rsid w:val="00BF0D35"/>
    <w:rsid w:val="00BF55F8"/>
    <w:rsid w:val="00C051FD"/>
    <w:rsid w:val="00C1744F"/>
    <w:rsid w:val="00C20C7D"/>
    <w:rsid w:val="00C20DEF"/>
    <w:rsid w:val="00C24B25"/>
    <w:rsid w:val="00C24E89"/>
    <w:rsid w:val="00C32C2F"/>
    <w:rsid w:val="00C3738A"/>
    <w:rsid w:val="00C40859"/>
    <w:rsid w:val="00C4315A"/>
    <w:rsid w:val="00C43F5E"/>
    <w:rsid w:val="00C44074"/>
    <w:rsid w:val="00C4651F"/>
    <w:rsid w:val="00C51D0B"/>
    <w:rsid w:val="00C52207"/>
    <w:rsid w:val="00C52A50"/>
    <w:rsid w:val="00C61628"/>
    <w:rsid w:val="00C642D4"/>
    <w:rsid w:val="00C66AF6"/>
    <w:rsid w:val="00C730F4"/>
    <w:rsid w:val="00C74311"/>
    <w:rsid w:val="00C75BF3"/>
    <w:rsid w:val="00C80200"/>
    <w:rsid w:val="00C80E0A"/>
    <w:rsid w:val="00C8270B"/>
    <w:rsid w:val="00C841A9"/>
    <w:rsid w:val="00C8728F"/>
    <w:rsid w:val="00C91D48"/>
    <w:rsid w:val="00C97FBC"/>
    <w:rsid w:val="00CA06C8"/>
    <w:rsid w:val="00CA0B7E"/>
    <w:rsid w:val="00CA37B6"/>
    <w:rsid w:val="00CA3A3D"/>
    <w:rsid w:val="00CA4C28"/>
    <w:rsid w:val="00CA4E33"/>
    <w:rsid w:val="00CA5598"/>
    <w:rsid w:val="00CA5EF8"/>
    <w:rsid w:val="00CB0E2F"/>
    <w:rsid w:val="00CB28A3"/>
    <w:rsid w:val="00CB73EC"/>
    <w:rsid w:val="00CC00A0"/>
    <w:rsid w:val="00CC0FED"/>
    <w:rsid w:val="00CC3C34"/>
    <w:rsid w:val="00CC5455"/>
    <w:rsid w:val="00CC6C06"/>
    <w:rsid w:val="00CD1526"/>
    <w:rsid w:val="00CD1546"/>
    <w:rsid w:val="00CD2807"/>
    <w:rsid w:val="00CD5509"/>
    <w:rsid w:val="00CE0215"/>
    <w:rsid w:val="00CE1EB0"/>
    <w:rsid w:val="00CE3DF2"/>
    <w:rsid w:val="00CF04D5"/>
    <w:rsid w:val="00CF0C0F"/>
    <w:rsid w:val="00CF1690"/>
    <w:rsid w:val="00CF1F2A"/>
    <w:rsid w:val="00CF5CE3"/>
    <w:rsid w:val="00CF7412"/>
    <w:rsid w:val="00D00E54"/>
    <w:rsid w:val="00D030F8"/>
    <w:rsid w:val="00D077B7"/>
    <w:rsid w:val="00D20297"/>
    <w:rsid w:val="00D21E43"/>
    <w:rsid w:val="00D21E6B"/>
    <w:rsid w:val="00D2336A"/>
    <w:rsid w:val="00D23634"/>
    <w:rsid w:val="00D34551"/>
    <w:rsid w:val="00D36D27"/>
    <w:rsid w:val="00D41664"/>
    <w:rsid w:val="00D4569D"/>
    <w:rsid w:val="00D457D6"/>
    <w:rsid w:val="00D52C57"/>
    <w:rsid w:val="00D55013"/>
    <w:rsid w:val="00D64CE2"/>
    <w:rsid w:val="00D661D4"/>
    <w:rsid w:val="00D702E1"/>
    <w:rsid w:val="00D719B9"/>
    <w:rsid w:val="00D7270F"/>
    <w:rsid w:val="00D7596A"/>
    <w:rsid w:val="00D7751B"/>
    <w:rsid w:val="00D815DC"/>
    <w:rsid w:val="00D822B5"/>
    <w:rsid w:val="00D83D3C"/>
    <w:rsid w:val="00D84451"/>
    <w:rsid w:val="00D85C95"/>
    <w:rsid w:val="00D867AE"/>
    <w:rsid w:val="00D87BBB"/>
    <w:rsid w:val="00D87C87"/>
    <w:rsid w:val="00D90291"/>
    <w:rsid w:val="00D921C4"/>
    <w:rsid w:val="00D9296A"/>
    <w:rsid w:val="00D93C23"/>
    <w:rsid w:val="00D95638"/>
    <w:rsid w:val="00D9584C"/>
    <w:rsid w:val="00D97180"/>
    <w:rsid w:val="00D97C79"/>
    <w:rsid w:val="00DA14D9"/>
    <w:rsid w:val="00DB13AD"/>
    <w:rsid w:val="00DB23F9"/>
    <w:rsid w:val="00DB58BE"/>
    <w:rsid w:val="00DB602E"/>
    <w:rsid w:val="00DB6176"/>
    <w:rsid w:val="00DB6AA0"/>
    <w:rsid w:val="00DB7C3A"/>
    <w:rsid w:val="00DD14EE"/>
    <w:rsid w:val="00DD32AB"/>
    <w:rsid w:val="00DD5BF6"/>
    <w:rsid w:val="00DD64DC"/>
    <w:rsid w:val="00DE1865"/>
    <w:rsid w:val="00DE6CEF"/>
    <w:rsid w:val="00DF11C2"/>
    <w:rsid w:val="00DF2134"/>
    <w:rsid w:val="00DF4593"/>
    <w:rsid w:val="00DF64E0"/>
    <w:rsid w:val="00E10D05"/>
    <w:rsid w:val="00E2223E"/>
    <w:rsid w:val="00E22D98"/>
    <w:rsid w:val="00E24623"/>
    <w:rsid w:val="00E252E3"/>
    <w:rsid w:val="00E25B1B"/>
    <w:rsid w:val="00E340E8"/>
    <w:rsid w:val="00E378A9"/>
    <w:rsid w:val="00E40505"/>
    <w:rsid w:val="00E42A41"/>
    <w:rsid w:val="00E45766"/>
    <w:rsid w:val="00E45AC5"/>
    <w:rsid w:val="00E567E5"/>
    <w:rsid w:val="00E64480"/>
    <w:rsid w:val="00E65807"/>
    <w:rsid w:val="00E66103"/>
    <w:rsid w:val="00E6708B"/>
    <w:rsid w:val="00E73A8C"/>
    <w:rsid w:val="00E75050"/>
    <w:rsid w:val="00E75D5E"/>
    <w:rsid w:val="00E76F42"/>
    <w:rsid w:val="00E77D6D"/>
    <w:rsid w:val="00E82C6A"/>
    <w:rsid w:val="00E915E6"/>
    <w:rsid w:val="00EA3E11"/>
    <w:rsid w:val="00EA6EB3"/>
    <w:rsid w:val="00EB4A8E"/>
    <w:rsid w:val="00EB5EF3"/>
    <w:rsid w:val="00EB62F7"/>
    <w:rsid w:val="00EB664D"/>
    <w:rsid w:val="00EB695D"/>
    <w:rsid w:val="00EB7C6D"/>
    <w:rsid w:val="00EC38F3"/>
    <w:rsid w:val="00EC4241"/>
    <w:rsid w:val="00EC4ED1"/>
    <w:rsid w:val="00ED0404"/>
    <w:rsid w:val="00ED1407"/>
    <w:rsid w:val="00ED39CE"/>
    <w:rsid w:val="00ED4134"/>
    <w:rsid w:val="00ED7A9F"/>
    <w:rsid w:val="00EE05F1"/>
    <w:rsid w:val="00EE1B0F"/>
    <w:rsid w:val="00EE3226"/>
    <w:rsid w:val="00EE471A"/>
    <w:rsid w:val="00EE5492"/>
    <w:rsid w:val="00EE583A"/>
    <w:rsid w:val="00EF0A00"/>
    <w:rsid w:val="00EF7395"/>
    <w:rsid w:val="00F0183C"/>
    <w:rsid w:val="00F0379D"/>
    <w:rsid w:val="00F03C79"/>
    <w:rsid w:val="00F07BD5"/>
    <w:rsid w:val="00F122D6"/>
    <w:rsid w:val="00F147EA"/>
    <w:rsid w:val="00F15BF4"/>
    <w:rsid w:val="00F171E0"/>
    <w:rsid w:val="00F17940"/>
    <w:rsid w:val="00F17DC0"/>
    <w:rsid w:val="00F2046C"/>
    <w:rsid w:val="00F20647"/>
    <w:rsid w:val="00F207FC"/>
    <w:rsid w:val="00F274DB"/>
    <w:rsid w:val="00F31392"/>
    <w:rsid w:val="00F348B5"/>
    <w:rsid w:val="00F35BE9"/>
    <w:rsid w:val="00F3652B"/>
    <w:rsid w:val="00F36D95"/>
    <w:rsid w:val="00F377B9"/>
    <w:rsid w:val="00F45442"/>
    <w:rsid w:val="00F5145E"/>
    <w:rsid w:val="00F554DB"/>
    <w:rsid w:val="00F558EA"/>
    <w:rsid w:val="00F5681C"/>
    <w:rsid w:val="00F6045D"/>
    <w:rsid w:val="00F613CB"/>
    <w:rsid w:val="00F61F79"/>
    <w:rsid w:val="00F651DD"/>
    <w:rsid w:val="00F656A4"/>
    <w:rsid w:val="00F6665E"/>
    <w:rsid w:val="00F7075F"/>
    <w:rsid w:val="00F71D76"/>
    <w:rsid w:val="00F8349F"/>
    <w:rsid w:val="00F83FB7"/>
    <w:rsid w:val="00F85935"/>
    <w:rsid w:val="00F85D29"/>
    <w:rsid w:val="00F969D3"/>
    <w:rsid w:val="00F9789E"/>
    <w:rsid w:val="00FA190E"/>
    <w:rsid w:val="00FA54D8"/>
    <w:rsid w:val="00FB460E"/>
    <w:rsid w:val="00FC4FB7"/>
    <w:rsid w:val="00FC65E5"/>
    <w:rsid w:val="00FC6998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069"/>
    <w:rsid w:val="00FE3B13"/>
    <w:rsid w:val="00FF0566"/>
    <w:rsid w:val="00FF15F5"/>
    <w:rsid w:val="00FF4BAE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footer" w:uiPriority="3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footer" w:uiPriority="3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1.%20PR,%20IR\CLC%20and%20CM%20-%20costing.dotm" TargetMode="External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B666C677-EFD3-4F4D-A1AA-B7927718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CLC and CM - costing.dotm</Template>
  <TotalTime>7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Imaging (MRI) licences for Mount Barker and Victor Harbor</vt:lpstr>
    </vt:vector>
  </TitlesOfParts>
  <Company>Parliament of Australia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Imaging (MRI) licences for Mount Barker and Victor Harbor</dc:title>
  <dc:creator>PBO@pbo.gov.au</dc:creator>
  <cp:lastModifiedBy>Pratley, Lauren (PBO)</cp:lastModifiedBy>
  <cp:revision>6</cp:revision>
  <cp:lastPrinted>2018-08-22T23:08:00Z</cp:lastPrinted>
  <dcterms:created xsi:type="dcterms:W3CDTF">2018-09-18T06:43:00Z</dcterms:created>
  <dcterms:modified xsi:type="dcterms:W3CDTF">2018-09-19T05:39:00Z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