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EE" w:rsidRDefault="00000DEE">
      <w:pPr>
        <w:pStyle w:val="BodyText"/>
        <w:spacing w:before="4" w:after="1"/>
        <w:rPr>
          <w:sz w:val="8"/>
        </w:rPr>
      </w:pPr>
    </w:p>
    <w:p w:rsidR="00000DEE" w:rsidRDefault="00197DC0">
      <w:pPr>
        <w:pStyle w:val="BodyText"/>
        <w:ind w:left="658"/>
        <w:rPr>
          <w:sz w:val="20"/>
        </w:rPr>
      </w:pPr>
      <w:r>
        <w:rPr>
          <w:noProof/>
          <w:sz w:val="20"/>
          <w:lang w:val="en-AU" w:eastAsia="en-AU"/>
        </w:rPr>
        <w:drawing>
          <wp:inline distT="0" distB="0" distL="0" distR="0">
            <wp:extent cx="1946268" cy="579501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268" cy="5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DEE" w:rsidRDefault="00000DEE">
      <w:pPr>
        <w:pStyle w:val="BodyText"/>
        <w:rPr>
          <w:sz w:val="20"/>
        </w:rPr>
      </w:pPr>
    </w:p>
    <w:p w:rsidR="00000DEE" w:rsidRDefault="00000DEE">
      <w:pPr>
        <w:pStyle w:val="BodyText"/>
        <w:spacing w:before="8"/>
        <w:rPr>
          <w:sz w:val="15"/>
        </w:rPr>
      </w:pPr>
    </w:p>
    <w:p w:rsidR="00000DEE" w:rsidRDefault="00197DC0">
      <w:pPr>
        <w:spacing w:before="35"/>
        <w:ind w:left="658"/>
        <w:rPr>
          <w:sz w:val="32"/>
        </w:rPr>
      </w:pPr>
      <w:r>
        <w:rPr>
          <w:color w:val="3C4D7C"/>
          <w:sz w:val="32"/>
        </w:rPr>
        <w:t>Request for budget analysis</w:t>
      </w:r>
    </w:p>
    <w:p w:rsidR="00000DEE" w:rsidRDefault="00000DEE">
      <w:pPr>
        <w:pStyle w:val="BodyText"/>
        <w:spacing w:before="11"/>
        <w:rPr>
          <w:sz w:val="19"/>
        </w:rPr>
      </w:pPr>
    </w:p>
    <w:tbl>
      <w:tblPr>
        <w:tblW w:w="0" w:type="auto"/>
        <w:tblInd w:w="560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3521"/>
        <w:gridCol w:w="2198"/>
        <w:gridCol w:w="3444"/>
      </w:tblGrid>
      <w:tr w:rsidR="00000DEE">
        <w:trPr>
          <w:trHeight w:val="507"/>
        </w:trPr>
        <w:tc>
          <w:tcPr>
            <w:tcW w:w="108" w:type="dxa"/>
            <w:tcBorders>
              <w:right w:val="nil"/>
            </w:tcBorders>
            <w:shd w:val="clear" w:color="auto" w:fill="A7B1D3"/>
          </w:tcPr>
          <w:p w:rsidR="00000DEE" w:rsidRDefault="00000DEE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9163" w:type="dxa"/>
            <w:gridSpan w:val="3"/>
            <w:tcBorders>
              <w:left w:val="nil"/>
            </w:tcBorders>
            <w:shd w:val="clear" w:color="auto" w:fill="A7B1D3"/>
          </w:tcPr>
          <w:p w:rsidR="00000DEE" w:rsidRDefault="00197DC0">
            <w:pPr>
              <w:pStyle w:val="TableParagraph"/>
              <w:spacing w:before="116"/>
              <w:ind w:left="9"/>
              <w:jc w:val="left"/>
              <w:rPr>
                <w:b/>
              </w:rPr>
            </w:pPr>
            <w:bookmarkStart w:id="0" w:name="_GoBack"/>
            <w:r>
              <w:rPr>
                <w:b/>
              </w:rPr>
              <w:t>Loss of public revenue and a distributional analysis of the tax cuts packages</w:t>
            </w:r>
            <w:bookmarkEnd w:id="0"/>
          </w:p>
        </w:tc>
      </w:tr>
      <w:tr w:rsidR="00000DEE">
        <w:trPr>
          <w:trHeight w:val="510"/>
        </w:trPr>
        <w:tc>
          <w:tcPr>
            <w:tcW w:w="3629" w:type="dxa"/>
            <w:gridSpan w:val="2"/>
          </w:tcPr>
          <w:p w:rsidR="00000DEE" w:rsidRDefault="00197DC0">
            <w:pPr>
              <w:pStyle w:val="TableParagraph"/>
              <w:spacing w:before="119"/>
              <w:ind w:left="107"/>
              <w:jc w:val="left"/>
            </w:pPr>
            <w:r>
              <w:t>Person/party requesting the analysis:</w:t>
            </w:r>
          </w:p>
        </w:tc>
        <w:tc>
          <w:tcPr>
            <w:tcW w:w="5642" w:type="dxa"/>
            <w:gridSpan w:val="2"/>
          </w:tcPr>
          <w:p w:rsidR="00000DEE" w:rsidRDefault="00197DC0">
            <w:pPr>
              <w:pStyle w:val="TableParagraph"/>
              <w:spacing w:before="119"/>
              <w:ind w:left="107"/>
              <w:jc w:val="left"/>
            </w:pPr>
            <w:r>
              <w:t>Mr Adam Bandt MP, Australian Greens</w:t>
            </w:r>
          </w:p>
        </w:tc>
      </w:tr>
      <w:tr w:rsidR="00000DEE">
        <w:trPr>
          <w:trHeight w:val="507"/>
        </w:trPr>
        <w:tc>
          <w:tcPr>
            <w:tcW w:w="3629" w:type="dxa"/>
            <w:gridSpan w:val="2"/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Date analysis completed:</w:t>
            </w:r>
          </w:p>
        </w:tc>
        <w:tc>
          <w:tcPr>
            <w:tcW w:w="5642" w:type="dxa"/>
            <w:gridSpan w:val="2"/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5 November 2020</w:t>
            </w:r>
          </w:p>
        </w:tc>
      </w:tr>
      <w:tr w:rsidR="00000DEE">
        <w:trPr>
          <w:trHeight w:val="507"/>
        </w:trPr>
        <w:tc>
          <w:tcPr>
            <w:tcW w:w="3629" w:type="dxa"/>
            <w:gridSpan w:val="2"/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Expiry date of the analysis:</w:t>
            </w:r>
          </w:p>
        </w:tc>
        <w:tc>
          <w:tcPr>
            <w:tcW w:w="5642" w:type="dxa"/>
            <w:gridSpan w:val="2"/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Release of the next economic and fiscal outlook report.</w:t>
            </w:r>
          </w:p>
        </w:tc>
      </w:tr>
      <w:tr w:rsidR="00000DEE">
        <w:trPr>
          <w:trHeight w:val="519"/>
        </w:trPr>
        <w:tc>
          <w:tcPr>
            <w:tcW w:w="3629" w:type="dxa"/>
            <w:gridSpan w:val="2"/>
            <w:vMerge w:val="restart"/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Status at time of request:</w:t>
            </w:r>
          </w:p>
        </w:tc>
        <w:tc>
          <w:tcPr>
            <w:tcW w:w="5642" w:type="dxa"/>
            <w:gridSpan w:val="2"/>
            <w:tcBorders>
              <w:bottom w:val="nil"/>
            </w:tcBorders>
          </w:tcPr>
          <w:p w:rsidR="00000DEE" w:rsidRDefault="00197DC0">
            <w:pPr>
              <w:pStyle w:val="TableParagraph"/>
              <w:spacing w:before="116"/>
              <w:ind w:left="107"/>
              <w:jc w:val="left"/>
            </w:pPr>
            <w:r>
              <w:t>Submitted outside the caretaker period</w:t>
            </w:r>
          </w:p>
        </w:tc>
      </w:tr>
      <w:tr w:rsidR="00000DEE">
        <w:trPr>
          <w:trHeight w:val="512"/>
        </w:trPr>
        <w:tc>
          <w:tcPr>
            <w:tcW w:w="3629" w:type="dxa"/>
            <w:gridSpan w:val="2"/>
            <w:vMerge/>
            <w:tcBorders>
              <w:top w:val="nil"/>
            </w:tcBorders>
          </w:tcPr>
          <w:p w:rsidR="00000DEE" w:rsidRDefault="00000DEE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nil"/>
              <w:right w:val="nil"/>
            </w:tcBorders>
          </w:tcPr>
          <w:p w:rsidR="00000DEE" w:rsidRDefault="00197DC0">
            <w:pPr>
              <w:pStyle w:val="TableParagraph"/>
              <w:spacing w:before="108"/>
              <w:ind w:left="107"/>
              <w:jc w:val="left"/>
            </w:pPr>
            <w:r>
              <w:rPr>
                <w:rFonts w:ascii="MS Gothic" w:hAnsi="MS Gothic"/>
              </w:rPr>
              <w:t>☒</w:t>
            </w:r>
            <w:r>
              <w:rPr>
                <w:rFonts w:ascii="MS Gothic" w:hAnsi="MS Gothic"/>
                <w:spacing w:val="-64"/>
              </w:rPr>
              <w:t xml:space="preserve"> </w:t>
            </w:r>
            <w:r>
              <w:t>Confidential</w:t>
            </w:r>
          </w:p>
        </w:tc>
        <w:tc>
          <w:tcPr>
            <w:tcW w:w="3444" w:type="dxa"/>
            <w:tcBorders>
              <w:top w:val="nil"/>
              <w:left w:val="nil"/>
            </w:tcBorders>
          </w:tcPr>
          <w:p w:rsidR="00000DEE" w:rsidRDefault="00197DC0">
            <w:pPr>
              <w:pStyle w:val="TableParagraph"/>
              <w:numPr>
                <w:ilvl w:val="0"/>
                <w:numId w:val="5"/>
              </w:numPr>
              <w:tabs>
                <w:tab w:val="left" w:pos="1023"/>
              </w:tabs>
              <w:spacing w:before="108"/>
              <w:ind w:hanging="270"/>
              <w:jc w:val="left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confidential</w:t>
            </w:r>
          </w:p>
        </w:tc>
      </w:tr>
      <w:tr w:rsidR="00000DEE">
        <w:trPr>
          <w:trHeight w:val="3287"/>
        </w:trPr>
        <w:tc>
          <w:tcPr>
            <w:tcW w:w="9271" w:type="dxa"/>
            <w:gridSpan w:val="4"/>
          </w:tcPr>
          <w:p w:rsidR="00000DEE" w:rsidRDefault="00197DC0">
            <w:pPr>
              <w:pStyle w:val="TableParagraph"/>
              <w:spacing w:before="119"/>
              <w:ind w:left="107"/>
              <w:jc w:val="left"/>
            </w:pPr>
            <w:r>
              <w:t>Summary of proposal:</w:t>
            </w:r>
          </w:p>
          <w:p w:rsidR="00000DEE" w:rsidRDefault="00197DC0">
            <w:pPr>
              <w:pStyle w:val="TableParagraph"/>
              <w:spacing w:before="120"/>
              <w:ind w:left="107"/>
              <w:jc w:val="lef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request</w:t>
            </w:r>
            <w:r>
              <w:rPr>
                <w:spacing w:val="-9"/>
              </w:rPr>
              <w:t xml:space="preserve"> </w:t>
            </w:r>
            <w:r>
              <w:t>sought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estimated</w:t>
            </w:r>
            <w:r>
              <w:rPr>
                <w:spacing w:val="-11"/>
              </w:rPr>
              <w:t xml:space="preserve"> </w:t>
            </w:r>
            <w:r>
              <w:t>cost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budget,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2017-18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2030-31,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Government’s Personal </w:t>
            </w:r>
            <w:r>
              <w:rPr>
                <w:spacing w:val="-2"/>
              </w:rPr>
              <w:t xml:space="preserve">income </w:t>
            </w:r>
            <w:r>
              <w:t xml:space="preserve">tax plan. The baseline for this analysis is keeping the personal </w:t>
            </w:r>
            <w:r>
              <w:rPr>
                <w:spacing w:val="-2"/>
              </w:rPr>
              <w:t xml:space="preserve">income </w:t>
            </w:r>
            <w:r>
              <w:t>tax rates, thresholds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offsets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same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6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were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2017-18</w:t>
            </w:r>
            <w:r>
              <w:rPr>
                <w:spacing w:val="-5"/>
              </w:rPr>
              <w:t xml:space="preserve"> </w:t>
            </w:r>
            <w:r>
              <w:t>over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period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2030-31.</w:t>
            </w:r>
          </w:p>
          <w:p w:rsidR="00000DEE" w:rsidRDefault="00197DC0">
            <w:pPr>
              <w:pStyle w:val="TableParagraph"/>
              <w:spacing w:before="118"/>
              <w:ind w:left="107"/>
              <w:jc w:val="left"/>
            </w:pPr>
            <w:r>
              <w:t xml:space="preserve">The tax plan was announced in the 2018-19 Budget measure </w:t>
            </w:r>
            <w:r>
              <w:rPr>
                <w:i/>
              </w:rPr>
              <w:t>Personal Income Tax Plan</w:t>
            </w:r>
            <w:r>
              <w:t>, the</w:t>
            </w:r>
          </w:p>
          <w:p w:rsidR="00000DEE" w:rsidRDefault="00197DC0">
            <w:pPr>
              <w:pStyle w:val="TableParagraph"/>
              <w:spacing w:before="0"/>
              <w:ind w:left="106" w:right="58"/>
              <w:jc w:val="left"/>
            </w:pPr>
            <w:r>
              <w:t xml:space="preserve">2019-20 Budget measure </w:t>
            </w:r>
            <w:r>
              <w:rPr>
                <w:i/>
              </w:rPr>
              <w:t xml:space="preserve">Lower taxes for hard-working Australians: Building on the Personal Income Tax Plan </w:t>
            </w:r>
            <w:r>
              <w:t xml:space="preserve">and the 2020-21 Budget measure </w:t>
            </w:r>
            <w:r>
              <w:rPr>
                <w:i/>
                <w:spacing w:val="-3"/>
              </w:rPr>
              <w:t xml:space="preserve">JobMaker </w:t>
            </w:r>
            <w:r>
              <w:rPr>
                <w:i/>
              </w:rPr>
              <w:t xml:space="preserve">Plan – bringing forward the Personal Income </w:t>
            </w:r>
            <w:r>
              <w:rPr>
                <w:i/>
                <w:spacing w:val="-3"/>
              </w:rPr>
              <w:t xml:space="preserve">Tax </w:t>
            </w:r>
            <w:r>
              <w:rPr>
                <w:i/>
              </w:rPr>
              <w:t>Plan and retaining the low and middle income tax offset</w:t>
            </w:r>
            <w:r>
              <w:t>.</w:t>
            </w:r>
          </w:p>
          <w:p w:rsidR="00000DEE" w:rsidRDefault="00197DC0">
            <w:pPr>
              <w:pStyle w:val="TableParagraph"/>
              <w:spacing w:before="121"/>
              <w:ind w:left="106" w:right="58"/>
              <w:jc w:val="left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request</w:t>
            </w:r>
            <w:r>
              <w:rPr>
                <w:spacing w:val="-9"/>
              </w:rPr>
              <w:t xml:space="preserve"> </w:t>
            </w:r>
            <w:r>
              <w:t>also</w:t>
            </w:r>
            <w:r>
              <w:rPr>
                <w:spacing w:val="-9"/>
              </w:rPr>
              <w:t xml:space="preserve"> </w:t>
            </w:r>
            <w:r>
              <w:t>sought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estimated</w:t>
            </w:r>
            <w:r>
              <w:rPr>
                <w:spacing w:val="-11"/>
              </w:rPr>
              <w:t xml:space="preserve"> </w:t>
            </w:r>
            <w:r>
              <w:t>total</w:t>
            </w:r>
            <w:r>
              <w:rPr>
                <w:spacing w:val="-10"/>
              </w:rPr>
              <w:t xml:space="preserve"> </w:t>
            </w:r>
            <w:r>
              <w:t>cost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percentage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9"/>
              </w:rPr>
              <w:t xml:space="preserve"> </w:t>
            </w:r>
            <w:r>
              <w:t>attributed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each quintile by taxable </w:t>
            </w:r>
            <w:r>
              <w:rPr>
                <w:spacing w:val="-2"/>
              </w:rPr>
              <w:t xml:space="preserve">income </w:t>
            </w:r>
            <w:r>
              <w:t>for individuals lodging a tax</w:t>
            </w:r>
            <w:r>
              <w:rPr>
                <w:spacing w:val="-31"/>
              </w:rPr>
              <w:t xml:space="preserve"> </w:t>
            </w:r>
            <w:r>
              <w:t>return.</w:t>
            </w:r>
          </w:p>
        </w:tc>
      </w:tr>
    </w:tbl>
    <w:p w:rsidR="00000DEE" w:rsidRDefault="00000DEE">
      <w:pPr>
        <w:pStyle w:val="BodyText"/>
        <w:spacing w:before="3"/>
        <w:rPr>
          <w:sz w:val="29"/>
        </w:rPr>
      </w:pPr>
    </w:p>
    <w:p w:rsidR="00000DEE" w:rsidRDefault="00197DC0">
      <w:pPr>
        <w:pStyle w:val="Heading1"/>
      </w:pPr>
      <w:r>
        <w:rPr>
          <w:color w:val="3C4D7C"/>
        </w:rPr>
        <w:t>Overview</w:t>
      </w:r>
    </w:p>
    <w:p w:rsidR="00000DEE" w:rsidRDefault="00197DC0">
      <w:pPr>
        <w:pStyle w:val="BodyText"/>
        <w:spacing w:before="214" w:line="268" w:lineRule="auto"/>
        <w:ind w:left="657" w:right="635"/>
      </w:pPr>
      <w:r>
        <w:t xml:space="preserve">Results of the analyses requested are provided at </w:t>
      </w:r>
      <w:r>
        <w:rPr>
          <w:u w:val="single"/>
        </w:rPr>
        <w:t>Attachment A</w:t>
      </w:r>
      <w:r>
        <w:t xml:space="preserve">. For the distributional analyses, the quintiles are based on the taxable </w:t>
      </w:r>
      <w:r>
        <w:rPr>
          <w:spacing w:val="-2"/>
        </w:rPr>
        <w:t xml:space="preserve">income </w:t>
      </w:r>
      <w:r>
        <w:t xml:space="preserve">of all individuals </w:t>
      </w:r>
      <w:r>
        <w:rPr>
          <w:spacing w:val="-2"/>
        </w:rPr>
        <w:t xml:space="preserve">who </w:t>
      </w:r>
      <w:r>
        <w:t xml:space="preserve">have lodged a tax return, irrespective of their net tax amounts. The taxable </w:t>
      </w:r>
      <w:r>
        <w:rPr>
          <w:spacing w:val="-2"/>
        </w:rPr>
        <w:t xml:space="preserve">income </w:t>
      </w:r>
      <w:r>
        <w:t xml:space="preserve">range for each quintile is provided at </w:t>
      </w:r>
      <w:r>
        <w:rPr>
          <w:u w:val="single"/>
        </w:rPr>
        <w:t>Attachment B</w:t>
      </w:r>
      <w:r>
        <w:t>.</w:t>
      </w:r>
    </w:p>
    <w:p w:rsidR="00000DEE" w:rsidRDefault="00197DC0">
      <w:pPr>
        <w:pStyle w:val="BodyText"/>
        <w:spacing w:before="118" w:line="268" w:lineRule="auto"/>
        <w:ind w:left="658"/>
      </w:pPr>
      <w:r>
        <w:t>The estimates are subject to significant uncertainties around income and growth in the workforce, particularly</w:t>
      </w:r>
      <w:r>
        <w:rPr>
          <w:spacing w:val="-9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ongoing</w:t>
      </w:r>
      <w:r>
        <w:rPr>
          <w:spacing w:val="-10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COVID-19</w:t>
      </w:r>
      <w:r>
        <w:rPr>
          <w:spacing w:val="-8"/>
        </w:rPr>
        <w:t xml:space="preserve"> </w:t>
      </w:r>
      <w:r>
        <w:t>pandemic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taxable</w:t>
      </w:r>
      <w:r>
        <w:rPr>
          <w:spacing w:val="-9"/>
        </w:rPr>
        <w:t xml:space="preserve"> </w:t>
      </w:r>
      <w:r>
        <w:t>incomes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workforce participation.</w:t>
      </w:r>
    </w:p>
    <w:p w:rsidR="00000DEE" w:rsidRDefault="00197DC0">
      <w:pPr>
        <w:pStyle w:val="BodyText"/>
        <w:spacing w:before="118" w:line="268" w:lineRule="auto"/>
        <w:ind w:left="658" w:right="635"/>
      </w:pPr>
      <w:r>
        <w:t>Uncertainty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implications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COVID-19</w:t>
      </w:r>
      <w:r>
        <w:rPr>
          <w:spacing w:val="-7"/>
        </w:rPr>
        <w:t xml:space="preserve"> </w:t>
      </w:r>
      <w:r>
        <w:t>pandemic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position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likely</w:t>
      </w:r>
      <w:r>
        <w:rPr>
          <w:spacing w:val="-9"/>
        </w:rPr>
        <w:t xml:space="preserve"> </w:t>
      </w:r>
      <w:r>
        <w:t>to persist for some time. The analysis is in line with the parameters released as part of</w:t>
      </w:r>
      <w:r>
        <w:rPr>
          <w:spacing w:val="-28"/>
        </w:rPr>
        <w:t xml:space="preserve"> </w:t>
      </w:r>
      <w:r>
        <w:t>the</w:t>
      </w:r>
    </w:p>
    <w:p w:rsidR="00000DEE" w:rsidRDefault="00197DC0">
      <w:pPr>
        <w:pStyle w:val="BodyText"/>
        <w:spacing w:line="267" w:lineRule="exact"/>
        <w:ind w:left="657"/>
      </w:pPr>
      <w:r>
        <w:t>2020-21 Budget.</w:t>
      </w:r>
    </w:p>
    <w:p w:rsidR="00000DEE" w:rsidRDefault="00000DEE">
      <w:pPr>
        <w:pStyle w:val="BodyText"/>
        <w:spacing w:before="4"/>
        <w:rPr>
          <w:sz w:val="29"/>
        </w:rPr>
      </w:pPr>
    </w:p>
    <w:p w:rsidR="00000DEE" w:rsidRDefault="00197DC0">
      <w:pPr>
        <w:pStyle w:val="Heading1"/>
      </w:pPr>
      <w:r>
        <w:rPr>
          <w:color w:val="3C4D7C"/>
        </w:rPr>
        <w:t>Key assumptions</w:t>
      </w:r>
    </w:p>
    <w:p w:rsidR="00000DEE" w:rsidRDefault="00197DC0">
      <w:pPr>
        <w:pStyle w:val="BodyText"/>
        <w:spacing w:before="211"/>
        <w:ind w:left="658"/>
      </w:pPr>
      <w:r>
        <w:t>The Parliamentary Budget Office has made the following assumptions in preparing the analyses.</w:t>
      </w:r>
    </w:p>
    <w:p w:rsidR="00000DEE" w:rsidRDefault="00197DC0">
      <w:pPr>
        <w:pStyle w:val="ListParagraph"/>
        <w:numPr>
          <w:ilvl w:val="0"/>
          <w:numId w:val="4"/>
        </w:numPr>
        <w:tabs>
          <w:tab w:val="left" w:pos="942"/>
        </w:tabs>
        <w:spacing w:before="152" w:line="268" w:lineRule="auto"/>
        <w:ind w:right="852"/>
      </w:pPr>
      <w:r>
        <w:t>There</w:t>
      </w:r>
      <w:r>
        <w:rPr>
          <w:spacing w:val="-11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behavioural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tax rates and thresholds, including to the supply of</w:t>
      </w:r>
      <w:r>
        <w:rPr>
          <w:spacing w:val="-26"/>
        </w:rPr>
        <w:t xml:space="preserve"> </w:t>
      </w:r>
      <w:r>
        <w:t>labour.</w:t>
      </w:r>
    </w:p>
    <w:p w:rsidR="00000DEE" w:rsidRDefault="00000DEE">
      <w:pPr>
        <w:spacing w:line="268" w:lineRule="auto"/>
        <w:sectPr w:rsidR="00000DEE">
          <w:headerReference w:type="default" r:id="rId9"/>
          <w:footerReference w:type="default" r:id="rId10"/>
          <w:pgSz w:w="11910" w:h="16840"/>
          <w:pgMar w:top="1100" w:right="800" w:bottom="800" w:left="760" w:header="596" w:footer="620" w:gutter="0"/>
          <w:cols w:space="720"/>
        </w:sectPr>
      </w:pPr>
    </w:p>
    <w:p w:rsidR="00000DEE" w:rsidRDefault="00197DC0">
      <w:pPr>
        <w:pStyle w:val="ListParagraph"/>
        <w:numPr>
          <w:ilvl w:val="1"/>
          <w:numId w:val="4"/>
        </w:numPr>
        <w:tabs>
          <w:tab w:val="left" w:pos="1228"/>
        </w:tabs>
        <w:spacing w:before="62" w:line="268" w:lineRule="auto"/>
        <w:ind w:right="853"/>
      </w:pPr>
      <w:r>
        <w:lastRenderedPageBreak/>
        <w:t>High income earners can often adjust their taxable income in response to changes in the marginal</w:t>
      </w:r>
      <w:r>
        <w:rPr>
          <w:spacing w:val="-7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rates.</w:t>
      </w:r>
      <w:hyperlink w:anchor="_bookmark0" w:history="1">
        <w:r>
          <w:rPr>
            <w:vertAlign w:val="superscript"/>
          </w:rPr>
          <w:t>1</w:t>
        </w:r>
      </w:hyperlink>
      <w:r>
        <w:rPr>
          <w:spacing w:val="3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rPr>
          <w:spacing w:val="-2"/>
        </w:rPr>
        <w:t>not</w:t>
      </w:r>
      <w:r>
        <w:rPr>
          <w:spacing w:val="-6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marginal</w:t>
      </w:r>
      <w:r>
        <w:rPr>
          <w:spacing w:val="-9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for those with a taxable income greater than $200,000, therefore suggesting any adjustment to taxable income is likely to be</w:t>
      </w:r>
      <w:r>
        <w:rPr>
          <w:spacing w:val="-14"/>
        </w:rPr>
        <w:t xml:space="preserve"> </w:t>
      </w:r>
      <w:r>
        <w:t>small.</w:t>
      </w:r>
    </w:p>
    <w:p w:rsidR="00000DEE" w:rsidRDefault="00197DC0">
      <w:pPr>
        <w:pStyle w:val="ListParagraph"/>
        <w:numPr>
          <w:ilvl w:val="1"/>
          <w:numId w:val="4"/>
        </w:numPr>
        <w:tabs>
          <w:tab w:val="left" w:pos="1228"/>
        </w:tabs>
        <w:spacing w:before="117" w:line="268" w:lineRule="auto"/>
        <w:ind w:right="672"/>
      </w:pPr>
      <w:r>
        <w:t>Studies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choose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lower</w:t>
      </w:r>
      <w:r>
        <w:rPr>
          <w:spacing w:val="-7"/>
        </w:rPr>
        <w:t xml:space="preserve"> </w:t>
      </w:r>
      <w:r>
        <w:t>marginal</w:t>
      </w:r>
      <w:r>
        <w:rPr>
          <w:spacing w:val="-7"/>
        </w:rPr>
        <w:t xml:space="preserve"> </w:t>
      </w:r>
      <w:r>
        <w:rPr>
          <w:spacing w:val="-3"/>
        </w:rPr>
        <w:t xml:space="preserve">tax </w:t>
      </w:r>
      <w:r>
        <w:t>rate, while others will work less.</w:t>
      </w:r>
      <w:hyperlink w:anchor="_bookmark1" w:history="1">
        <w:r>
          <w:rPr>
            <w:vertAlign w:val="superscript"/>
          </w:rPr>
          <w:t>2</w:t>
        </w:r>
      </w:hyperlink>
      <w:r>
        <w:t xml:space="preserve"> There is considerable uncertainty regarding the direction, magnitude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labour</w:t>
      </w:r>
      <w:r>
        <w:rPr>
          <w:spacing w:val="-3"/>
        </w:rPr>
        <w:t xml:space="preserve"> </w:t>
      </w:r>
      <w:r>
        <w:t>supply.</w:t>
      </w:r>
    </w:p>
    <w:p w:rsidR="00000DEE" w:rsidRDefault="00197DC0">
      <w:pPr>
        <w:pStyle w:val="ListParagraph"/>
        <w:numPr>
          <w:ilvl w:val="0"/>
          <w:numId w:val="4"/>
        </w:numPr>
        <w:tabs>
          <w:tab w:val="left" w:pos="942"/>
        </w:tabs>
        <w:spacing w:before="118" w:line="268" w:lineRule="auto"/>
        <w:ind w:right="801" w:hanging="283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2020-21</w:t>
      </w:r>
      <w:r>
        <w:rPr>
          <w:spacing w:val="-5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measure</w:t>
      </w:r>
      <w:r>
        <w:rPr>
          <w:spacing w:val="-4"/>
        </w:rPr>
        <w:t xml:space="preserve"> </w:t>
      </w:r>
      <w:r>
        <w:rPr>
          <w:i/>
          <w:spacing w:val="-3"/>
        </w:rPr>
        <w:t>JobMaker</w:t>
      </w:r>
      <w:r>
        <w:rPr>
          <w:i/>
          <w:spacing w:val="-8"/>
        </w:rPr>
        <w:t xml:space="preserve"> </w:t>
      </w:r>
      <w:r>
        <w:rPr>
          <w:i/>
        </w:rPr>
        <w:t>Plan</w:t>
      </w:r>
      <w:r>
        <w:rPr>
          <w:i/>
          <w:spacing w:val="-8"/>
        </w:rPr>
        <w:t xml:space="preserve"> </w:t>
      </w:r>
      <w:r>
        <w:rPr>
          <w:i/>
        </w:rPr>
        <w:t>–</w:t>
      </w:r>
      <w:r>
        <w:rPr>
          <w:i/>
          <w:spacing w:val="-5"/>
        </w:rPr>
        <w:t xml:space="preserve"> </w:t>
      </w:r>
      <w:r>
        <w:rPr>
          <w:i/>
        </w:rPr>
        <w:t>bringing</w:t>
      </w:r>
      <w:r>
        <w:rPr>
          <w:i/>
          <w:spacing w:val="-8"/>
        </w:rPr>
        <w:t xml:space="preserve"> </w:t>
      </w:r>
      <w:r>
        <w:rPr>
          <w:i/>
        </w:rPr>
        <w:t>forward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Personal</w:t>
      </w:r>
      <w:r>
        <w:rPr>
          <w:i/>
          <w:spacing w:val="-6"/>
        </w:rPr>
        <w:t xml:space="preserve"> </w:t>
      </w:r>
      <w:r>
        <w:rPr>
          <w:i/>
        </w:rPr>
        <w:t>Income</w:t>
      </w:r>
      <w:r>
        <w:rPr>
          <w:i/>
          <w:spacing w:val="-10"/>
        </w:rPr>
        <w:t xml:space="preserve"> </w:t>
      </w:r>
      <w:r>
        <w:rPr>
          <w:i/>
        </w:rPr>
        <w:t>Tax</w:t>
      </w:r>
      <w:r>
        <w:rPr>
          <w:i/>
          <w:spacing w:val="-8"/>
        </w:rPr>
        <w:t xml:space="preserve"> </w:t>
      </w:r>
      <w:r>
        <w:rPr>
          <w:i/>
        </w:rPr>
        <w:t>Plan and retaining the low and middle income tax offset</w:t>
      </w:r>
      <w:r>
        <w:t>, the income tax withholding schedules were implemented by the Australian Taxation Office (ATO) in October 2020 and would be operationalised by businesses in November</w:t>
      </w:r>
      <w:r>
        <w:rPr>
          <w:spacing w:val="-17"/>
        </w:rPr>
        <w:t xml:space="preserve"> </w:t>
      </w:r>
      <w:r>
        <w:t>2020.</w:t>
      </w:r>
      <w:hyperlink w:anchor="_bookmark2" w:history="1">
        <w:r>
          <w:rPr>
            <w:vertAlign w:val="superscript"/>
          </w:rPr>
          <w:t>3</w:t>
        </w:r>
      </w:hyperlink>
    </w:p>
    <w:p w:rsidR="00000DEE" w:rsidRDefault="00197DC0">
      <w:pPr>
        <w:pStyle w:val="ListParagraph"/>
        <w:numPr>
          <w:ilvl w:val="1"/>
          <w:numId w:val="4"/>
        </w:numPr>
        <w:tabs>
          <w:tab w:val="left" w:pos="1225"/>
        </w:tabs>
        <w:spacing w:before="116" w:line="268" w:lineRule="auto"/>
        <w:ind w:left="1224" w:right="972" w:hanging="284"/>
      </w:pPr>
      <w:r>
        <w:t>This</w:t>
      </w:r>
      <w:r>
        <w:rPr>
          <w:spacing w:val="-9"/>
        </w:rPr>
        <w:t xml:space="preserve"> </w:t>
      </w:r>
      <w:r>
        <w:t>means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considerable</w:t>
      </w:r>
      <w:r>
        <w:rPr>
          <w:spacing w:val="-6"/>
        </w:rPr>
        <w:t xml:space="preserve"> </w:t>
      </w:r>
      <w:r>
        <w:t>proportion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tax</w:t>
      </w:r>
      <w:r>
        <w:rPr>
          <w:spacing w:val="-6"/>
        </w:rPr>
        <w:t xml:space="preserve"> </w:t>
      </w:r>
      <w:r>
        <w:t>cuts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2020-21</w:t>
      </w:r>
      <w:r>
        <w:rPr>
          <w:spacing w:val="-8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-2"/>
        </w:rPr>
        <w:t>not</w:t>
      </w:r>
      <w:r>
        <w:rPr>
          <w:spacing w:val="-7"/>
        </w:rPr>
        <w:t xml:space="preserve"> </w:t>
      </w:r>
      <w:r>
        <w:t>be realised until assessment of individuals’ tax returns in</w:t>
      </w:r>
      <w:r>
        <w:rPr>
          <w:spacing w:val="-34"/>
        </w:rPr>
        <w:t xml:space="preserve"> </w:t>
      </w:r>
      <w:r>
        <w:t>2021-22.</w:t>
      </w:r>
    </w:p>
    <w:p w:rsidR="00000DEE" w:rsidRDefault="00000DEE">
      <w:pPr>
        <w:pStyle w:val="BodyText"/>
        <w:spacing w:before="8"/>
        <w:rPr>
          <w:sz w:val="26"/>
        </w:rPr>
      </w:pPr>
    </w:p>
    <w:p w:rsidR="00000DEE" w:rsidRDefault="00197DC0">
      <w:pPr>
        <w:pStyle w:val="Heading1"/>
        <w:spacing w:before="1"/>
      </w:pPr>
      <w:r>
        <w:rPr>
          <w:color w:val="3C4D7C"/>
        </w:rPr>
        <w:t>Methodology</w:t>
      </w:r>
    </w:p>
    <w:p w:rsidR="00000DEE" w:rsidRDefault="00197DC0">
      <w:pPr>
        <w:pStyle w:val="BodyText"/>
        <w:spacing w:before="213" w:line="268" w:lineRule="auto"/>
        <w:ind w:left="657" w:right="1106"/>
      </w:pP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implications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piece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t>cent</w:t>
      </w:r>
      <w:r>
        <w:rPr>
          <w:spacing w:val="-6"/>
        </w:rPr>
        <w:t xml:space="preserve"> </w:t>
      </w:r>
      <w:r>
        <w:t>sample</w:t>
      </w:r>
      <w:r>
        <w:rPr>
          <w:spacing w:val="-9"/>
        </w:rPr>
        <w:t xml:space="preserve"> </w:t>
      </w:r>
      <w:r>
        <w:t xml:space="preserve">of de-identified personal </w:t>
      </w:r>
      <w:r>
        <w:rPr>
          <w:spacing w:val="-2"/>
        </w:rPr>
        <w:t xml:space="preserve">income </w:t>
      </w:r>
      <w:r>
        <w:t xml:space="preserve">tax and superannuation data for 2017-18 provided by the ATO. The data were used to estimate the difference in tax payable under current </w:t>
      </w:r>
      <w:r>
        <w:rPr>
          <w:spacing w:val="-3"/>
        </w:rPr>
        <w:t xml:space="preserve">policy </w:t>
      </w:r>
      <w:r>
        <w:t xml:space="preserve">(as at </w:t>
      </w:r>
      <w:r>
        <w:rPr>
          <w:spacing w:val="-3"/>
        </w:rPr>
        <w:t xml:space="preserve">the </w:t>
      </w:r>
      <w:r>
        <w:t xml:space="preserve">2020-21 Budget) and a </w:t>
      </w:r>
      <w:r>
        <w:rPr>
          <w:spacing w:val="-3"/>
        </w:rPr>
        <w:t xml:space="preserve">policy </w:t>
      </w:r>
      <w:r>
        <w:t>to keep tax rates, thresholds and offsets the same as they were in 2017-18 over the period to</w:t>
      </w:r>
      <w:r>
        <w:rPr>
          <w:spacing w:val="-23"/>
        </w:rPr>
        <w:t xml:space="preserve"> </w:t>
      </w:r>
      <w:r>
        <w:t>2030-31.</w:t>
      </w:r>
    </w:p>
    <w:p w:rsidR="00000DEE" w:rsidRDefault="00197DC0">
      <w:pPr>
        <w:pStyle w:val="BodyText"/>
        <w:spacing w:before="117" w:line="268" w:lineRule="auto"/>
        <w:ind w:left="657" w:right="635"/>
      </w:pPr>
      <w:r>
        <w:t>The</w:t>
      </w:r>
      <w:r>
        <w:rPr>
          <w:spacing w:val="-9"/>
        </w:rPr>
        <w:t xml:space="preserve"> </w:t>
      </w:r>
      <w:r>
        <w:t>modelling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impact,</w:t>
      </w:r>
      <w:r>
        <w:rPr>
          <w:spacing w:val="-8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distribution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taxable</w:t>
      </w:r>
      <w:r>
        <w:rPr>
          <w:spacing w:val="-8"/>
        </w:rPr>
        <w:t xml:space="preserve"> </w:t>
      </w:r>
      <w:r>
        <w:rPr>
          <w:spacing w:val="-2"/>
        </w:rPr>
        <w:t>income</w:t>
      </w:r>
      <w:r>
        <w:rPr>
          <w:spacing w:val="-9"/>
        </w:rPr>
        <w:t xml:space="preserve"> </w:t>
      </w:r>
      <w:r>
        <w:t>quintiles,</w:t>
      </w:r>
      <w:r>
        <w:rPr>
          <w:spacing w:val="-7"/>
        </w:rPr>
        <w:t xml:space="preserve"> </w:t>
      </w:r>
      <w:r>
        <w:t>takes</w:t>
      </w:r>
      <w:r>
        <w:rPr>
          <w:spacing w:val="-8"/>
        </w:rPr>
        <w:t xml:space="preserve"> </w:t>
      </w:r>
      <w:r>
        <w:rPr>
          <w:spacing w:val="-3"/>
        </w:rPr>
        <w:t xml:space="preserve">into </w:t>
      </w:r>
      <w:r>
        <w:t>account the timing of tax</w:t>
      </w:r>
      <w:r>
        <w:rPr>
          <w:spacing w:val="-20"/>
        </w:rPr>
        <w:t xml:space="preserve"> </w:t>
      </w:r>
      <w:r>
        <w:t>collections.</w:t>
      </w:r>
    </w:p>
    <w:p w:rsidR="00000DEE" w:rsidRDefault="00197DC0">
      <w:pPr>
        <w:pStyle w:val="BodyText"/>
        <w:spacing w:before="118"/>
        <w:ind w:left="657"/>
      </w:pPr>
      <w:r>
        <w:t>All estimates have been rounded to the nearest $10 million.</w:t>
      </w:r>
    </w:p>
    <w:p w:rsidR="00000DEE" w:rsidRDefault="00000DEE">
      <w:pPr>
        <w:pStyle w:val="BodyText"/>
        <w:spacing w:before="4"/>
        <w:rPr>
          <w:sz w:val="29"/>
        </w:rPr>
      </w:pPr>
    </w:p>
    <w:p w:rsidR="00000DEE" w:rsidRDefault="00197DC0">
      <w:pPr>
        <w:pStyle w:val="Heading1"/>
      </w:pPr>
      <w:r>
        <w:rPr>
          <w:color w:val="3C4D7C"/>
        </w:rPr>
        <w:t>Data sources</w:t>
      </w:r>
    </w:p>
    <w:p w:rsidR="00000DEE" w:rsidRDefault="00197DC0">
      <w:pPr>
        <w:pStyle w:val="BodyText"/>
        <w:spacing w:before="214" w:line="268" w:lineRule="auto"/>
        <w:ind w:left="658" w:right="1015"/>
      </w:pPr>
      <w:r>
        <w:t xml:space="preserve">The ATO provided a 16 </w:t>
      </w:r>
      <w:r>
        <w:rPr>
          <w:spacing w:val="-3"/>
        </w:rPr>
        <w:t xml:space="preserve">per </w:t>
      </w:r>
      <w:r>
        <w:t>cent sample of de-identified personal income tax and superannuation returns for the 2017-18 financial year.</w:t>
      </w:r>
    </w:p>
    <w:p w:rsidR="00000DEE" w:rsidRDefault="00197DC0">
      <w:pPr>
        <w:pStyle w:val="BodyText"/>
        <w:spacing w:before="119"/>
        <w:ind w:left="658"/>
      </w:pPr>
      <w:r>
        <w:t>The Treasury provided:</w:t>
      </w:r>
    </w:p>
    <w:p w:rsidR="00000DEE" w:rsidRDefault="00197DC0">
      <w:pPr>
        <w:pStyle w:val="ListParagraph"/>
        <w:numPr>
          <w:ilvl w:val="0"/>
          <w:numId w:val="4"/>
        </w:numPr>
        <w:tabs>
          <w:tab w:val="left" w:pos="942"/>
        </w:tabs>
        <w:spacing w:before="151"/>
      </w:pPr>
      <w:r>
        <w:t>economic forecasts as at the 2020-21</w:t>
      </w:r>
      <w:r>
        <w:rPr>
          <w:spacing w:val="-16"/>
        </w:rPr>
        <w:t xml:space="preserve"> </w:t>
      </w:r>
      <w:r>
        <w:t>Budget</w:t>
      </w:r>
    </w:p>
    <w:p w:rsidR="00000DEE" w:rsidRDefault="00197DC0">
      <w:pPr>
        <w:pStyle w:val="ListParagraph"/>
        <w:numPr>
          <w:ilvl w:val="0"/>
          <w:numId w:val="4"/>
        </w:numPr>
        <w:tabs>
          <w:tab w:val="left" w:pos="942"/>
        </w:tabs>
        <w:spacing w:before="152" w:line="268" w:lineRule="auto"/>
        <w:ind w:left="940" w:right="1863" w:hanging="283"/>
        <w:rPr>
          <w:i/>
        </w:rPr>
      </w:pPr>
      <w:r>
        <w:t>models</w:t>
      </w:r>
      <w:r>
        <w:rPr>
          <w:spacing w:val="-9"/>
        </w:rPr>
        <w:t xml:space="preserve"> </w:t>
      </w:r>
      <w:r>
        <w:t>underpinning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2018-19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measure</w:t>
      </w:r>
      <w:r>
        <w:rPr>
          <w:spacing w:val="-10"/>
        </w:rPr>
        <w:t xml:space="preserve"> </w:t>
      </w:r>
      <w:r>
        <w:rPr>
          <w:i/>
        </w:rPr>
        <w:t>Personal</w:t>
      </w:r>
      <w:r>
        <w:rPr>
          <w:i/>
          <w:spacing w:val="-9"/>
        </w:rPr>
        <w:t xml:space="preserve"> </w:t>
      </w:r>
      <w:r>
        <w:rPr>
          <w:i/>
        </w:rPr>
        <w:t>Income</w:t>
      </w:r>
      <w:r>
        <w:rPr>
          <w:i/>
          <w:spacing w:val="-8"/>
        </w:rPr>
        <w:t xml:space="preserve"> </w:t>
      </w:r>
      <w:r>
        <w:rPr>
          <w:i/>
        </w:rPr>
        <w:t>Tax</w:t>
      </w:r>
      <w:r>
        <w:rPr>
          <w:i/>
          <w:spacing w:val="-10"/>
        </w:rPr>
        <w:t xml:space="preserve"> </w:t>
      </w:r>
      <w:r>
        <w:rPr>
          <w:i/>
        </w:rPr>
        <w:t>Plan</w:t>
      </w:r>
      <w:r>
        <w:rPr>
          <w:i/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the 2019-20 Budget measure </w:t>
      </w:r>
      <w:r>
        <w:rPr>
          <w:i/>
        </w:rPr>
        <w:t>Lower taxes for hard-working Australians: Building on the Personal Income Tax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Plan.</w:t>
      </w:r>
    </w:p>
    <w:p w:rsidR="00000DEE" w:rsidRDefault="00197DC0">
      <w:pPr>
        <w:spacing w:before="117" w:line="268" w:lineRule="auto"/>
        <w:ind w:left="657" w:right="715"/>
      </w:pPr>
      <w:r>
        <w:t>HM</w:t>
      </w:r>
      <w:r>
        <w:rPr>
          <w:spacing w:val="-9"/>
        </w:rPr>
        <w:t xml:space="preserve"> </w:t>
      </w:r>
      <w:r>
        <w:t>Revenue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Customs,</w:t>
      </w:r>
      <w:r>
        <w:rPr>
          <w:spacing w:val="-9"/>
        </w:rPr>
        <w:t xml:space="preserve"> </w:t>
      </w:r>
      <w:r>
        <w:t>2012.</w:t>
      </w:r>
      <w:r>
        <w:rPr>
          <w:spacing w:val="-10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Exchequer</w:t>
      </w:r>
      <w:r>
        <w:rPr>
          <w:i/>
          <w:spacing w:val="-6"/>
        </w:rPr>
        <w:t xml:space="preserve"> </w:t>
      </w:r>
      <w:r>
        <w:rPr>
          <w:i/>
        </w:rPr>
        <w:t>effect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the</w:t>
      </w:r>
      <w:r>
        <w:rPr>
          <w:i/>
          <w:spacing w:val="-10"/>
        </w:rPr>
        <w:t xml:space="preserve"> </w:t>
      </w:r>
      <w:r>
        <w:rPr>
          <w:i/>
        </w:rPr>
        <w:t>50</w:t>
      </w:r>
      <w:r>
        <w:rPr>
          <w:i/>
          <w:spacing w:val="-6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cent</w:t>
      </w:r>
      <w:r>
        <w:rPr>
          <w:i/>
          <w:spacing w:val="-7"/>
        </w:rPr>
        <w:t xml:space="preserve"> </w:t>
      </w:r>
      <w:r>
        <w:rPr>
          <w:i/>
        </w:rPr>
        <w:t>additional</w:t>
      </w:r>
      <w:r>
        <w:rPr>
          <w:i/>
          <w:spacing w:val="-8"/>
        </w:rPr>
        <w:t xml:space="preserve"> </w:t>
      </w:r>
      <w:r>
        <w:rPr>
          <w:i/>
        </w:rPr>
        <w:t>rate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income tax</w:t>
      </w:r>
      <w:r>
        <w:t>, London: HM Revenue and</w:t>
      </w:r>
      <w:r>
        <w:rPr>
          <w:spacing w:val="-16"/>
        </w:rPr>
        <w:t xml:space="preserve"> </w:t>
      </w:r>
      <w:r>
        <w:t>Customs.</w:t>
      </w:r>
    </w:p>
    <w:p w:rsidR="00000DEE" w:rsidRDefault="00000DEE">
      <w:pPr>
        <w:pStyle w:val="BodyText"/>
        <w:rPr>
          <w:sz w:val="20"/>
        </w:rPr>
      </w:pPr>
    </w:p>
    <w:p w:rsidR="00000DEE" w:rsidRDefault="00000DEE">
      <w:pPr>
        <w:pStyle w:val="BodyText"/>
        <w:rPr>
          <w:sz w:val="20"/>
        </w:rPr>
      </w:pPr>
    </w:p>
    <w:p w:rsidR="00000DEE" w:rsidRDefault="00000DEE">
      <w:pPr>
        <w:pStyle w:val="BodyText"/>
        <w:rPr>
          <w:sz w:val="20"/>
        </w:rPr>
      </w:pPr>
    </w:p>
    <w:p w:rsidR="00000DEE" w:rsidRDefault="00000DEE">
      <w:pPr>
        <w:pStyle w:val="BodyText"/>
        <w:rPr>
          <w:sz w:val="20"/>
        </w:rPr>
      </w:pPr>
    </w:p>
    <w:p w:rsidR="00000DEE" w:rsidRDefault="00717E88">
      <w:pPr>
        <w:pStyle w:val="BodyText"/>
        <w:spacing w:before="7"/>
        <w:rPr>
          <w:sz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250190</wp:posOffset>
                </wp:positionV>
                <wp:extent cx="579628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28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8"/>
                            <a:gd name="T2" fmla="+- 0 10517 1390"/>
                            <a:gd name="T3" fmla="*/ T2 w 91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8">
                              <a:moveTo>
                                <a:pt x="0" y="0"/>
                              </a:moveTo>
                              <a:lnTo>
                                <a:pt x="912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9.5pt;margin-top:19.7pt;width:456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" path="m,l9127,e" filled="f" strokeweight=".48pt">
                <v:path arrowok="t" o:connecttype="custom" o:connectlocs="0,0;5795645,0" o:connectangles="0,0"/>
                <w10:wrap type="topAndBottom" anchorx="page"/>
              </v:shape>
            </w:pict>
          </mc:Fallback>
        </mc:AlternateContent>
      </w:r>
    </w:p>
    <w:p w:rsidR="00000DEE" w:rsidRDefault="00197DC0">
      <w:pPr>
        <w:spacing w:before="105" w:line="285" w:lineRule="auto"/>
        <w:ind w:left="800" w:right="635" w:hanging="142"/>
        <w:rPr>
          <w:sz w:val="18"/>
        </w:rPr>
      </w:pPr>
      <w:bookmarkStart w:id="1" w:name="_bookmark0"/>
      <w:bookmarkEnd w:id="1"/>
      <w:r>
        <w:rPr>
          <w:position w:val="9"/>
          <w:sz w:val="12"/>
        </w:rPr>
        <w:t xml:space="preserve">1 </w:t>
      </w:r>
      <w:r w:rsidR="00D31487">
        <w:rPr>
          <w:position w:val="9"/>
          <w:sz w:val="12"/>
        </w:rPr>
        <w:tab/>
      </w:r>
      <w:r>
        <w:rPr>
          <w:sz w:val="18"/>
        </w:rPr>
        <w:t>See for instance, HM Revenue and Customs, 2012. The Exchequer effect of the 50 per cent additional rate of income tax, London: HM Revenue and Customs.</w:t>
      </w:r>
    </w:p>
    <w:p w:rsidR="00000DEE" w:rsidRDefault="00197DC0" w:rsidP="00D31487">
      <w:pPr>
        <w:tabs>
          <w:tab w:val="left" w:pos="851"/>
        </w:tabs>
        <w:spacing w:before="15"/>
        <w:ind w:left="800" w:hanging="142"/>
        <w:rPr>
          <w:sz w:val="18"/>
        </w:rPr>
      </w:pPr>
      <w:bookmarkStart w:id="2" w:name="_bookmark1"/>
      <w:bookmarkEnd w:id="2"/>
      <w:r>
        <w:rPr>
          <w:position w:val="9"/>
          <w:sz w:val="12"/>
        </w:rPr>
        <w:t xml:space="preserve">2 </w:t>
      </w:r>
      <w:r w:rsidR="00D31487">
        <w:rPr>
          <w:position w:val="9"/>
          <w:sz w:val="12"/>
        </w:rPr>
        <w:tab/>
      </w:r>
      <w:r>
        <w:rPr>
          <w:sz w:val="18"/>
        </w:rPr>
        <w:t>Ibid</w:t>
      </w:r>
    </w:p>
    <w:p w:rsidR="00000DEE" w:rsidRDefault="00197DC0" w:rsidP="00D31487">
      <w:pPr>
        <w:tabs>
          <w:tab w:val="left" w:pos="4820"/>
        </w:tabs>
        <w:spacing w:before="57"/>
        <w:ind w:left="800" w:hanging="142"/>
        <w:rPr>
          <w:sz w:val="18"/>
        </w:rPr>
      </w:pPr>
      <w:bookmarkStart w:id="3" w:name="_bookmark2"/>
      <w:bookmarkEnd w:id="3"/>
      <w:r>
        <w:rPr>
          <w:position w:val="9"/>
          <w:sz w:val="12"/>
        </w:rPr>
        <w:t xml:space="preserve">3 </w:t>
      </w:r>
      <w:r w:rsidR="00D31487">
        <w:rPr>
          <w:position w:val="9"/>
          <w:sz w:val="12"/>
        </w:rPr>
        <w:tab/>
      </w:r>
      <w:r>
        <w:rPr>
          <w:sz w:val="18"/>
        </w:rPr>
        <w:t>See https:</w:t>
      </w:r>
      <w:hyperlink r:id="rId11" w:anchor="Importantinformationforthisyear">
        <w:r>
          <w:rPr>
            <w:sz w:val="18"/>
          </w:rPr>
          <w:t>//www.ato.gov.au/Rates/Tax-tables/#Importantinformationforthisyear.</w:t>
        </w:r>
      </w:hyperlink>
    </w:p>
    <w:p w:rsidR="00000DEE" w:rsidRDefault="00000DEE">
      <w:pPr>
        <w:rPr>
          <w:sz w:val="18"/>
        </w:rPr>
        <w:sectPr w:rsidR="00000DEE">
          <w:headerReference w:type="default" r:id="rId12"/>
          <w:footerReference w:type="default" r:id="rId13"/>
          <w:pgSz w:w="11910" w:h="16840"/>
          <w:pgMar w:top="1100" w:right="800" w:bottom="800" w:left="760" w:header="596" w:footer="620" w:gutter="0"/>
          <w:cols w:space="720"/>
        </w:sectPr>
      </w:pPr>
    </w:p>
    <w:p w:rsidR="00000DEE" w:rsidRDefault="00000DEE">
      <w:pPr>
        <w:pStyle w:val="BodyText"/>
        <w:rPr>
          <w:sz w:val="9"/>
        </w:rPr>
      </w:pPr>
    </w:p>
    <w:p w:rsidR="00000DEE" w:rsidRDefault="00197DC0">
      <w:pPr>
        <w:pStyle w:val="Heading1"/>
        <w:spacing w:before="39"/>
        <w:ind w:left="231"/>
      </w:pPr>
      <w:r>
        <w:rPr>
          <w:color w:val="3C4D7C"/>
        </w:rPr>
        <w:t>Attachment A – Loss of public revenue and a distributional analysis of the tax cut packages – financial implications</w:t>
      </w:r>
    </w:p>
    <w:p w:rsidR="00000DEE" w:rsidRDefault="00000DEE">
      <w:pPr>
        <w:pStyle w:val="BodyText"/>
        <w:spacing w:before="4"/>
        <w:rPr>
          <w:sz w:val="32"/>
        </w:rPr>
      </w:pPr>
    </w:p>
    <w:p w:rsidR="00000DEE" w:rsidRDefault="00197DC0">
      <w:pPr>
        <w:pStyle w:val="Heading3"/>
        <w:spacing w:before="1" w:line="268" w:lineRule="auto"/>
        <w:ind w:left="231" w:right="626"/>
      </w:pPr>
      <w:r>
        <w:rPr>
          <w:color w:val="3C4D7C"/>
          <w:spacing w:val="-4"/>
        </w:rPr>
        <w:t xml:space="preserve">Table </w:t>
      </w:r>
      <w:r>
        <w:rPr>
          <w:color w:val="3C4D7C"/>
          <w:spacing w:val="-3"/>
        </w:rPr>
        <w:t xml:space="preserve">A1: </w:t>
      </w:r>
      <w:r>
        <w:rPr>
          <w:color w:val="3C4D7C"/>
          <w:spacing w:val="-4"/>
        </w:rPr>
        <w:t xml:space="preserve">Loss </w:t>
      </w:r>
      <w:r>
        <w:rPr>
          <w:color w:val="3C4D7C"/>
          <w:spacing w:val="-3"/>
        </w:rPr>
        <w:t xml:space="preserve">of </w:t>
      </w:r>
      <w:r>
        <w:rPr>
          <w:color w:val="3C4D7C"/>
          <w:spacing w:val="-4"/>
        </w:rPr>
        <w:t xml:space="preserve">public </w:t>
      </w:r>
      <w:r>
        <w:rPr>
          <w:color w:val="3C4D7C"/>
          <w:spacing w:val="-5"/>
        </w:rPr>
        <w:t xml:space="preserve">revenue </w:t>
      </w:r>
      <w:r>
        <w:rPr>
          <w:color w:val="3C4D7C"/>
          <w:spacing w:val="-4"/>
        </w:rPr>
        <w:t xml:space="preserve">and </w:t>
      </w:r>
      <w:r>
        <w:rPr>
          <w:color w:val="3C4D7C"/>
        </w:rPr>
        <w:t xml:space="preserve">a </w:t>
      </w:r>
      <w:r>
        <w:rPr>
          <w:color w:val="3C4D7C"/>
          <w:spacing w:val="-5"/>
        </w:rPr>
        <w:t xml:space="preserve">distributional analysis </w:t>
      </w:r>
      <w:r>
        <w:rPr>
          <w:color w:val="3C4D7C"/>
          <w:spacing w:val="-3"/>
        </w:rPr>
        <w:t xml:space="preserve">of the tax </w:t>
      </w:r>
      <w:r>
        <w:rPr>
          <w:color w:val="3C4D7C"/>
          <w:spacing w:val="-4"/>
        </w:rPr>
        <w:t xml:space="preserve">cuts </w:t>
      </w:r>
      <w:r>
        <w:rPr>
          <w:color w:val="3C4D7C"/>
          <w:spacing w:val="-5"/>
        </w:rPr>
        <w:t xml:space="preserve">packages </w:t>
      </w:r>
      <w:r>
        <w:rPr>
          <w:color w:val="3C4D7C"/>
        </w:rPr>
        <w:t xml:space="preserve">– </w:t>
      </w:r>
      <w:r>
        <w:rPr>
          <w:color w:val="3C4D7C"/>
          <w:spacing w:val="-4"/>
        </w:rPr>
        <w:t xml:space="preserve">Cost </w:t>
      </w:r>
      <w:r>
        <w:rPr>
          <w:color w:val="3C4D7C"/>
          <w:spacing w:val="-3"/>
        </w:rPr>
        <w:t xml:space="preserve">by </w:t>
      </w:r>
      <w:r>
        <w:rPr>
          <w:color w:val="3C4D7C"/>
          <w:spacing w:val="-5"/>
        </w:rPr>
        <w:t xml:space="preserve">component </w:t>
      </w:r>
      <w:r>
        <w:rPr>
          <w:color w:val="3C4D7C"/>
        </w:rPr>
        <w:t xml:space="preserve">– </w:t>
      </w:r>
      <w:r>
        <w:rPr>
          <w:color w:val="3C4D7C"/>
          <w:spacing w:val="-5"/>
        </w:rPr>
        <w:t xml:space="preserve">Fiscal </w:t>
      </w:r>
      <w:r>
        <w:rPr>
          <w:color w:val="3C4D7C"/>
          <w:spacing w:val="-4"/>
        </w:rPr>
        <w:t xml:space="preserve">and </w:t>
      </w:r>
      <w:r>
        <w:rPr>
          <w:color w:val="3C4D7C"/>
          <w:spacing w:val="-5"/>
        </w:rPr>
        <w:t xml:space="preserve">underlying </w:t>
      </w:r>
      <w:r>
        <w:rPr>
          <w:color w:val="3C4D7C"/>
          <w:spacing w:val="-3"/>
        </w:rPr>
        <w:t xml:space="preserve">cash </w:t>
      </w:r>
      <w:r>
        <w:rPr>
          <w:color w:val="3C4D7C"/>
          <w:spacing w:val="-5"/>
        </w:rPr>
        <w:t xml:space="preserve">balances </w:t>
      </w:r>
      <w:r>
        <w:rPr>
          <w:color w:val="3C4D7C"/>
          <w:spacing w:val="-4"/>
        </w:rPr>
        <w:t>($m)</w:t>
      </w:r>
      <w:r>
        <w:rPr>
          <w:color w:val="3C4D7C"/>
          <w:spacing w:val="-4"/>
          <w:vertAlign w:val="superscript"/>
        </w:rPr>
        <w:t>(a)(b)</w:t>
      </w:r>
    </w:p>
    <w:p w:rsidR="00000DEE" w:rsidRDefault="00000DEE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33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569"/>
        <w:gridCol w:w="569"/>
        <w:gridCol w:w="567"/>
        <w:gridCol w:w="569"/>
        <w:gridCol w:w="569"/>
        <w:gridCol w:w="567"/>
        <w:gridCol w:w="569"/>
        <w:gridCol w:w="569"/>
        <w:gridCol w:w="567"/>
        <w:gridCol w:w="569"/>
        <w:gridCol w:w="569"/>
        <w:gridCol w:w="567"/>
        <w:gridCol w:w="569"/>
        <w:gridCol w:w="595"/>
        <w:gridCol w:w="782"/>
      </w:tblGrid>
      <w:tr w:rsidR="00000DEE">
        <w:trPr>
          <w:trHeight w:val="505"/>
        </w:trPr>
        <w:tc>
          <w:tcPr>
            <w:tcW w:w="1308" w:type="dxa"/>
            <w:shd w:val="clear" w:color="auto" w:fill="A7B1D3"/>
          </w:tcPr>
          <w:p w:rsidR="00000DEE" w:rsidRDefault="00000DE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3"/>
              <w:jc w:val="center"/>
              <w:rPr>
                <w:sz w:val="15"/>
              </w:rPr>
            </w:pPr>
            <w:r>
              <w:rPr>
                <w:sz w:val="15"/>
              </w:rPr>
              <w:t>2017–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2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9"/>
              <w:jc w:val="center"/>
              <w:rPr>
                <w:sz w:val="15"/>
              </w:rPr>
            </w:pPr>
            <w:r>
              <w:rPr>
                <w:sz w:val="15"/>
              </w:rPr>
              <w:t>2018–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7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7"/>
              <w:jc w:val="center"/>
              <w:rPr>
                <w:sz w:val="15"/>
              </w:rPr>
            </w:pPr>
            <w:r>
              <w:rPr>
                <w:sz w:val="15"/>
              </w:rPr>
              <w:t>2019–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5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5"/>
              <w:jc w:val="center"/>
              <w:rPr>
                <w:sz w:val="15"/>
              </w:rPr>
            </w:pPr>
            <w:r>
              <w:rPr>
                <w:sz w:val="15"/>
              </w:rPr>
              <w:t>2020–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4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2" w:right="9"/>
              <w:jc w:val="center"/>
              <w:rPr>
                <w:sz w:val="15"/>
              </w:rPr>
            </w:pPr>
            <w:r>
              <w:rPr>
                <w:sz w:val="15"/>
              </w:rPr>
              <w:t>2021–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9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9"/>
              <w:jc w:val="center"/>
              <w:rPr>
                <w:sz w:val="15"/>
              </w:rPr>
            </w:pPr>
            <w:r>
              <w:rPr>
                <w:sz w:val="15"/>
              </w:rPr>
              <w:t>2022–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7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7"/>
              <w:jc w:val="center"/>
              <w:rPr>
                <w:sz w:val="15"/>
              </w:rPr>
            </w:pPr>
            <w:r>
              <w:rPr>
                <w:sz w:val="15"/>
              </w:rPr>
              <w:t>2023–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6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0" w:right="9"/>
              <w:jc w:val="center"/>
              <w:rPr>
                <w:sz w:val="15"/>
              </w:rPr>
            </w:pPr>
            <w:r>
              <w:rPr>
                <w:sz w:val="15"/>
              </w:rPr>
              <w:t>2024–</w:t>
            </w:r>
          </w:p>
          <w:p w:rsidR="00000DEE" w:rsidRDefault="00197DC0">
            <w:pPr>
              <w:pStyle w:val="TableParagraph"/>
              <w:spacing w:before="0" w:line="183" w:lineRule="exact"/>
              <w:ind w:left="112" w:right="9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3" w:right="10"/>
              <w:jc w:val="center"/>
              <w:rPr>
                <w:sz w:val="15"/>
              </w:rPr>
            </w:pPr>
            <w:r>
              <w:rPr>
                <w:sz w:val="15"/>
              </w:rPr>
              <w:t>2025–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9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4" w:right="9"/>
              <w:jc w:val="center"/>
              <w:rPr>
                <w:sz w:val="15"/>
              </w:rPr>
            </w:pPr>
            <w:r>
              <w:rPr>
                <w:sz w:val="15"/>
              </w:rPr>
              <w:t>2026–</w:t>
            </w:r>
          </w:p>
          <w:p w:rsidR="00000DEE" w:rsidRDefault="00197DC0">
            <w:pPr>
              <w:pStyle w:val="TableParagraph"/>
              <w:spacing w:before="0" w:line="183" w:lineRule="exact"/>
              <w:ind w:left="114" w:right="8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08" w:right="9"/>
              <w:jc w:val="center"/>
              <w:rPr>
                <w:sz w:val="15"/>
              </w:rPr>
            </w:pPr>
            <w:r>
              <w:rPr>
                <w:sz w:val="15"/>
              </w:rPr>
              <w:t>2027–</w:t>
            </w:r>
          </w:p>
          <w:p w:rsidR="00000DEE" w:rsidRDefault="00197DC0">
            <w:pPr>
              <w:pStyle w:val="TableParagraph"/>
              <w:spacing w:before="0" w:line="183" w:lineRule="exact"/>
              <w:ind w:left="110" w:right="9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1" w:right="10"/>
              <w:jc w:val="center"/>
              <w:rPr>
                <w:sz w:val="15"/>
              </w:rPr>
            </w:pPr>
            <w:r>
              <w:rPr>
                <w:sz w:val="15"/>
              </w:rPr>
              <w:t>2028–</w:t>
            </w:r>
          </w:p>
          <w:p w:rsidR="00000DEE" w:rsidRDefault="00197DC0">
            <w:pPr>
              <w:pStyle w:val="TableParagraph"/>
              <w:spacing w:before="0" w:line="183" w:lineRule="exact"/>
              <w:ind w:left="113" w:right="10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12" w:right="9"/>
              <w:jc w:val="center"/>
              <w:rPr>
                <w:sz w:val="15"/>
              </w:rPr>
            </w:pPr>
            <w:r>
              <w:rPr>
                <w:sz w:val="15"/>
              </w:rPr>
              <w:t>2029–</w:t>
            </w:r>
          </w:p>
          <w:p w:rsidR="00000DEE" w:rsidRDefault="00197DC0">
            <w:pPr>
              <w:pStyle w:val="TableParagraph"/>
              <w:spacing w:before="0" w:line="183" w:lineRule="exact"/>
              <w:ind w:left="113" w:right="9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line="183" w:lineRule="exact"/>
              <w:ind w:left="128" w:right="4"/>
              <w:jc w:val="center"/>
              <w:rPr>
                <w:sz w:val="15"/>
              </w:rPr>
            </w:pPr>
            <w:r>
              <w:rPr>
                <w:sz w:val="15"/>
              </w:rPr>
              <w:t>2030–</w:t>
            </w:r>
          </w:p>
          <w:p w:rsidR="00000DEE" w:rsidRDefault="00197DC0">
            <w:pPr>
              <w:pStyle w:val="TableParagraph"/>
              <w:spacing w:before="0" w:line="183" w:lineRule="exact"/>
              <w:ind w:left="130" w:right="4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82" w:type="dxa"/>
            <w:shd w:val="clear" w:color="auto" w:fill="A7B1D3"/>
          </w:tcPr>
          <w:p w:rsidR="00000DEE" w:rsidRDefault="00197DC0">
            <w:pPr>
              <w:pStyle w:val="TableParagraph"/>
              <w:ind w:left="197" w:right="14" w:firstLine="4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 to 2030–31</w:t>
            </w:r>
          </w:p>
        </w:tc>
      </w:tr>
      <w:tr w:rsidR="00000DEE">
        <w:trPr>
          <w:trHeight w:val="323"/>
        </w:trPr>
        <w:tc>
          <w:tcPr>
            <w:tcW w:w="10074" w:type="dxa"/>
            <w:gridSpan w:val="16"/>
            <w:shd w:val="clear" w:color="auto" w:fill="D2D7E9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Revenue</w:t>
            </w:r>
          </w:p>
        </w:tc>
      </w:tr>
      <w:tr w:rsidR="00000DEE">
        <w:trPr>
          <w:trHeight w:val="323"/>
        </w:trPr>
        <w:tc>
          <w:tcPr>
            <w:tcW w:w="10074" w:type="dxa"/>
            <w:gridSpan w:val="16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Stage 1</w:t>
            </w:r>
          </w:p>
        </w:tc>
      </w:tr>
      <w:tr w:rsidR="00000DEE">
        <w:trPr>
          <w:trHeight w:val="505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 w:right="12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Low and Middle Income Tax Offset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-7,250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-7,690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-7,630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-380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3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34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-22,950</w:t>
            </w:r>
          </w:p>
        </w:tc>
      </w:tr>
      <w:tr w:rsidR="00000DEE">
        <w:trPr>
          <w:trHeight w:val="690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 w:right="251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Increase the tax threshold from</w:t>
            </w:r>
          </w:p>
          <w:p w:rsidR="00000DEE" w:rsidRDefault="00197DC0">
            <w:pPr>
              <w:pStyle w:val="TableParagraph"/>
              <w:spacing w:before="1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$87,000 to $90,000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-370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-410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-400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-400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-420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-440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-480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-510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-550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-610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-650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-700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-750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-6,690</w:t>
            </w:r>
          </w:p>
        </w:tc>
      </w:tr>
      <w:tr w:rsidR="00000DEE">
        <w:trPr>
          <w:trHeight w:val="323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 – Stage 1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-370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-7,660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-8,090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-8,030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-800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-440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-480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-510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-550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-610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-650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-700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-750</w:t>
            </w:r>
          </w:p>
        </w:tc>
        <w:tc>
          <w:tcPr>
            <w:tcW w:w="782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-29,640</w:t>
            </w:r>
          </w:p>
        </w:tc>
      </w:tr>
      <w:tr w:rsidR="00000DEE">
        <w:trPr>
          <w:trHeight w:val="323"/>
        </w:trPr>
        <w:tc>
          <w:tcPr>
            <w:tcW w:w="10074" w:type="dxa"/>
            <w:gridSpan w:val="16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Stage 2</w:t>
            </w:r>
          </w:p>
        </w:tc>
      </w:tr>
      <w:tr w:rsidR="00000DEE">
        <w:trPr>
          <w:trHeight w:val="687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 w:right="88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Increase Low Income Tax Offset from $445 to $700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-140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-700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-750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-750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-740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-720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-710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-690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-670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-650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-630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-7,150</w:t>
            </w:r>
          </w:p>
        </w:tc>
      </w:tr>
      <w:tr w:rsidR="00000DEE">
        <w:trPr>
          <w:trHeight w:val="690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 w:right="251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Increase the tax threshold from</w:t>
            </w:r>
          </w:p>
          <w:p w:rsidR="00000DEE" w:rsidRDefault="00197DC0">
            <w:pPr>
              <w:pStyle w:val="TableParagraph"/>
              <w:spacing w:before="1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$37,000 to $45,000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-4,870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-12,560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-9,380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-9,670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-10,000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-10,310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-10,680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-11,080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-11,410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-11,760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-12,120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-113,840</w:t>
            </w:r>
          </w:p>
        </w:tc>
      </w:tr>
      <w:tr w:rsidR="00000DEE">
        <w:trPr>
          <w:trHeight w:val="872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 w:right="251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Increase the tax threshold from</w:t>
            </w:r>
          </w:p>
          <w:p w:rsidR="00000DEE" w:rsidRDefault="00197DC0">
            <w:pPr>
              <w:pStyle w:val="TableParagraph"/>
              <w:spacing w:before="1" w:line="183" w:lineRule="exact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$90,000 to</w:t>
            </w:r>
          </w:p>
          <w:p w:rsidR="00000DEE" w:rsidRDefault="00197DC0">
            <w:pPr>
              <w:pStyle w:val="TableParagraph"/>
              <w:spacing w:before="0" w:line="183" w:lineRule="exact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$120,000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-1,450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-3,760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-2,890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-3,110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-3,390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-3,650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-4,020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-4,470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-4,850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-5,280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-5,750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1"/>
              <w:jc w:val="left"/>
              <w:rPr>
                <w:b/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-42,620</w:t>
            </w:r>
          </w:p>
        </w:tc>
      </w:tr>
      <w:tr w:rsidR="00000DEE">
        <w:trPr>
          <w:trHeight w:val="320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 – Stage 2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7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-6,460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-17,020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-13,020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-13,530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-14,130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-14,680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-15,410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-16,240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-16,930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-17,690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-18,500</w:t>
            </w:r>
          </w:p>
        </w:tc>
        <w:tc>
          <w:tcPr>
            <w:tcW w:w="782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-163,610</w:t>
            </w:r>
          </w:p>
        </w:tc>
      </w:tr>
      <w:tr w:rsidR="00000DEE">
        <w:trPr>
          <w:trHeight w:val="323"/>
        </w:trPr>
        <w:tc>
          <w:tcPr>
            <w:tcW w:w="10074" w:type="dxa"/>
            <w:gridSpan w:val="16"/>
          </w:tcPr>
          <w:p w:rsidR="00000DEE" w:rsidRDefault="00197DC0">
            <w:pPr>
              <w:pStyle w:val="TableParagraph"/>
              <w:spacing w:before="70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Stage 3</w:t>
            </w:r>
          </w:p>
        </w:tc>
      </w:tr>
      <w:tr w:rsidR="00000DEE">
        <w:trPr>
          <w:trHeight w:val="872"/>
        </w:trPr>
        <w:tc>
          <w:tcPr>
            <w:tcW w:w="1308" w:type="dxa"/>
          </w:tcPr>
          <w:p w:rsidR="00000DEE" w:rsidRDefault="00197DC0">
            <w:pPr>
              <w:pStyle w:val="TableParagraph"/>
              <w:spacing w:before="70"/>
              <w:ind w:left="50" w:right="95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Decrease the marginal tax rate from 32.5 per cent to 30 per cent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-9,450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-10,840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-11,790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-12,810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-13,690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-14,680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-15,740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2"/>
              <w:jc w:val="left"/>
              <w:rPr>
                <w:b/>
                <w:sz w:val="14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-89,000</w:t>
            </w:r>
          </w:p>
        </w:tc>
      </w:tr>
      <w:tr w:rsidR="00000DEE">
        <w:trPr>
          <w:trHeight w:val="1240"/>
        </w:trPr>
        <w:tc>
          <w:tcPr>
            <w:tcW w:w="1308" w:type="dxa"/>
          </w:tcPr>
          <w:p w:rsidR="00000DEE" w:rsidRDefault="00197DC0">
            <w:pPr>
              <w:pStyle w:val="TableParagraph"/>
              <w:spacing w:before="70"/>
              <w:ind w:left="50" w:right="77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Remove the 37 per cent tax bracket and increase the tax threshold from</w:t>
            </w:r>
          </w:p>
          <w:p w:rsidR="00000DEE" w:rsidRDefault="00197DC0">
            <w:pPr>
              <w:pStyle w:val="TableParagraph"/>
              <w:spacing w:before="0" w:line="182" w:lineRule="exact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$180,000 to</w:t>
            </w:r>
          </w:p>
          <w:p w:rsidR="00000DEE" w:rsidRDefault="00197DC0">
            <w:pPr>
              <w:pStyle w:val="TableParagraph"/>
              <w:spacing w:before="0" w:line="183" w:lineRule="exact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$200,000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1"/>
              <w:rPr>
                <w:i/>
                <w:sz w:val="15"/>
              </w:rPr>
            </w:pPr>
            <w:r>
              <w:rPr>
                <w:i/>
                <w:sz w:val="15"/>
              </w:rPr>
              <w:t>-4,140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-4,860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i/>
                <w:sz w:val="15"/>
              </w:rPr>
            </w:pPr>
            <w:r>
              <w:rPr>
                <w:i/>
                <w:sz w:val="15"/>
              </w:rPr>
              <w:t>-5,450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-6,140</w:t>
            </w:r>
          </w:p>
        </w:tc>
        <w:tc>
          <w:tcPr>
            <w:tcW w:w="567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-6,760</w:t>
            </w:r>
          </w:p>
        </w:tc>
        <w:tc>
          <w:tcPr>
            <w:tcW w:w="569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-7,500</w:t>
            </w:r>
          </w:p>
        </w:tc>
        <w:tc>
          <w:tcPr>
            <w:tcW w:w="595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32"/>
              <w:rPr>
                <w:i/>
                <w:sz w:val="15"/>
              </w:rPr>
            </w:pPr>
            <w:r>
              <w:rPr>
                <w:i/>
                <w:sz w:val="15"/>
              </w:rPr>
              <w:t>-8,320</w:t>
            </w:r>
          </w:p>
        </w:tc>
        <w:tc>
          <w:tcPr>
            <w:tcW w:w="782" w:type="dxa"/>
          </w:tcPr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:rsidR="00000DEE" w:rsidRDefault="00000DEE">
            <w:pPr>
              <w:pStyle w:val="TableParagraph"/>
              <w:spacing w:before="1"/>
              <w:jc w:val="left"/>
              <w:rPr>
                <w:b/>
                <w:sz w:val="15"/>
              </w:rPr>
            </w:pPr>
          </w:p>
          <w:p w:rsidR="00000DEE" w:rsidRDefault="00197DC0">
            <w:pPr>
              <w:pStyle w:val="TableParagraph"/>
              <w:spacing w:before="0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-43,170</w:t>
            </w:r>
          </w:p>
        </w:tc>
      </w:tr>
      <w:tr w:rsidR="00000DEE">
        <w:trPr>
          <w:trHeight w:val="323"/>
        </w:trPr>
        <w:tc>
          <w:tcPr>
            <w:tcW w:w="1308" w:type="dxa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Total – Stage 3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8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-13,590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-15,700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-17,240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-18,950</w:t>
            </w:r>
          </w:p>
        </w:tc>
        <w:tc>
          <w:tcPr>
            <w:tcW w:w="567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-20,450</w:t>
            </w:r>
          </w:p>
        </w:tc>
        <w:tc>
          <w:tcPr>
            <w:tcW w:w="569" w:type="dxa"/>
          </w:tcPr>
          <w:p w:rsidR="00000DEE" w:rsidRDefault="00197DC0">
            <w:pPr>
              <w:pStyle w:val="TableParagraph"/>
              <w:ind w:right="30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-22,180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32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-24,060</w:t>
            </w:r>
          </w:p>
        </w:tc>
        <w:tc>
          <w:tcPr>
            <w:tcW w:w="782" w:type="dxa"/>
          </w:tcPr>
          <w:p w:rsidR="00000DEE" w:rsidRDefault="00197DC0">
            <w:pPr>
              <w:pStyle w:val="TableParagraph"/>
              <w:ind w:right="29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-132,170</w:t>
            </w:r>
          </w:p>
        </w:tc>
      </w:tr>
      <w:tr w:rsidR="00000DEE">
        <w:trPr>
          <w:trHeight w:val="323"/>
        </w:trPr>
        <w:tc>
          <w:tcPr>
            <w:tcW w:w="1308" w:type="dxa"/>
            <w:shd w:val="clear" w:color="auto" w:fill="A7B1D3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 revenue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28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29"/>
              <w:rPr>
                <w:b/>
                <w:sz w:val="15"/>
              </w:rPr>
            </w:pPr>
            <w:r>
              <w:rPr>
                <w:b/>
                <w:sz w:val="15"/>
              </w:rPr>
              <w:t>-370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ind w:right="27"/>
              <w:rPr>
                <w:b/>
                <w:sz w:val="15"/>
              </w:rPr>
            </w:pPr>
            <w:r>
              <w:rPr>
                <w:b/>
                <w:sz w:val="15"/>
              </w:rPr>
              <w:t>-7,660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27"/>
              <w:rPr>
                <w:b/>
                <w:sz w:val="15"/>
              </w:rPr>
            </w:pPr>
            <w:r>
              <w:rPr>
                <w:b/>
                <w:sz w:val="15"/>
              </w:rPr>
              <w:t>-14,550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30"/>
              <w:rPr>
                <w:b/>
                <w:sz w:val="15"/>
              </w:rPr>
            </w:pPr>
            <w:r>
              <w:rPr>
                <w:b/>
                <w:sz w:val="15"/>
              </w:rPr>
              <w:t>-25,050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ind w:right="28"/>
              <w:rPr>
                <w:b/>
                <w:sz w:val="15"/>
              </w:rPr>
            </w:pPr>
            <w:r>
              <w:rPr>
                <w:b/>
                <w:sz w:val="15"/>
              </w:rPr>
              <w:t>-13,820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28"/>
              <w:rPr>
                <w:b/>
                <w:sz w:val="15"/>
              </w:rPr>
            </w:pPr>
            <w:r>
              <w:rPr>
                <w:b/>
                <w:sz w:val="15"/>
              </w:rPr>
              <w:t>-13,970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31"/>
              <w:rPr>
                <w:b/>
                <w:sz w:val="15"/>
              </w:rPr>
            </w:pPr>
            <w:r>
              <w:rPr>
                <w:b/>
                <w:sz w:val="15"/>
              </w:rPr>
              <w:t>-28,200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ind w:right="29"/>
              <w:rPr>
                <w:b/>
                <w:sz w:val="15"/>
              </w:rPr>
            </w:pPr>
            <w:r>
              <w:rPr>
                <w:b/>
                <w:sz w:val="15"/>
              </w:rPr>
              <w:t>-30,890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29"/>
              <w:rPr>
                <w:b/>
                <w:sz w:val="15"/>
              </w:rPr>
            </w:pPr>
            <w:r>
              <w:rPr>
                <w:b/>
                <w:sz w:val="15"/>
              </w:rPr>
              <w:t>-33,200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32"/>
              <w:rPr>
                <w:b/>
                <w:sz w:val="15"/>
              </w:rPr>
            </w:pPr>
            <w:r>
              <w:rPr>
                <w:b/>
                <w:sz w:val="15"/>
              </w:rPr>
              <w:t>-35,800</w:t>
            </w:r>
          </w:p>
        </w:tc>
        <w:tc>
          <w:tcPr>
            <w:tcW w:w="567" w:type="dxa"/>
            <w:shd w:val="clear" w:color="auto" w:fill="A7B1D3"/>
          </w:tcPr>
          <w:p w:rsidR="00000DEE" w:rsidRDefault="00197DC0">
            <w:pPr>
              <w:pStyle w:val="TableParagraph"/>
              <w:ind w:right="30"/>
              <w:rPr>
                <w:b/>
                <w:sz w:val="15"/>
              </w:rPr>
            </w:pPr>
            <w:r>
              <w:rPr>
                <w:b/>
                <w:sz w:val="15"/>
              </w:rPr>
              <w:t>-38,030</w:t>
            </w:r>
          </w:p>
        </w:tc>
        <w:tc>
          <w:tcPr>
            <w:tcW w:w="569" w:type="dxa"/>
            <w:shd w:val="clear" w:color="auto" w:fill="A7B1D3"/>
          </w:tcPr>
          <w:p w:rsidR="00000DEE" w:rsidRDefault="00197DC0">
            <w:pPr>
              <w:pStyle w:val="TableParagraph"/>
              <w:ind w:right="30"/>
              <w:rPr>
                <w:b/>
                <w:sz w:val="15"/>
              </w:rPr>
            </w:pPr>
            <w:r>
              <w:rPr>
                <w:b/>
                <w:sz w:val="15"/>
              </w:rPr>
              <w:t>-40,570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32"/>
              <w:rPr>
                <w:b/>
                <w:sz w:val="15"/>
              </w:rPr>
            </w:pPr>
            <w:r>
              <w:rPr>
                <w:b/>
                <w:sz w:val="15"/>
              </w:rPr>
              <w:t>-43,310</w:t>
            </w:r>
          </w:p>
        </w:tc>
        <w:tc>
          <w:tcPr>
            <w:tcW w:w="782" w:type="dxa"/>
            <w:shd w:val="clear" w:color="auto" w:fill="A7B1D3"/>
          </w:tcPr>
          <w:p w:rsidR="00000DEE" w:rsidRDefault="00197DC0">
            <w:pPr>
              <w:pStyle w:val="TableParagraph"/>
              <w:ind w:right="30"/>
              <w:rPr>
                <w:b/>
                <w:sz w:val="15"/>
              </w:rPr>
            </w:pPr>
            <w:r>
              <w:rPr>
                <w:b/>
                <w:sz w:val="15"/>
              </w:rPr>
              <w:t>-325,420</w:t>
            </w:r>
          </w:p>
        </w:tc>
      </w:tr>
    </w:tbl>
    <w:p w:rsidR="00000DEE" w:rsidRDefault="00197DC0">
      <w:pPr>
        <w:pStyle w:val="ListParagraph"/>
        <w:numPr>
          <w:ilvl w:val="0"/>
          <w:numId w:val="3"/>
        </w:numPr>
        <w:tabs>
          <w:tab w:val="left" w:pos="515"/>
        </w:tabs>
        <w:spacing w:line="340" w:lineRule="auto"/>
        <w:ind w:right="373" w:hanging="283"/>
        <w:rPr>
          <w:sz w:val="15"/>
        </w:rPr>
      </w:pPr>
      <w:r>
        <w:rPr>
          <w:sz w:val="15"/>
        </w:rPr>
        <w:t xml:space="preserve">A positive number for the fiscal balance indicates an increase in revenue or a decrease in expenses or net capital </w:t>
      </w:r>
      <w:r>
        <w:rPr>
          <w:spacing w:val="-2"/>
          <w:sz w:val="15"/>
        </w:rPr>
        <w:t xml:space="preserve">investment </w:t>
      </w:r>
      <w:r>
        <w:rPr>
          <w:sz w:val="15"/>
        </w:rPr>
        <w:t>in accrual terms. A negative number</w:t>
      </w:r>
      <w:r>
        <w:rPr>
          <w:spacing w:val="-8"/>
          <w:sz w:val="15"/>
        </w:rPr>
        <w:t xml:space="preserve"> </w:t>
      </w:r>
      <w:r>
        <w:rPr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fiscal</w:t>
      </w:r>
      <w:r>
        <w:rPr>
          <w:spacing w:val="-8"/>
          <w:sz w:val="15"/>
        </w:rPr>
        <w:t xml:space="preserve"> </w:t>
      </w:r>
      <w:r>
        <w:rPr>
          <w:sz w:val="15"/>
        </w:rPr>
        <w:t>balance</w:t>
      </w:r>
      <w:r>
        <w:rPr>
          <w:spacing w:val="-6"/>
          <w:sz w:val="15"/>
        </w:rPr>
        <w:t xml:space="preserve"> </w:t>
      </w:r>
      <w:r>
        <w:rPr>
          <w:sz w:val="15"/>
        </w:rPr>
        <w:t>indicates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decrease</w:t>
      </w:r>
      <w:r>
        <w:rPr>
          <w:spacing w:val="-7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revenue</w:t>
      </w:r>
      <w:r>
        <w:rPr>
          <w:spacing w:val="-8"/>
          <w:sz w:val="15"/>
        </w:rPr>
        <w:t xml:space="preserve"> </w:t>
      </w:r>
      <w:r>
        <w:rPr>
          <w:sz w:val="15"/>
        </w:rPr>
        <w:t>or</w:t>
      </w:r>
      <w:r>
        <w:rPr>
          <w:spacing w:val="-7"/>
          <w:sz w:val="15"/>
        </w:rPr>
        <w:t xml:space="preserve"> </w:t>
      </w:r>
      <w:r>
        <w:rPr>
          <w:sz w:val="15"/>
        </w:rPr>
        <w:t>an</w:t>
      </w:r>
      <w:r>
        <w:rPr>
          <w:spacing w:val="-6"/>
          <w:sz w:val="15"/>
        </w:rPr>
        <w:t xml:space="preserve"> </w:t>
      </w:r>
      <w:r>
        <w:rPr>
          <w:sz w:val="15"/>
        </w:rPr>
        <w:t>increase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expenses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8"/>
          <w:sz w:val="15"/>
        </w:rPr>
        <w:t xml:space="preserve"> </w:t>
      </w:r>
      <w:r>
        <w:rPr>
          <w:sz w:val="15"/>
        </w:rPr>
        <w:t>net</w:t>
      </w:r>
      <w:r>
        <w:rPr>
          <w:spacing w:val="-7"/>
          <w:sz w:val="15"/>
        </w:rPr>
        <w:t xml:space="preserve"> </w:t>
      </w:r>
      <w:r>
        <w:rPr>
          <w:sz w:val="15"/>
        </w:rPr>
        <w:t>capital</w:t>
      </w:r>
      <w:r>
        <w:rPr>
          <w:spacing w:val="-8"/>
          <w:sz w:val="15"/>
        </w:rPr>
        <w:t xml:space="preserve"> </w:t>
      </w:r>
      <w:r>
        <w:rPr>
          <w:sz w:val="15"/>
        </w:rPr>
        <w:t>investment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accrual</w:t>
      </w:r>
      <w:r>
        <w:rPr>
          <w:spacing w:val="-8"/>
          <w:sz w:val="15"/>
        </w:rPr>
        <w:t xml:space="preserve"> </w:t>
      </w:r>
      <w:r>
        <w:rPr>
          <w:sz w:val="15"/>
        </w:rPr>
        <w:t>terms.</w:t>
      </w:r>
      <w:r>
        <w:rPr>
          <w:spacing w:val="21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positive</w:t>
      </w:r>
      <w:r>
        <w:rPr>
          <w:spacing w:val="-8"/>
          <w:sz w:val="15"/>
        </w:rPr>
        <w:t xml:space="preserve"> </w:t>
      </w:r>
      <w:r>
        <w:rPr>
          <w:spacing w:val="-3"/>
          <w:sz w:val="15"/>
        </w:rPr>
        <w:t>number</w:t>
      </w:r>
      <w:r>
        <w:rPr>
          <w:spacing w:val="-6"/>
          <w:sz w:val="15"/>
        </w:rPr>
        <w:t xml:space="preserve"> </w:t>
      </w:r>
      <w:r>
        <w:rPr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z w:val="15"/>
        </w:rPr>
        <w:t xml:space="preserve">the underlying cash balance indicates an increase in receipts or a decrease in payments or net capital </w:t>
      </w:r>
      <w:r>
        <w:rPr>
          <w:spacing w:val="-3"/>
          <w:sz w:val="15"/>
        </w:rPr>
        <w:t xml:space="preserve">investment </w:t>
      </w:r>
      <w:r>
        <w:rPr>
          <w:sz w:val="15"/>
        </w:rPr>
        <w:t xml:space="preserve">in cash terms. A negative </w:t>
      </w:r>
      <w:r>
        <w:rPr>
          <w:spacing w:val="-3"/>
          <w:sz w:val="15"/>
        </w:rPr>
        <w:t xml:space="preserve">number </w:t>
      </w:r>
      <w:r>
        <w:rPr>
          <w:sz w:val="15"/>
        </w:rPr>
        <w:t>for the underlying</w:t>
      </w:r>
      <w:r>
        <w:rPr>
          <w:spacing w:val="-4"/>
          <w:sz w:val="15"/>
        </w:rPr>
        <w:t xml:space="preserve"> </w:t>
      </w:r>
      <w:r>
        <w:rPr>
          <w:sz w:val="15"/>
        </w:rPr>
        <w:t>cash</w:t>
      </w:r>
      <w:r>
        <w:rPr>
          <w:spacing w:val="-4"/>
          <w:sz w:val="15"/>
        </w:rPr>
        <w:t xml:space="preserve"> </w:t>
      </w:r>
      <w:r>
        <w:rPr>
          <w:sz w:val="15"/>
        </w:rPr>
        <w:t>balance</w:t>
      </w:r>
      <w:r>
        <w:rPr>
          <w:spacing w:val="-3"/>
          <w:sz w:val="15"/>
        </w:rPr>
        <w:t xml:space="preserve"> </w:t>
      </w:r>
      <w:r>
        <w:rPr>
          <w:sz w:val="15"/>
        </w:rPr>
        <w:t>indicates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decrease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receipts</w:t>
      </w:r>
      <w:r>
        <w:rPr>
          <w:spacing w:val="-1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an</w:t>
      </w:r>
      <w:r>
        <w:rPr>
          <w:spacing w:val="-4"/>
          <w:sz w:val="15"/>
        </w:rPr>
        <w:t xml:space="preserve"> </w:t>
      </w:r>
      <w:r>
        <w:rPr>
          <w:sz w:val="15"/>
        </w:rPr>
        <w:t>increase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payments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net</w:t>
      </w:r>
      <w:r>
        <w:rPr>
          <w:spacing w:val="-4"/>
          <w:sz w:val="15"/>
        </w:rPr>
        <w:t xml:space="preserve"> </w:t>
      </w:r>
      <w:r>
        <w:rPr>
          <w:sz w:val="15"/>
        </w:rPr>
        <w:t>capital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investment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cash</w:t>
      </w:r>
      <w:r>
        <w:rPr>
          <w:spacing w:val="-5"/>
          <w:sz w:val="15"/>
        </w:rPr>
        <w:t xml:space="preserve"> </w:t>
      </w:r>
      <w:r>
        <w:rPr>
          <w:sz w:val="15"/>
        </w:rPr>
        <w:t>terms.</w:t>
      </w:r>
    </w:p>
    <w:p w:rsidR="00000DEE" w:rsidRDefault="00197DC0">
      <w:pPr>
        <w:pStyle w:val="ListParagraph"/>
        <w:numPr>
          <w:ilvl w:val="0"/>
          <w:numId w:val="3"/>
        </w:numPr>
        <w:tabs>
          <w:tab w:val="left" w:pos="515"/>
        </w:tabs>
        <w:spacing w:before="0" w:line="182" w:lineRule="exact"/>
        <w:ind w:hanging="285"/>
        <w:rPr>
          <w:sz w:val="15"/>
        </w:rPr>
      </w:pPr>
      <w:r>
        <w:rPr>
          <w:sz w:val="15"/>
        </w:rPr>
        <w:t>Figures may not sum to totals due to</w:t>
      </w:r>
      <w:r>
        <w:rPr>
          <w:spacing w:val="-10"/>
          <w:sz w:val="15"/>
        </w:rPr>
        <w:t xml:space="preserve"> </w:t>
      </w:r>
      <w:r>
        <w:rPr>
          <w:sz w:val="15"/>
        </w:rPr>
        <w:t>rounding.</w:t>
      </w:r>
    </w:p>
    <w:p w:rsidR="00000DEE" w:rsidRDefault="00197DC0">
      <w:pPr>
        <w:tabs>
          <w:tab w:val="left" w:pos="514"/>
        </w:tabs>
        <w:spacing w:before="78"/>
        <w:ind w:left="230"/>
        <w:rPr>
          <w:sz w:val="15"/>
        </w:rPr>
      </w:pPr>
      <w:r>
        <w:rPr>
          <w:sz w:val="15"/>
        </w:rPr>
        <w:t>..</w:t>
      </w:r>
      <w:r>
        <w:rPr>
          <w:sz w:val="15"/>
        </w:rPr>
        <w:tab/>
        <w:t>Not zero but rounded to</w:t>
      </w:r>
      <w:r>
        <w:rPr>
          <w:spacing w:val="-6"/>
          <w:sz w:val="15"/>
        </w:rPr>
        <w:t xml:space="preserve"> </w:t>
      </w:r>
      <w:r>
        <w:rPr>
          <w:sz w:val="15"/>
        </w:rPr>
        <w:t>zero.</w:t>
      </w:r>
    </w:p>
    <w:p w:rsidR="00000DEE" w:rsidRDefault="00197DC0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ind w:hanging="285"/>
        <w:rPr>
          <w:sz w:val="15"/>
        </w:rPr>
      </w:pPr>
      <w:r>
        <w:rPr>
          <w:sz w:val="15"/>
        </w:rPr>
        <w:t>Indicates</w:t>
      </w:r>
      <w:r>
        <w:rPr>
          <w:spacing w:val="-1"/>
          <w:sz w:val="15"/>
        </w:rPr>
        <w:t xml:space="preserve"> </w:t>
      </w:r>
      <w:r>
        <w:rPr>
          <w:sz w:val="15"/>
        </w:rPr>
        <w:t>nil.</w:t>
      </w:r>
    </w:p>
    <w:p w:rsidR="00000DEE" w:rsidRDefault="00000DEE">
      <w:pPr>
        <w:rPr>
          <w:sz w:val="15"/>
        </w:rPr>
        <w:sectPr w:rsidR="00000DEE">
          <w:headerReference w:type="default" r:id="rId14"/>
          <w:footerReference w:type="default" r:id="rId15"/>
          <w:pgSz w:w="11910" w:h="16840"/>
          <w:pgMar w:top="1100" w:right="800" w:bottom="800" w:left="760" w:header="596" w:footer="620" w:gutter="0"/>
          <w:pgNumType w:start="3"/>
          <w:cols w:space="720"/>
        </w:sectPr>
      </w:pPr>
    </w:p>
    <w:p w:rsidR="00000DEE" w:rsidRDefault="00197DC0">
      <w:pPr>
        <w:pStyle w:val="Heading3"/>
        <w:spacing w:before="62" w:line="268" w:lineRule="auto"/>
        <w:ind w:left="231" w:right="444" w:hanging="1"/>
      </w:pPr>
      <w:r>
        <w:rPr>
          <w:color w:val="3C4D7C"/>
          <w:spacing w:val="-4"/>
        </w:rPr>
        <w:lastRenderedPageBreak/>
        <w:t xml:space="preserve">Table </w:t>
      </w:r>
      <w:r>
        <w:rPr>
          <w:color w:val="3C4D7C"/>
          <w:spacing w:val="-3"/>
        </w:rPr>
        <w:t xml:space="preserve">A2: </w:t>
      </w:r>
      <w:r>
        <w:rPr>
          <w:color w:val="3C4D7C"/>
          <w:spacing w:val="-4"/>
        </w:rPr>
        <w:t xml:space="preserve">Loss </w:t>
      </w:r>
      <w:r>
        <w:rPr>
          <w:color w:val="3C4D7C"/>
          <w:spacing w:val="-3"/>
        </w:rPr>
        <w:t xml:space="preserve">of </w:t>
      </w:r>
      <w:r>
        <w:rPr>
          <w:color w:val="3C4D7C"/>
          <w:spacing w:val="-4"/>
        </w:rPr>
        <w:t xml:space="preserve">public </w:t>
      </w:r>
      <w:r>
        <w:rPr>
          <w:color w:val="3C4D7C"/>
          <w:spacing w:val="-5"/>
        </w:rPr>
        <w:t xml:space="preserve">revenue </w:t>
      </w:r>
      <w:r>
        <w:rPr>
          <w:color w:val="3C4D7C"/>
          <w:spacing w:val="-4"/>
        </w:rPr>
        <w:t xml:space="preserve">and </w:t>
      </w:r>
      <w:r>
        <w:rPr>
          <w:color w:val="3C4D7C"/>
        </w:rPr>
        <w:t xml:space="preserve">a </w:t>
      </w:r>
      <w:r>
        <w:rPr>
          <w:color w:val="3C4D7C"/>
          <w:spacing w:val="-5"/>
        </w:rPr>
        <w:t xml:space="preserve">distributional analysis </w:t>
      </w:r>
      <w:r>
        <w:rPr>
          <w:color w:val="3C4D7C"/>
          <w:spacing w:val="-3"/>
        </w:rPr>
        <w:t xml:space="preserve">of the tax </w:t>
      </w:r>
      <w:r>
        <w:rPr>
          <w:color w:val="3C4D7C"/>
          <w:spacing w:val="-4"/>
        </w:rPr>
        <w:t xml:space="preserve">cuts </w:t>
      </w:r>
      <w:r>
        <w:rPr>
          <w:color w:val="3C4D7C"/>
          <w:spacing w:val="-5"/>
        </w:rPr>
        <w:t xml:space="preserve">packages </w:t>
      </w:r>
      <w:r>
        <w:rPr>
          <w:color w:val="3C4D7C"/>
        </w:rPr>
        <w:t xml:space="preserve">– </w:t>
      </w:r>
      <w:r>
        <w:rPr>
          <w:color w:val="3C4D7C"/>
          <w:spacing w:val="-4"/>
        </w:rPr>
        <w:t xml:space="preserve">Cost </w:t>
      </w:r>
      <w:r>
        <w:rPr>
          <w:color w:val="3C4D7C"/>
          <w:spacing w:val="-3"/>
        </w:rPr>
        <w:t xml:space="preserve">by </w:t>
      </w:r>
      <w:r>
        <w:rPr>
          <w:color w:val="3C4D7C"/>
          <w:spacing w:val="-5"/>
        </w:rPr>
        <w:t xml:space="preserve">quintile </w:t>
      </w:r>
      <w:r>
        <w:rPr>
          <w:color w:val="3C4D7C"/>
        </w:rPr>
        <w:t xml:space="preserve">– </w:t>
      </w:r>
      <w:r>
        <w:rPr>
          <w:color w:val="3C4D7C"/>
          <w:spacing w:val="-4"/>
        </w:rPr>
        <w:t xml:space="preserve">Fiscal and </w:t>
      </w:r>
      <w:r>
        <w:rPr>
          <w:color w:val="3C4D7C"/>
          <w:spacing w:val="-5"/>
        </w:rPr>
        <w:t xml:space="preserve">underlying </w:t>
      </w:r>
      <w:r>
        <w:rPr>
          <w:color w:val="3C4D7C"/>
          <w:spacing w:val="-4"/>
        </w:rPr>
        <w:t xml:space="preserve">cash </w:t>
      </w:r>
      <w:r>
        <w:rPr>
          <w:color w:val="3C4D7C"/>
          <w:spacing w:val="-5"/>
        </w:rPr>
        <w:t>balances ($m)</w:t>
      </w:r>
      <w:r>
        <w:rPr>
          <w:color w:val="3C4D7C"/>
          <w:spacing w:val="-5"/>
          <w:vertAlign w:val="superscript"/>
        </w:rPr>
        <w:t>(a)(b)(c)</w:t>
      </w:r>
    </w:p>
    <w:p w:rsidR="00000DEE" w:rsidRDefault="00000DEE">
      <w:pPr>
        <w:pStyle w:val="BodyText"/>
        <w:spacing w:before="2"/>
        <w:rPr>
          <w:b/>
          <w:sz w:val="7"/>
        </w:rPr>
      </w:pPr>
    </w:p>
    <w:tbl>
      <w:tblPr>
        <w:tblW w:w="0" w:type="auto"/>
        <w:tblInd w:w="133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600"/>
        <w:gridCol w:w="595"/>
        <w:gridCol w:w="597"/>
        <w:gridCol w:w="597"/>
        <w:gridCol w:w="595"/>
        <w:gridCol w:w="597"/>
        <w:gridCol w:w="595"/>
        <w:gridCol w:w="597"/>
        <w:gridCol w:w="595"/>
        <w:gridCol w:w="597"/>
        <w:gridCol w:w="595"/>
        <w:gridCol w:w="595"/>
        <w:gridCol w:w="597"/>
        <w:gridCol w:w="595"/>
        <w:gridCol w:w="722"/>
      </w:tblGrid>
      <w:tr w:rsidR="00000DEE">
        <w:trPr>
          <w:trHeight w:val="507"/>
        </w:trPr>
        <w:tc>
          <w:tcPr>
            <w:tcW w:w="1025" w:type="dxa"/>
            <w:shd w:val="clear" w:color="auto" w:fill="A7B1D3"/>
          </w:tcPr>
          <w:p w:rsidR="00000DEE" w:rsidRDefault="00000DE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0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9" w:right="12"/>
              <w:jc w:val="center"/>
              <w:rPr>
                <w:sz w:val="15"/>
              </w:rPr>
            </w:pPr>
            <w:r>
              <w:rPr>
                <w:sz w:val="15"/>
              </w:rPr>
              <w:t>2017–</w:t>
            </w:r>
          </w:p>
          <w:p w:rsidR="00000DEE" w:rsidRDefault="00197DC0">
            <w:pPr>
              <w:pStyle w:val="TableParagraph"/>
              <w:spacing w:before="0" w:line="183" w:lineRule="exact"/>
              <w:ind w:left="149" w:right="11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6" w:right="4"/>
              <w:jc w:val="center"/>
              <w:rPr>
                <w:sz w:val="15"/>
              </w:rPr>
            </w:pPr>
            <w:r>
              <w:rPr>
                <w:sz w:val="15"/>
              </w:rPr>
              <w:t>2018–</w:t>
            </w:r>
          </w:p>
          <w:p w:rsidR="00000DEE" w:rsidRDefault="00197DC0">
            <w:pPr>
              <w:pStyle w:val="TableParagraph"/>
              <w:spacing w:before="0" w:line="183" w:lineRule="exact"/>
              <w:ind w:left="140" w:right="1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5" w:right="5"/>
              <w:jc w:val="center"/>
              <w:rPr>
                <w:sz w:val="15"/>
              </w:rPr>
            </w:pPr>
            <w:r>
              <w:rPr>
                <w:sz w:val="15"/>
              </w:rPr>
              <w:t>2019–</w:t>
            </w:r>
          </w:p>
          <w:p w:rsidR="00000DEE" w:rsidRDefault="00197DC0">
            <w:pPr>
              <w:pStyle w:val="TableParagraph"/>
              <w:spacing w:before="0" w:line="183" w:lineRule="exact"/>
              <w:ind w:left="147" w:right="5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6" w:right="5"/>
              <w:jc w:val="center"/>
              <w:rPr>
                <w:sz w:val="15"/>
              </w:rPr>
            </w:pPr>
            <w:r>
              <w:rPr>
                <w:sz w:val="15"/>
              </w:rPr>
              <w:t>2020–</w:t>
            </w:r>
          </w:p>
          <w:p w:rsidR="00000DEE" w:rsidRDefault="00197DC0">
            <w:pPr>
              <w:pStyle w:val="TableParagraph"/>
              <w:spacing w:before="0" w:line="183" w:lineRule="exact"/>
              <w:ind w:left="143" w:right="5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0"/>
              <w:jc w:val="center"/>
              <w:rPr>
                <w:sz w:val="15"/>
              </w:rPr>
            </w:pPr>
            <w:r>
              <w:rPr>
                <w:sz w:val="15"/>
              </w:rPr>
              <w:t>2021–</w:t>
            </w:r>
          </w:p>
          <w:p w:rsidR="00000DEE" w:rsidRDefault="00197DC0">
            <w:pPr>
              <w:pStyle w:val="TableParagraph"/>
              <w:spacing w:before="0" w:line="183" w:lineRule="exact"/>
              <w:ind w:left="145" w:right="4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8" w:right="5"/>
              <w:jc w:val="center"/>
              <w:rPr>
                <w:sz w:val="15"/>
              </w:rPr>
            </w:pPr>
            <w:r>
              <w:rPr>
                <w:sz w:val="15"/>
              </w:rPr>
              <w:t>2022–</w:t>
            </w:r>
          </w:p>
          <w:p w:rsidR="00000DEE" w:rsidRDefault="00197DC0">
            <w:pPr>
              <w:pStyle w:val="TableParagraph"/>
              <w:spacing w:before="0" w:line="183" w:lineRule="exact"/>
              <w:ind w:left="149" w:right="4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5" w:right="4"/>
              <w:jc w:val="center"/>
              <w:rPr>
                <w:sz w:val="15"/>
              </w:rPr>
            </w:pPr>
            <w:r>
              <w:rPr>
                <w:sz w:val="15"/>
              </w:rPr>
              <w:t>2023–</w:t>
            </w:r>
          </w:p>
          <w:p w:rsidR="00000DEE" w:rsidRDefault="00197DC0">
            <w:pPr>
              <w:pStyle w:val="TableParagraph"/>
              <w:spacing w:before="0" w:line="183" w:lineRule="exact"/>
              <w:ind w:left="147" w:right="4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9" w:right="4"/>
              <w:jc w:val="center"/>
              <w:rPr>
                <w:sz w:val="15"/>
              </w:rPr>
            </w:pPr>
            <w:r>
              <w:rPr>
                <w:sz w:val="15"/>
              </w:rPr>
              <w:t>2024–</w:t>
            </w:r>
          </w:p>
          <w:p w:rsidR="00000DEE" w:rsidRDefault="00197DC0">
            <w:pPr>
              <w:pStyle w:val="TableParagraph"/>
              <w:spacing w:before="0" w:line="183" w:lineRule="exact"/>
              <w:ind w:left="146" w:right="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7" w:right="4"/>
              <w:jc w:val="center"/>
              <w:rPr>
                <w:sz w:val="15"/>
              </w:rPr>
            </w:pPr>
            <w:r>
              <w:rPr>
                <w:sz w:val="15"/>
              </w:rPr>
              <w:t>2025–</w:t>
            </w:r>
          </w:p>
          <w:p w:rsidR="00000DEE" w:rsidRDefault="00197DC0">
            <w:pPr>
              <w:pStyle w:val="TableParagraph"/>
              <w:spacing w:before="0" w:line="183" w:lineRule="exact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9" w:right="3"/>
              <w:jc w:val="center"/>
              <w:rPr>
                <w:sz w:val="15"/>
              </w:rPr>
            </w:pPr>
            <w:r>
              <w:rPr>
                <w:sz w:val="15"/>
              </w:rPr>
              <w:t>2026–</w:t>
            </w:r>
          </w:p>
          <w:p w:rsidR="00000DEE" w:rsidRDefault="00197DC0">
            <w:pPr>
              <w:pStyle w:val="TableParagraph"/>
              <w:spacing w:before="0" w:line="183" w:lineRule="exact"/>
              <w:ind w:left="149" w:right="1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2027–</w:t>
            </w:r>
          </w:p>
          <w:p w:rsidR="00000DEE" w:rsidRDefault="00197DC0">
            <w:pPr>
              <w:pStyle w:val="TableParagraph"/>
              <w:spacing w:before="0" w:line="183" w:lineRule="exact"/>
              <w:ind w:left="148" w:right="2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2028–</w:t>
            </w:r>
          </w:p>
          <w:p w:rsidR="00000DEE" w:rsidRDefault="00197DC0">
            <w:pPr>
              <w:pStyle w:val="TableParagraph"/>
              <w:spacing w:before="0" w:line="183" w:lineRule="exact"/>
              <w:ind w:left="148" w:right="1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9" w:right="1"/>
              <w:jc w:val="center"/>
              <w:rPr>
                <w:sz w:val="15"/>
              </w:rPr>
            </w:pPr>
            <w:r>
              <w:rPr>
                <w:sz w:val="15"/>
              </w:rPr>
              <w:t>2029–</w:t>
            </w:r>
          </w:p>
          <w:p w:rsidR="00000DEE" w:rsidRDefault="00197DC0">
            <w:pPr>
              <w:pStyle w:val="TableParagraph"/>
              <w:spacing w:before="0" w:line="183" w:lineRule="exact"/>
              <w:ind w:left="155" w:right="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spacing w:before="70" w:line="183" w:lineRule="exact"/>
              <w:ind w:left="148" w:right="1"/>
              <w:jc w:val="center"/>
              <w:rPr>
                <w:sz w:val="15"/>
              </w:rPr>
            </w:pPr>
            <w:r>
              <w:rPr>
                <w:sz w:val="15"/>
              </w:rPr>
              <w:t>2030–</w:t>
            </w:r>
          </w:p>
          <w:p w:rsidR="00000DEE" w:rsidRDefault="00197DC0">
            <w:pPr>
              <w:pStyle w:val="TableParagraph"/>
              <w:spacing w:before="0" w:line="183" w:lineRule="exact"/>
              <w:ind w:left="148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22" w:type="dxa"/>
            <w:shd w:val="clear" w:color="auto" w:fill="A7B1D3"/>
          </w:tcPr>
          <w:p w:rsidR="00000DEE" w:rsidRDefault="00197DC0">
            <w:pPr>
              <w:pStyle w:val="TableParagraph"/>
              <w:spacing w:before="70"/>
              <w:ind w:left="143" w:right="8" w:firstLine="4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 to 2030–31</w:t>
            </w:r>
          </w:p>
        </w:tc>
      </w:tr>
      <w:tr w:rsidR="00000DEE">
        <w:trPr>
          <w:trHeight w:val="323"/>
        </w:trPr>
        <w:tc>
          <w:tcPr>
            <w:tcW w:w="10094" w:type="dxa"/>
            <w:gridSpan w:val="16"/>
            <w:shd w:val="clear" w:color="auto" w:fill="D2D7E9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Cost of personal income tax plan by taxable income quintile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1</w:t>
            </w:r>
          </w:p>
        </w:tc>
        <w:tc>
          <w:tcPr>
            <w:tcW w:w="600" w:type="dxa"/>
          </w:tcPr>
          <w:p w:rsidR="00000DEE" w:rsidRDefault="00197DC0">
            <w:pPr>
              <w:pStyle w:val="TableParagraph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7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-20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-30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-40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-60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-100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-110</w:t>
            </w:r>
          </w:p>
        </w:tc>
        <w:tc>
          <w:tcPr>
            <w:tcW w:w="722" w:type="dxa"/>
          </w:tcPr>
          <w:p w:rsidR="00000DEE" w:rsidRDefault="00197DC0">
            <w:pPr>
              <w:pStyle w:val="TableParagraph"/>
              <w:ind w:right="2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-440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2</w:t>
            </w:r>
          </w:p>
        </w:tc>
        <w:tc>
          <w:tcPr>
            <w:tcW w:w="600" w:type="dxa"/>
          </w:tcPr>
          <w:p w:rsidR="00000DEE" w:rsidRDefault="00197DC0">
            <w:pPr>
              <w:pStyle w:val="TableParagraph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-580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-730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-1,100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-630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-660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-780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-880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-1,030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-1,240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-1,420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-1,650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-1,760</w:t>
            </w:r>
          </w:p>
        </w:tc>
        <w:tc>
          <w:tcPr>
            <w:tcW w:w="722" w:type="dxa"/>
          </w:tcPr>
          <w:p w:rsidR="00000DEE" w:rsidRDefault="00197DC0">
            <w:pPr>
              <w:pStyle w:val="TableParagraph"/>
              <w:ind w:right="2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-12,460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3</w:t>
            </w:r>
          </w:p>
        </w:tc>
        <w:tc>
          <w:tcPr>
            <w:tcW w:w="600" w:type="dxa"/>
          </w:tcPr>
          <w:p w:rsidR="00000DEE" w:rsidRDefault="00197DC0">
            <w:pPr>
              <w:pStyle w:val="TableParagraph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-2,500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-4,150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-6,230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-3,030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-3,050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-3,650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-3,880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-4,160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-4,420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-4,630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-4,860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-5,190</w:t>
            </w:r>
          </w:p>
        </w:tc>
        <w:tc>
          <w:tcPr>
            <w:tcW w:w="722" w:type="dxa"/>
          </w:tcPr>
          <w:p w:rsidR="00000DEE" w:rsidRDefault="00197DC0">
            <w:pPr>
              <w:pStyle w:val="TableParagraph"/>
              <w:ind w:right="2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-49,750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4</w:t>
            </w:r>
          </w:p>
        </w:tc>
        <w:tc>
          <w:tcPr>
            <w:tcW w:w="600" w:type="dxa"/>
          </w:tcPr>
          <w:p w:rsidR="00000DEE" w:rsidRDefault="00197DC0">
            <w:pPr>
              <w:pStyle w:val="TableParagraph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..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-3,110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-5,050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-7,790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-3,480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-3,380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-5,700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-6,200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-6,680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-7,290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-7,840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-8,550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-9,130</w:t>
            </w:r>
          </w:p>
        </w:tc>
        <w:tc>
          <w:tcPr>
            <w:tcW w:w="722" w:type="dxa"/>
          </w:tcPr>
          <w:p w:rsidR="00000DEE" w:rsidRDefault="00197DC0">
            <w:pPr>
              <w:pStyle w:val="TableParagraph"/>
              <w:ind w:right="2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-74,200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5</w:t>
            </w:r>
          </w:p>
        </w:tc>
        <w:tc>
          <w:tcPr>
            <w:tcW w:w="600" w:type="dxa"/>
          </w:tcPr>
          <w:p w:rsidR="00000DEE" w:rsidRDefault="00197DC0">
            <w:pPr>
              <w:pStyle w:val="TableParagraph"/>
              <w:ind w:right="30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-370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-1,480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-4,620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-9,920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-6,680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-6,870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-18,060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-19,920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-21,300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-22,780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-24,040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-25,400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-27,120</w:t>
            </w:r>
          </w:p>
        </w:tc>
        <w:tc>
          <w:tcPr>
            <w:tcW w:w="722" w:type="dxa"/>
          </w:tcPr>
          <w:p w:rsidR="00000DEE" w:rsidRDefault="00197DC0">
            <w:pPr>
              <w:pStyle w:val="TableParagraph"/>
              <w:ind w:right="23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-188,560</w:t>
            </w:r>
          </w:p>
        </w:tc>
      </w:tr>
      <w:tr w:rsidR="00000DEE">
        <w:trPr>
          <w:trHeight w:val="323"/>
        </w:trPr>
        <w:tc>
          <w:tcPr>
            <w:tcW w:w="1025" w:type="dxa"/>
            <w:shd w:val="clear" w:color="auto" w:fill="A7B1D3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600" w:type="dxa"/>
            <w:shd w:val="clear" w:color="auto" w:fill="A7B1D3"/>
          </w:tcPr>
          <w:p w:rsidR="00000DEE" w:rsidRDefault="00197DC0">
            <w:pPr>
              <w:pStyle w:val="TableParagraph"/>
              <w:ind w:right="30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-370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-7,660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-14,550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-25,050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-13,820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-13,970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-28,200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-30,890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-33,200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-35,800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-38,030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-40,570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-43,310</w:t>
            </w:r>
          </w:p>
        </w:tc>
        <w:tc>
          <w:tcPr>
            <w:tcW w:w="722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-325,420</w:t>
            </w:r>
          </w:p>
        </w:tc>
      </w:tr>
    </w:tbl>
    <w:p w:rsidR="00000DEE" w:rsidRDefault="00197DC0">
      <w:pPr>
        <w:pStyle w:val="ListParagraph"/>
        <w:numPr>
          <w:ilvl w:val="0"/>
          <w:numId w:val="1"/>
        </w:numPr>
        <w:tabs>
          <w:tab w:val="left" w:pos="515"/>
        </w:tabs>
        <w:spacing w:line="340" w:lineRule="auto"/>
        <w:ind w:right="373"/>
        <w:rPr>
          <w:sz w:val="15"/>
        </w:rPr>
      </w:pPr>
      <w:r>
        <w:rPr>
          <w:sz w:val="15"/>
        </w:rPr>
        <w:t xml:space="preserve">A positive number for the fiscal balance indicates an increase in revenue or a decrease in expenses or net capital </w:t>
      </w:r>
      <w:r>
        <w:rPr>
          <w:spacing w:val="-2"/>
          <w:sz w:val="15"/>
        </w:rPr>
        <w:t xml:space="preserve">investment </w:t>
      </w:r>
      <w:r>
        <w:rPr>
          <w:sz w:val="15"/>
        </w:rPr>
        <w:t>in accrual terms. A negative number</w:t>
      </w:r>
      <w:r>
        <w:rPr>
          <w:spacing w:val="-8"/>
          <w:sz w:val="15"/>
        </w:rPr>
        <w:t xml:space="preserve"> </w:t>
      </w:r>
      <w:r>
        <w:rPr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fiscal</w:t>
      </w:r>
      <w:r>
        <w:rPr>
          <w:spacing w:val="-8"/>
          <w:sz w:val="15"/>
        </w:rPr>
        <w:t xml:space="preserve"> </w:t>
      </w:r>
      <w:r>
        <w:rPr>
          <w:sz w:val="15"/>
        </w:rPr>
        <w:t>balance</w:t>
      </w:r>
      <w:r>
        <w:rPr>
          <w:spacing w:val="-6"/>
          <w:sz w:val="15"/>
        </w:rPr>
        <w:t xml:space="preserve"> </w:t>
      </w:r>
      <w:r>
        <w:rPr>
          <w:sz w:val="15"/>
        </w:rPr>
        <w:t>indicates</w:t>
      </w:r>
      <w:r>
        <w:rPr>
          <w:spacing w:val="-7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decrease</w:t>
      </w:r>
      <w:r>
        <w:rPr>
          <w:spacing w:val="-7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revenue</w:t>
      </w:r>
      <w:r>
        <w:rPr>
          <w:spacing w:val="-8"/>
          <w:sz w:val="15"/>
        </w:rPr>
        <w:t xml:space="preserve"> </w:t>
      </w:r>
      <w:r>
        <w:rPr>
          <w:sz w:val="15"/>
        </w:rPr>
        <w:t>or</w:t>
      </w:r>
      <w:r>
        <w:rPr>
          <w:spacing w:val="-7"/>
          <w:sz w:val="15"/>
        </w:rPr>
        <w:t xml:space="preserve"> </w:t>
      </w:r>
      <w:r>
        <w:rPr>
          <w:sz w:val="15"/>
        </w:rPr>
        <w:t>an</w:t>
      </w:r>
      <w:r>
        <w:rPr>
          <w:spacing w:val="-6"/>
          <w:sz w:val="15"/>
        </w:rPr>
        <w:t xml:space="preserve"> </w:t>
      </w:r>
      <w:r>
        <w:rPr>
          <w:sz w:val="15"/>
        </w:rPr>
        <w:t>increase</w:t>
      </w:r>
      <w:r>
        <w:rPr>
          <w:spacing w:val="-8"/>
          <w:sz w:val="15"/>
        </w:rPr>
        <w:t xml:space="preserve"> </w:t>
      </w:r>
      <w:r>
        <w:rPr>
          <w:sz w:val="15"/>
        </w:rPr>
        <w:t>in</w:t>
      </w:r>
      <w:r>
        <w:rPr>
          <w:spacing w:val="-8"/>
          <w:sz w:val="15"/>
        </w:rPr>
        <w:t xml:space="preserve"> </w:t>
      </w:r>
      <w:r>
        <w:rPr>
          <w:sz w:val="15"/>
        </w:rPr>
        <w:t>expenses</w:t>
      </w:r>
      <w:r>
        <w:rPr>
          <w:spacing w:val="-4"/>
          <w:sz w:val="15"/>
        </w:rPr>
        <w:t xml:space="preserve"> </w:t>
      </w:r>
      <w:r>
        <w:rPr>
          <w:sz w:val="15"/>
        </w:rPr>
        <w:t>or</w:t>
      </w:r>
      <w:r>
        <w:rPr>
          <w:spacing w:val="-8"/>
          <w:sz w:val="15"/>
        </w:rPr>
        <w:t xml:space="preserve"> </w:t>
      </w:r>
      <w:r>
        <w:rPr>
          <w:sz w:val="15"/>
        </w:rPr>
        <w:t>net</w:t>
      </w:r>
      <w:r>
        <w:rPr>
          <w:spacing w:val="-7"/>
          <w:sz w:val="15"/>
        </w:rPr>
        <w:t xml:space="preserve"> </w:t>
      </w:r>
      <w:r>
        <w:rPr>
          <w:sz w:val="15"/>
        </w:rPr>
        <w:t>capital</w:t>
      </w:r>
      <w:r>
        <w:rPr>
          <w:spacing w:val="-8"/>
          <w:sz w:val="15"/>
        </w:rPr>
        <w:t xml:space="preserve"> </w:t>
      </w:r>
      <w:r>
        <w:rPr>
          <w:sz w:val="15"/>
        </w:rPr>
        <w:t>investment</w:t>
      </w:r>
      <w:r>
        <w:rPr>
          <w:spacing w:val="-6"/>
          <w:sz w:val="15"/>
        </w:rPr>
        <w:t xml:space="preserve"> </w:t>
      </w:r>
      <w:r>
        <w:rPr>
          <w:sz w:val="15"/>
        </w:rPr>
        <w:t>in</w:t>
      </w:r>
      <w:r>
        <w:rPr>
          <w:spacing w:val="-7"/>
          <w:sz w:val="15"/>
        </w:rPr>
        <w:t xml:space="preserve"> </w:t>
      </w:r>
      <w:r>
        <w:rPr>
          <w:sz w:val="15"/>
        </w:rPr>
        <w:t>accrual</w:t>
      </w:r>
      <w:r>
        <w:rPr>
          <w:spacing w:val="-8"/>
          <w:sz w:val="15"/>
        </w:rPr>
        <w:t xml:space="preserve"> </w:t>
      </w:r>
      <w:r>
        <w:rPr>
          <w:sz w:val="15"/>
        </w:rPr>
        <w:t>terms.</w:t>
      </w:r>
      <w:r>
        <w:rPr>
          <w:spacing w:val="21"/>
          <w:sz w:val="15"/>
        </w:rPr>
        <w:t xml:space="preserve"> </w:t>
      </w:r>
      <w:r>
        <w:rPr>
          <w:sz w:val="15"/>
        </w:rPr>
        <w:t>A</w:t>
      </w:r>
      <w:r>
        <w:rPr>
          <w:spacing w:val="-8"/>
          <w:sz w:val="15"/>
        </w:rPr>
        <w:t xml:space="preserve"> </w:t>
      </w:r>
      <w:r>
        <w:rPr>
          <w:sz w:val="15"/>
        </w:rPr>
        <w:t>positive</w:t>
      </w:r>
      <w:r>
        <w:rPr>
          <w:spacing w:val="-8"/>
          <w:sz w:val="15"/>
        </w:rPr>
        <w:t xml:space="preserve"> </w:t>
      </w:r>
      <w:r>
        <w:rPr>
          <w:spacing w:val="-3"/>
          <w:sz w:val="15"/>
        </w:rPr>
        <w:t>number</w:t>
      </w:r>
      <w:r>
        <w:rPr>
          <w:spacing w:val="-6"/>
          <w:sz w:val="15"/>
        </w:rPr>
        <w:t xml:space="preserve"> </w:t>
      </w:r>
      <w:r>
        <w:rPr>
          <w:sz w:val="15"/>
        </w:rPr>
        <w:t>for</w:t>
      </w:r>
      <w:r>
        <w:rPr>
          <w:spacing w:val="-7"/>
          <w:sz w:val="15"/>
        </w:rPr>
        <w:t xml:space="preserve"> </w:t>
      </w:r>
      <w:r>
        <w:rPr>
          <w:sz w:val="15"/>
        </w:rPr>
        <w:t xml:space="preserve">the underlying cash balance indicates an increase in receipts or a decrease in payments or net capital </w:t>
      </w:r>
      <w:r>
        <w:rPr>
          <w:spacing w:val="-3"/>
          <w:sz w:val="15"/>
        </w:rPr>
        <w:t xml:space="preserve">investment </w:t>
      </w:r>
      <w:r>
        <w:rPr>
          <w:sz w:val="15"/>
        </w:rPr>
        <w:t xml:space="preserve">in cash terms. A negative </w:t>
      </w:r>
      <w:r>
        <w:rPr>
          <w:spacing w:val="-3"/>
          <w:sz w:val="15"/>
        </w:rPr>
        <w:t xml:space="preserve">number </w:t>
      </w:r>
      <w:r>
        <w:rPr>
          <w:sz w:val="15"/>
        </w:rPr>
        <w:t>for the underlying</w:t>
      </w:r>
      <w:r>
        <w:rPr>
          <w:spacing w:val="-4"/>
          <w:sz w:val="15"/>
        </w:rPr>
        <w:t xml:space="preserve"> </w:t>
      </w:r>
      <w:r>
        <w:rPr>
          <w:sz w:val="15"/>
        </w:rPr>
        <w:t>cash</w:t>
      </w:r>
      <w:r>
        <w:rPr>
          <w:spacing w:val="-4"/>
          <w:sz w:val="15"/>
        </w:rPr>
        <w:t xml:space="preserve"> </w:t>
      </w:r>
      <w:r>
        <w:rPr>
          <w:sz w:val="15"/>
        </w:rPr>
        <w:t>balance</w:t>
      </w:r>
      <w:r>
        <w:rPr>
          <w:spacing w:val="-3"/>
          <w:sz w:val="15"/>
        </w:rPr>
        <w:t xml:space="preserve"> </w:t>
      </w:r>
      <w:r>
        <w:rPr>
          <w:sz w:val="15"/>
        </w:rPr>
        <w:t>indicates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decrease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receipts</w:t>
      </w:r>
      <w:r>
        <w:rPr>
          <w:spacing w:val="-1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an</w:t>
      </w:r>
      <w:r>
        <w:rPr>
          <w:spacing w:val="-4"/>
          <w:sz w:val="15"/>
        </w:rPr>
        <w:t xml:space="preserve"> </w:t>
      </w:r>
      <w:r>
        <w:rPr>
          <w:sz w:val="15"/>
        </w:rPr>
        <w:t>increase</w:t>
      </w:r>
      <w:r>
        <w:rPr>
          <w:spacing w:val="-3"/>
          <w:sz w:val="15"/>
        </w:rPr>
        <w:t xml:space="preserve"> </w:t>
      </w:r>
      <w:r>
        <w:rPr>
          <w:sz w:val="15"/>
        </w:rPr>
        <w:t>in</w:t>
      </w:r>
      <w:r>
        <w:rPr>
          <w:spacing w:val="-5"/>
          <w:sz w:val="15"/>
        </w:rPr>
        <w:t xml:space="preserve"> </w:t>
      </w:r>
      <w:r>
        <w:rPr>
          <w:sz w:val="15"/>
        </w:rPr>
        <w:t>payments</w:t>
      </w:r>
      <w:r>
        <w:rPr>
          <w:spacing w:val="-3"/>
          <w:sz w:val="15"/>
        </w:rPr>
        <w:t xml:space="preserve"> </w:t>
      </w:r>
      <w:r>
        <w:rPr>
          <w:sz w:val="15"/>
        </w:rPr>
        <w:t>or</w:t>
      </w:r>
      <w:r>
        <w:rPr>
          <w:spacing w:val="-4"/>
          <w:sz w:val="15"/>
        </w:rPr>
        <w:t xml:space="preserve"> </w:t>
      </w:r>
      <w:r>
        <w:rPr>
          <w:sz w:val="15"/>
        </w:rPr>
        <w:t>net</w:t>
      </w:r>
      <w:r>
        <w:rPr>
          <w:spacing w:val="-4"/>
          <w:sz w:val="15"/>
        </w:rPr>
        <w:t xml:space="preserve"> </w:t>
      </w:r>
      <w:r>
        <w:rPr>
          <w:sz w:val="15"/>
        </w:rPr>
        <w:t>capital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investment</w:t>
      </w:r>
      <w:r>
        <w:rPr>
          <w:spacing w:val="-4"/>
          <w:sz w:val="15"/>
        </w:rPr>
        <w:t xml:space="preserve"> </w:t>
      </w:r>
      <w:r>
        <w:rPr>
          <w:sz w:val="15"/>
        </w:rPr>
        <w:t>in</w:t>
      </w:r>
      <w:r>
        <w:rPr>
          <w:spacing w:val="-4"/>
          <w:sz w:val="15"/>
        </w:rPr>
        <w:t xml:space="preserve"> </w:t>
      </w:r>
      <w:r>
        <w:rPr>
          <w:sz w:val="15"/>
        </w:rPr>
        <w:t>cash</w:t>
      </w:r>
      <w:r>
        <w:rPr>
          <w:spacing w:val="-5"/>
          <w:sz w:val="15"/>
        </w:rPr>
        <w:t xml:space="preserve"> </w:t>
      </w:r>
      <w:r>
        <w:rPr>
          <w:sz w:val="15"/>
        </w:rPr>
        <w:t>terms.</w:t>
      </w:r>
    </w:p>
    <w:p w:rsidR="00000DEE" w:rsidRDefault="00197DC0">
      <w:pPr>
        <w:pStyle w:val="ListParagraph"/>
        <w:numPr>
          <w:ilvl w:val="0"/>
          <w:numId w:val="1"/>
        </w:numPr>
        <w:tabs>
          <w:tab w:val="left" w:pos="515"/>
        </w:tabs>
        <w:spacing w:before="0" w:line="182" w:lineRule="exact"/>
        <w:rPr>
          <w:sz w:val="15"/>
        </w:rPr>
      </w:pPr>
      <w:r>
        <w:rPr>
          <w:sz w:val="15"/>
        </w:rPr>
        <w:t>Figures may not sum to totals due to</w:t>
      </w:r>
      <w:r>
        <w:rPr>
          <w:spacing w:val="-10"/>
          <w:sz w:val="15"/>
        </w:rPr>
        <w:t xml:space="preserve"> </w:t>
      </w:r>
      <w:r>
        <w:rPr>
          <w:sz w:val="15"/>
        </w:rPr>
        <w:t>rounding.</w:t>
      </w:r>
    </w:p>
    <w:p w:rsidR="00000DEE" w:rsidRDefault="00197DC0">
      <w:pPr>
        <w:pStyle w:val="ListParagraph"/>
        <w:numPr>
          <w:ilvl w:val="0"/>
          <w:numId w:val="1"/>
        </w:numPr>
        <w:tabs>
          <w:tab w:val="left" w:pos="515"/>
        </w:tabs>
        <w:spacing w:line="343" w:lineRule="auto"/>
        <w:ind w:right="567"/>
        <w:rPr>
          <w:sz w:val="15"/>
        </w:rPr>
      </w:pPr>
      <w:r>
        <w:rPr>
          <w:sz w:val="15"/>
        </w:rPr>
        <w:t xml:space="preserve">Quintiles are based on all individuals who have lodged a personal income tax return, irrespective of their net tax amount. Refer to </w:t>
      </w:r>
      <w:r>
        <w:rPr>
          <w:sz w:val="15"/>
          <w:u w:val="single"/>
        </w:rPr>
        <w:t>Attachment B</w:t>
      </w:r>
      <w:r>
        <w:rPr>
          <w:sz w:val="15"/>
        </w:rPr>
        <w:t xml:space="preserve"> for the taxable income range for each</w:t>
      </w:r>
      <w:r>
        <w:rPr>
          <w:spacing w:val="-9"/>
          <w:sz w:val="15"/>
        </w:rPr>
        <w:t xml:space="preserve"> </w:t>
      </w:r>
      <w:r>
        <w:rPr>
          <w:sz w:val="15"/>
        </w:rPr>
        <w:t>quintile.</w:t>
      </w:r>
    </w:p>
    <w:p w:rsidR="00000DEE" w:rsidRDefault="00197DC0">
      <w:pPr>
        <w:tabs>
          <w:tab w:val="left" w:pos="514"/>
        </w:tabs>
        <w:spacing w:line="180" w:lineRule="exact"/>
        <w:ind w:left="231"/>
        <w:rPr>
          <w:sz w:val="15"/>
        </w:rPr>
      </w:pPr>
      <w:r>
        <w:rPr>
          <w:sz w:val="15"/>
        </w:rPr>
        <w:t>..</w:t>
      </w:r>
      <w:r>
        <w:rPr>
          <w:sz w:val="15"/>
        </w:rPr>
        <w:tab/>
        <w:t>Not zero but rounded to</w:t>
      </w:r>
      <w:r>
        <w:rPr>
          <w:spacing w:val="-6"/>
          <w:sz w:val="15"/>
        </w:rPr>
        <w:t xml:space="preserve"> </w:t>
      </w:r>
      <w:r>
        <w:rPr>
          <w:sz w:val="15"/>
        </w:rPr>
        <w:t>zero.</w:t>
      </w:r>
    </w:p>
    <w:p w:rsidR="00000DEE" w:rsidRDefault="00197DC0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rPr>
          <w:sz w:val="15"/>
        </w:rPr>
      </w:pPr>
      <w:r>
        <w:rPr>
          <w:sz w:val="15"/>
        </w:rPr>
        <w:t>Indicates</w:t>
      </w:r>
      <w:r>
        <w:rPr>
          <w:spacing w:val="-1"/>
          <w:sz w:val="15"/>
        </w:rPr>
        <w:t xml:space="preserve"> </w:t>
      </w:r>
      <w:r>
        <w:rPr>
          <w:sz w:val="15"/>
        </w:rPr>
        <w:t>nil.</w:t>
      </w:r>
    </w:p>
    <w:p w:rsidR="00000DEE" w:rsidRDefault="00000DEE">
      <w:pPr>
        <w:pStyle w:val="BodyText"/>
        <w:rPr>
          <w:sz w:val="14"/>
        </w:rPr>
      </w:pPr>
    </w:p>
    <w:p w:rsidR="00000DEE" w:rsidRDefault="00000DEE">
      <w:pPr>
        <w:pStyle w:val="BodyText"/>
        <w:spacing w:before="3"/>
        <w:rPr>
          <w:sz w:val="18"/>
        </w:rPr>
      </w:pPr>
    </w:p>
    <w:p w:rsidR="00000DEE" w:rsidRDefault="00197DC0">
      <w:pPr>
        <w:pStyle w:val="Heading3"/>
        <w:spacing w:line="268" w:lineRule="auto"/>
        <w:ind w:left="231" w:right="400" w:hanging="1"/>
      </w:pPr>
      <w:r>
        <w:rPr>
          <w:color w:val="3C4D7C"/>
          <w:spacing w:val="-4"/>
        </w:rPr>
        <w:t xml:space="preserve">Table </w:t>
      </w:r>
      <w:r>
        <w:rPr>
          <w:color w:val="3C4D7C"/>
          <w:spacing w:val="-3"/>
        </w:rPr>
        <w:t xml:space="preserve">A3: </w:t>
      </w:r>
      <w:r>
        <w:rPr>
          <w:color w:val="3C4D7C"/>
          <w:spacing w:val="-4"/>
        </w:rPr>
        <w:t xml:space="preserve">Loss </w:t>
      </w:r>
      <w:r>
        <w:rPr>
          <w:color w:val="3C4D7C"/>
          <w:spacing w:val="-3"/>
        </w:rPr>
        <w:t xml:space="preserve">of </w:t>
      </w:r>
      <w:r>
        <w:rPr>
          <w:color w:val="3C4D7C"/>
          <w:spacing w:val="-4"/>
        </w:rPr>
        <w:t xml:space="preserve">public </w:t>
      </w:r>
      <w:r>
        <w:rPr>
          <w:color w:val="3C4D7C"/>
          <w:spacing w:val="-5"/>
        </w:rPr>
        <w:t xml:space="preserve">revenue </w:t>
      </w:r>
      <w:r>
        <w:rPr>
          <w:color w:val="3C4D7C"/>
          <w:spacing w:val="-4"/>
        </w:rPr>
        <w:t xml:space="preserve">and </w:t>
      </w:r>
      <w:r>
        <w:rPr>
          <w:color w:val="3C4D7C"/>
        </w:rPr>
        <w:t xml:space="preserve">a </w:t>
      </w:r>
      <w:r>
        <w:rPr>
          <w:color w:val="3C4D7C"/>
          <w:spacing w:val="-5"/>
        </w:rPr>
        <w:t xml:space="preserve">distributional analysis </w:t>
      </w:r>
      <w:r>
        <w:rPr>
          <w:color w:val="3C4D7C"/>
          <w:spacing w:val="-3"/>
        </w:rPr>
        <w:t xml:space="preserve">of the tax </w:t>
      </w:r>
      <w:r>
        <w:rPr>
          <w:color w:val="3C4D7C"/>
          <w:spacing w:val="-4"/>
        </w:rPr>
        <w:t xml:space="preserve">cuts </w:t>
      </w:r>
      <w:r>
        <w:rPr>
          <w:color w:val="3C4D7C"/>
          <w:spacing w:val="-5"/>
        </w:rPr>
        <w:t xml:space="preserve">packages </w:t>
      </w:r>
      <w:r>
        <w:rPr>
          <w:color w:val="3C4D7C"/>
        </w:rPr>
        <w:t xml:space="preserve">– </w:t>
      </w:r>
      <w:r>
        <w:rPr>
          <w:color w:val="3C4D7C"/>
          <w:spacing w:val="-5"/>
        </w:rPr>
        <w:t xml:space="preserve">Percentage </w:t>
      </w:r>
      <w:r>
        <w:rPr>
          <w:color w:val="3C4D7C"/>
        </w:rPr>
        <w:t xml:space="preserve">of </w:t>
      </w:r>
      <w:r>
        <w:rPr>
          <w:color w:val="3C4D7C"/>
          <w:spacing w:val="-4"/>
        </w:rPr>
        <w:t xml:space="preserve">total cost </w:t>
      </w:r>
      <w:r>
        <w:rPr>
          <w:color w:val="3C4D7C"/>
          <w:spacing w:val="-3"/>
        </w:rPr>
        <w:t xml:space="preserve">by </w:t>
      </w:r>
      <w:r>
        <w:rPr>
          <w:color w:val="3C4D7C"/>
          <w:spacing w:val="-5"/>
        </w:rPr>
        <w:t>quintile</w:t>
      </w:r>
      <w:r>
        <w:rPr>
          <w:color w:val="3C4D7C"/>
          <w:spacing w:val="-5"/>
          <w:vertAlign w:val="superscript"/>
        </w:rPr>
        <w:t>(a)</w:t>
      </w:r>
    </w:p>
    <w:p w:rsidR="00000DEE" w:rsidRDefault="00000DEE">
      <w:pPr>
        <w:pStyle w:val="BodyText"/>
        <w:spacing w:before="3"/>
        <w:rPr>
          <w:b/>
          <w:sz w:val="7"/>
        </w:rPr>
      </w:pPr>
    </w:p>
    <w:tbl>
      <w:tblPr>
        <w:tblW w:w="0" w:type="auto"/>
        <w:tblInd w:w="133" w:type="dxa"/>
        <w:tblBorders>
          <w:top w:val="single" w:sz="8" w:space="0" w:color="788183"/>
          <w:left w:val="single" w:sz="8" w:space="0" w:color="788183"/>
          <w:bottom w:val="single" w:sz="8" w:space="0" w:color="788183"/>
          <w:right w:val="single" w:sz="8" w:space="0" w:color="788183"/>
          <w:insideH w:val="single" w:sz="8" w:space="0" w:color="788183"/>
          <w:insideV w:val="single" w:sz="8" w:space="0" w:color="78818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595"/>
        <w:gridCol w:w="595"/>
        <w:gridCol w:w="595"/>
        <w:gridCol w:w="595"/>
        <w:gridCol w:w="595"/>
        <w:gridCol w:w="597"/>
        <w:gridCol w:w="597"/>
        <w:gridCol w:w="595"/>
        <w:gridCol w:w="597"/>
        <w:gridCol w:w="595"/>
        <w:gridCol w:w="597"/>
        <w:gridCol w:w="595"/>
        <w:gridCol w:w="595"/>
        <w:gridCol w:w="597"/>
        <w:gridCol w:w="727"/>
      </w:tblGrid>
      <w:tr w:rsidR="00000DEE">
        <w:trPr>
          <w:trHeight w:val="505"/>
        </w:trPr>
        <w:tc>
          <w:tcPr>
            <w:tcW w:w="1025" w:type="dxa"/>
            <w:shd w:val="clear" w:color="auto" w:fill="A7B1D3"/>
          </w:tcPr>
          <w:p w:rsidR="00000DEE" w:rsidRDefault="00000DE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0" w:right="3"/>
              <w:jc w:val="center"/>
              <w:rPr>
                <w:sz w:val="15"/>
              </w:rPr>
            </w:pPr>
            <w:r>
              <w:rPr>
                <w:sz w:val="15"/>
              </w:rPr>
              <w:t>2017–</w:t>
            </w:r>
          </w:p>
          <w:p w:rsidR="00000DEE" w:rsidRDefault="00197DC0">
            <w:pPr>
              <w:pStyle w:val="TableParagraph"/>
              <w:spacing w:before="1"/>
              <w:ind w:left="138" w:right="4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0" w:right="3"/>
              <w:jc w:val="center"/>
              <w:rPr>
                <w:sz w:val="15"/>
              </w:rPr>
            </w:pPr>
            <w:r>
              <w:rPr>
                <w:sz w:val="15"/>
              </w:rPr>
              <w:t>2018–</w:t>
            </w:r>
          </w:p>
          <w:p w:rsidR="00000DEE" w:rsidRDefault="00197DC0">
            <w:pPr>
              <w:pStyle w:val="TableParagraph"/>
              <w:spacing w:before="1"/>
              <w:ind w:left="138" w:right="4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0" w:right="2"/>
              <w:jc w:val="center"/>
              <w:rPr>
                <w:sz w:val="15"/>
              </w:rPr>
            </w:pPr>
            <w:r>
              <w:rPr>
                <w:sz w:val="15"/>
              </w:rPr>
              <w:t>2019–</w:t>
            </w:r>
          </w:p>
          <w:p w:rsidR="00000DEE" w:rsidRDefault="00197DC0">
            <w:pPr>
              <w:pStyle w:val="TableParagraph"/>
              <w:spacing w:before="1"/>
              <w:ind w:left="139" w:right="4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0" w:right="2"/>
              <w:jc w:val="center"/>
              <w:rPr>
                <w:sz w:val="15"/>
              </w:rPr>
            </w:pPr>
            <w:r>
              <w:rPr>
                <w:sz w:val="15"/>
              </w:rPr>
              <w:t>2020–</w:t>
            </w:r>
          </w:p>
          <w:p w:rsidR="00000DEE" w:rsidRDefault="00197DC0">
            <w:pPr>
              <w:pStyle w:val="TableParagraph"/>
              <w:spacing w:before="1"/>
              <w:ind w:left="139" w:right="4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0" w:right="1"/>
              <w:jc w:val="center"/>
              <w:rPr>
                <w:sz w:val="15"/>
              </w:rPr>
            </w:pPr>
            <w:r>
              <w:rPr>
                <w:sz w:val="15"/>
              </w:rPr>
              <w:t>2021–</w:t>
            </w:r>
          </w:p>
          <w:p w:rsidR="00000DEE" w:rsidRDefault="00197DC0">
            <w:pPr>
              <w:pStyle w:val="TableParagraph"/>
              <w:spacing w:before="1"/>
              <w:ind w:left="14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left="147" w:right="5"/>
              <w:jc w:val="center"/>
              <w:rPr>
                <w:sz w:val="15"/>
              </w:rPr>
            </w:pPr>
            <w:r>
              <w:rPr>
                <w:sz w:val="15"/>
              </w:rPr>
              <w:t>2022–</w:t>
            </w:r>
          </w:p>
          <w:p w:rsidR="00000DEE" w:rsidRDefault="00197DC0">
            <w:pPr>
              <w:pStyle w:val="TableParagraph"/>
              <w:spacing w:before="1"/>
              <w:ind w:left="144" w:right="5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left="148" w:right="5"/>
              <w:jc w:val="center"/>
              <w:rPr>
                <w:sz w:val="15"/>
              </w:rPr>
            </w:pPr>
            <w:r>
              <w:rPr>
                <w:sz w:val="15"/>
              </w:rPr>
              <w:t>2023–</w:t>
            </w:r>
          </w:p>
          <w:p w:rsidR="00000DEE" w:rsidRDefault="00197DC0">
            <w:pPr>
              <w:pStyle w:val="TableParagraph"/>
              <w:spacing w:before="1"/>
              <w:ind w:left="149" w:right="4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5" w:right="4"/>
              <w:jc w:val="center"/>
              <w:rPr>
                <w:sz w:val="15"/>
              </w:rPr>
            </w:pPr>
            <w:r>
              <w:rPr>
                <w:sz w:val="15"/>
              </w:rPr>
              <w:t>2024–</w:t>
            </w:r>
          </w:p>
          <w:p w:rsidR="00000DEE" w:rsidRDefault="00197DC0">
            <w:pPr>
              <w:pStyle w:val="TableParagraph"/>
              <w:spacing w:before="1"/>
              <w:ind w:left="147" w:right="4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left="149" w:right="4"/>
              <w:jc w:val="center"/>
              <w:rPr>
                <w:sz w:val="15"/>
              </w:rPr>
            </w:pPr>
            <w:r>
              <w:rPr>
                <w:sz w:val="15"/>
              </w:rPr>
              <w:t>2025–</w:t>
            </w:r>
          </w:p>
          <w:p w:rsidR="00000DEE" w:rsidRDefault="00197DC0">
            <w:pPr>
              <w:pStyle w:val="TableParagraph"/>
              <w:spacing w:before="1"/>
              <w:ind w:left="146" w:right="5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7" w:right="4"/>
              <w:jc w:val="center"/>
              <w:rPr>
                <w:sz w:val="15"/>
              </w:rPr>
            </w:pPr>
            <w:r>
              <w:rPr>
                <w:sz w:val="15"/>
              </w:rPr>
              <w:t>2026–</w:t>
            </w:r>
          </w:p>
          <w:p w:rsidR="00000DEE" w:rsidRDefault="00197DC0">
            <w:pPr>
              <w:pStyle w:val="TableParagraph"/>
              <w:spacing w:before="1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left="149" w:right="3"/>
              <w:jc w:val="center"/>
              <w:rPr>
                <w:sz w:val="15"/>
              </w:rPr>
            </w:pPr>
            <w:r>
              <w:rPr>
                <w:sz w:val="15"/>
              </w:rPr>
              <w:t>2027–</w:t>
            </w:r>
          </w:p>
          <w:p w:rsidR="00000DEE" w:rsidRDefault="00197DC0">
            <w:pPr>
              <w:pStyle w:val="TableParagraph"/>
              <w:spacing w:before="1"/>
              <w:ind w:left="149" w:right="1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2028–</w:t>
            </w:r>
          </w:p>
          <w:p w:rsidR="00000DEE" w:rsidRDefault="00197DC0">
            <w:pPr>
              <w:pStyle w:val="TableParagraph"/>
              <w:spacing w:before="1"/>
              <w:ind w:left="148" w:right="2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left="148" w:right="3"/>
              <w:jc w:val="center"/>
              <w:rPr>
                <w:sz w:val="15"/>
              </w:rPr>
            </w:pPr>
            <w:r>
              <w:rPr>
                <w:sz w:val="15"/>
              </w:rPr>
              <w:t>2029–</w:t>
            </w:r>
          </w:p>
          <w:p w:rsidR="00000DEE" w:rsidRDefault="00197DC0">
            <w:pPr>
              <w:pStyle w:val="TableParagraph"/>
              <w:spacing w:before="1"/>
              <w:ind w:left="148" w:right="1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left="149" w:right="1"/>
              <w:jc w:val="center"/>
              <w:rPr>
                <w:sz w:val="15"/>
              </w:rPr>
            </w:pPr>
            <w:r>
              <w:rPr>
                <w:sz w:val="15"/>
              </w:rPr>
              <w:t>2030–</w:t>
            </w:r>
          </w:p>
          <w:p w:rsidR="00000DEE" w:rsidRDefault="00197DC0">
            <w:pPr>
              <w:pStyle w:val="TableParagraph"/>
              <w:spacing w:before="1"/>
              <w:ind w:left="155" w:right="5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727" w:type="dxa"/>
            <w:shd w:val="clear" w:color="auto" w:fill="A7B1D3"/>
          </w:tcPr>
          <w:p w:rsidR="00000DEE" w:rsidRDefault="00197DC0">
            <w:pPr>
              <w:pStyle w:val="TableParagraph"/>
              <w:ind w:left="150" w:right="6" w:firstLine="4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 to 2030–31</w:t>
            </w:r>
          </w:p>
        </w:tc>
      </w:tr>
      <w:tr w:rsidR="00000DEE">
        <w:trPr>
          <w:trHeight w:val="323"/>
        </w:trPr>
        <w:tc>
          <w:tcPr>
            <w:tcW w:w="10092" w:type="dxa"/>
            <w:gridSpan w:val="16"/>
            <w:shd w:val="clear" w:color="auto" w:fill="D2D7E9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Percentage of cost of total personal income tax plan by taxable income quintile (%)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1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0.1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0.1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0.1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0.2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0.2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0.2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0.2</w:t>
            </w:r>
          </w:p>
        </w:tc>
        <w:tc>
          <w:tcPr>
            <w:tcW w:w="727" w:type="dxa"/>
          </w:tcPr>
          <w:p w:rsidR="00000DEE" w:rsidRDefault="00197DC0">
            <w:pPr>
              <w:pStyle w:val="TableParagraph"/>
              <w:ind w:right="2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0.1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7.5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5.0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4.4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4.5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4.7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2.8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2.8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3.1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3.5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3.7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4.1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4.1</w:t>
            </w:r>
          </w:p>
        </w:tc>
        <w:tc>
          <w:tcPr>
            <w:tcW w:w="727" w:type="dxa"/>
          </w:tcPr>
          <w:p w:rsidR="00000DEE" w:rsidRDefault="00197DC0">
            <w:pPr>
              <w:pStyle w:val="TableParagraph"/>
              <w:ind w:right="2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3.8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3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0.0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32.6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28.5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24.9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22.0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21.9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12.9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12.6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12.5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12.3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12.2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12.0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12.0</w:t>
            </w:r>
          </w:p>
        </w:tc>
        <w:tc>
          <w:tcPr>
            <w:tcW w:w="727" w:type="dxa"/>
          </w:tcPr>
          <w:p w:rsidR="00000DEE" w:rsidRDefault="00197DC0">
            <w:pPr>
              <w:pStyle w:val="TableParagraph"/>
              <w:ind w:right="2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15.3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4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0.6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40.6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34.7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31.1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25.2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24.2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20.2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20.1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20.1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20.4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20.6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21.1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21.1</w:t>
            </w:r>
          </w:p>
        </w:tc>
        <w:tc>
          <w:tcPr>
            <w:tcW w:w="727" w:type="dxa"/>
          </w:tcPr>
          <w:p w:rsidR="00000DEE" w:rsidRDefault="00197DC0">
            <w:pPr>
              <w:pStyle w:val="TableParagraph"/>
              <w:ind w:right="2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22.8</w:t>
            </w:r>
          </w:p>
        </w:tc>
      </w:tr>
      <w:tr w:rsidR="00000DEE">
        <w:trPr>
          <w:trHeight w:val="323"/>
        </w:trPr>
        <w:tc>
          <w:tcPr>
            <w:tcW w:w="1025" w:type="dxa"/>
          </w:tcPr>
          <w:p w:rsidR="00000DEE" w:rsidRDefault="00197DC0">
            <w:pPr>
              <w:pStyle w:val="TableParagraph"/>
              <w:ind w:left="50"/>
              <w:jc w:val="left"/>
              <w:rPr>
                <w:i/>
                <w:sz w:val="15"/>
              </w:rPr>
            </w:pPr>
            <w:r>
              <w:rPr>
                <w:i/>
                <w:sz w:val="15"/>
              </w:rPr>
              <w:t>Quintile 5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8"/>
              <w:rPr>
                <w:i/>
                <w:sz w:val="15"/>
              </w:rPr>
            </w:pPr>
            <w:r>
              <w:rPr>
                <w:i/>
                <w:sz w:val="15"/>
              </w:rPr>
              <w:t>-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99.4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6"/>
              <w:rPr>
                <w:i/>
                <w:sz w:val="15"/>
              </w:rPr>
            </w:pPr>
            <w:r>
              <w:rPr>
                <w:i/>
                <w:sz w:val="15"/>
              </w:rPr>
              <w:t>19.3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31.7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39.6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5"/>
              <w:rPr>
                <w:i/>
                <w:sz w:val="15"/>
              </w:rPr>
            </w:pPr>
            <w:r>
              <w:rPr>
                <w:i/>
                <w:sz w:val="15"/>
              </w:rPr>
              <w:t>48.3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49.2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4"/>
              <w:rPr>
                <w:i/>
                <w:sz w:val="15"/>
              </w:rPr>
            </w:pPr>
            <w:r>
              <w:rPr>
                <w:i/>
                <w:sz w:val="15"/>
              </w:rPr>
              <w:t>64.0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64.4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3"/>
              <w:rPr>
                <w:i/>
                <w:sz w:val="15"/>
              </w:rPr>
            </w:pPr>
            <w:r>
              <w:rPr>
                <w:i/>
                <w:sz w:val="15"/>
              </w:rPr>
              <w:t>64.1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63.6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63.2</w:t>
            </w:r>
          </w:p>
        </w:tc>
        <w:tc>
          <w:tcPr>
            <w:tcW w:w="595" w:type="dxa"/>
          </w:tcPr>
          <w:p w:rsidR="00000DEE" w:rsidRDefault="00197DC0">
            <w:pPr>
              <w:pStyle w:val="TableParagraph"/>
              <w:ind w:right="22"/>
              <w:rPr>
                <w:i/>
                <w:sz w:val="15"/>
              </w:rPr>
            </w:pPr>
            <w:r>
              <w:rPr>
                <w:i/>
                <w:sz w:val="15"/>
              </w:rPr>
              <w:t>62.6</w:t>
            </w:r>
          </w:p>
        </w:tc>
        <w:tc>
          <w:tcPr>
            <w:tcW w:w="597" w:type="dxa"/>
          </w:tcPr>
          <w:p w:rsidR="00000DEE" w:rsidRDefault="00197DC0">
            <w:pPr>
              <w:pStyle w:val="TableParagraph"/>
              <w:ind w:right="21"/>
              <w:rPr>
                <w:i/>
                <w:sz w:val="15"/>
              </w:rPr>
            </w:pPr>
            <w:r>
              <w:rPr>
                <w:i/>
                <w:sz w:val="15"/>
              </w:rPr>
              <w:t>62.6</w:t>
            </w:r>
          </w:p>
        </w:tc>
        <w:tc>
          <w:tcPr>
            <w:tcW w:w="727" w:type="dxa"/>
          </w:tcPr>
          <w:p w:rsidR="00000DEE" w:rsidRDefault="00197DC0">
            <w:pPr>
              <w:pStyle w:val="TableParagraph"/>
              <w:ind w:right="21"/>
              <w:rPr>
                <w:b/>
                <w:i/>
                <w:sz w:val="15"/>
              </w:rPr>
            </w:pPr>
            <w:r>
              <w:rPr>
                <w:b/>
                <w:i/>
                <w:sz w:val="15"/>
              </w:rPr>
              <w:t>57.9</w:t>
            </w:r>
          </w:p>
        </w:tc>
      </w:tr>
      <w:tr w:rsidR="00000DEE">
        <w:trPr>
          <w:trHeight w:val="323"/>
        </w:trPr>
        <w:tc>
          <w:tcPr>
            <w:tcW w:w="1025" w:type="dxa"/>
            <w:shd w:val="clear" w:color="auto" w:fill="A7B1D3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Total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8"/>
              <w:rPr>
                <w:b/>
                <w:sz w:val="15"/>
              </w:rPr>
            </w:pPr>
            <w:r>
              <w:rPr>
                <w:b/>
                <w:sz w:val="15"/>
              </w:rPr>
              <w:t>-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6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5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4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3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5" w:type="dxa"/>
            <w:shd w:val="clear" w:color="auto" w:fill="A7B1D3"/>
          </w:tcPr>
          <w:p w:rsidR="00000DEE" w:rsidRDefault="00197DC0">
            <w:pPr>
              <w:pStyle w:val="TableParagraph"/>
              <w:ind w:right="22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597" w:type="dxa"/>
            <w:shd w:val="clear" w:color="auto" w:fill="A7B1D3"/>
          </w:tcPr>
          <w:p w:rsidR="00000DEE" w:rsidRDefault="00197DC0">
            <w:pPr>
              <w:pStyle w:val="TableParagraph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  <w:tc>
          <w:tcPr>
            <w:tcW w:w="727" w:type="dxa"/>
            <w:shd w:val="clear" w:color="auto" w:fill="A7B1D3"/>
          </w:tcPr>
          <w:p w:rsidR="00000DEE" w:rsidRDefault="00197DC0">
            <w:pPr>
              <w:pStyle w:val="TableParagraph"/>
              <w:ind w:right="21"/>
              <w:rPr>
                <w:b/>
                <w:sz w:val="15"/>
              </w:rPr>
            </w:pPr>
            <w:r>
              <w:rPr>
                <w:b/>
                <w:sz w:val="15"/>
              </w:rPr>
              <w:t>100.0</w:t>
            </w:r>
          </w:p>
        </w:tc>
      </w:tr>
    </w:tbl>
    <w:p w:rsidR="00000DEE" w:rsidRDefault="00197DC0" w:rsidP="00AC456D">
      <w:pPr>
        <w:tabs>
          <w:tab w:val="left" w:pos="567"/>
        </w:tabs>
        <w:spacing w:before="75" w:line="340" w:lineRule="auto"/>
        <w:ind w:left="514" w:right="635" w:hanging="284"/>
        <w:rPr>
          <w:sz w:val="15"/>
        </w:rPr>
      </w:pPr>
      <w:r>
        <w:rPr>
          <w:sz w:val="15"/>
        </w:rPr>
        <w:t xml:space="preserve">(a) </w:t>
      </w:r>
      <w:r w:rsidR="00AC456D">
        <w:rPr>
          <w:sz w:val="15"/>
        </w:rPr>
        <w:t xml:space="preserve">  </w:t>
      </w:r>
      <w:r w:rsidR="00AC456D">
        <w:rPr>
          <w:sz w:val="15"/>
        </w:rPr>
        <w:tab/>
      </w:r>
      <w:r>
        <w:rPr>
          <w:sz w:val="15"/>
        </w:rPr>
        <w:t xml:space="preserve">Quintiles are based on all individuals who have lodged a personal income tax return, irrespective of their net tax amount. Refer to </w:t>
      </w:r>
      <w:r>
        <w:rPr>
          <w:sz w:val="15"/>
          <w:u w:val="single"/>
        </w:rPr>
        <w:t>Attachment B</w:t>
      </w:r>
      <w:r>
        <w:rPr>
          <w:sz w:val="15"/>
        </w:rPr>
        <w:t xml:space="preserve"> for the taxable income range for each quintile.</w:t>
      </w:r>
    </w:p>
    <w:p w:rsidR="00000DEE" w:rsidRDefault="00197DC0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1"/>
        <w:rPr>
          <w:sz w:val="15"/>
        </w:rPr>
      </w:pPr>
      <w:r>
        <w:rPr>
          <w:sz w:val="15"/>
        </w:rPr>
        <w:t>Indicates</w:t>
      </w:r>
      <w:r>
        <w:rPr>
          <w:spacing w:val="-1"/>
          <w:sz w:val="15"/>
        </w:rPr>
        <w:t xml:space="preserve"> </w:t>
      </w:r>
      <w:r>
        <w:rPr>
          <w:sz w:val="15"/>
        </w:rPr>
        <w:t>nil.</w:t>
      </w:r>
    </w:p>
    <w:p w:rsidR="00000DEE" w:rsidRDefault="00000DEE">
      <w:pPr>
        <w:rPr>
          <w:sz w:val="15"/>
        </w:rPr>
        <w:sectPr w:rsidR="00000DEE">
          <w:pgSz w:w="11910" w:h="16840"/>
          <w:pgMar w:top="1100" w:right="800" w:bottom="800" w:left="760" w:header="596" w:footer="620" w:gutter="0"/>
          <w:cols w:space="720"/>
        </w:sectPr>
      </w:pPr>
    </w:p>
    <w:p w:rsidR="00000DEE" w:rsidRDefault="00197DC0">
      <w:pPr>
        <w:pStyle w:val="Heading1"/>
        <w:spacing w:before="29"/>
        <w:ind w:left="231"/>
      </w:pPr>
      <w:r>
        <w:rPr>
          <w:color w:val="3C4D7C"/>
        </w:rPr>
        <w:lastRenderedPageBreak/>
        <w:t>Attachment B – Loss of public revenue and a distributional analysis of the tax cut packages – taxable income range by quintile</w:t>
      </w:r>
      <w:r>
        <w:rPr>
          <w:color w:val="3C4D7C"/>
          <w:vertAlign w:val="superscript"/>
        </w:rPr>
        <w:t>(a)</w:t>
      </w:r>
    </w:p>
    <w:p w:rsidR="00000DEE" w:rsidRDefault="00000DEE">
      <w:pPr>
        <w:pStyle w:val="BodyText"/>
        <w:rPr>
          <w:sz w:val="20"/>
        </w:rPr>
      </w:pPr>
    </w:p>
    <w:p w:rsidR="00000DEE" w:rsidRDefault="00000DEE">
      <w:pPr>
        <w:pStyle w:val="BodyText"/>
        <w:spacing w:before="5"/>
        <w:rPr>
          <w:sz w:val="1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644"/>
        <w:gridCol w:w="1644"/>
        <w:gridCol w:w="1644"/>
        <w:gridCol w:w="1644"/>
        <w:gridCol w:w="1644"/>
      </w:tblGrid>
      <w:tr w:rsidR="00000DEE">
        <w:trPr>
          <w:trHeight w:val="530"/>
        </w:trPr>
        <w:tc>
          <w:tcPr>
            <w:tcW w:w="1586" w:type="dxa"/>
            <w:shd w:val="clear" w:color="auto" w:fill="A7B1D3"/>
          </w:tcPr>
          <w:p w:rsidR="00000DEE" w:rsidRDefault="00197DC0">
            <w:pPr>
              <w:pStyle w:val="TableParagraph"/>
              <w:ind w:left="5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Taxable income range ($)</w:t>
            </w:r>
          </w:p>
        </w:tc>
        <w:tc>
          <w:tcPr>
            <w:tcW w:w="1644" w:type="dxa"/>
            <w:shd w:val="clear" w:color="auto" w:fill="A7B1D3"/>
          </w:tcPr>
          <w:p w:rsidR="00000DEE" w:rsidRDefault="00000DEE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Quintile 1</w:t>
            </w:r>
          </w:p>
        </w:tc>
        <w:tc>
          <w:tcPr>
            <w:tcW w:w="1644" w:type="dxa"/>
            <w:shd w:val="clear" w:color="auto" w:fill="A7B1D3"/>
          </w:tcPr>
          <w:p w:rsidR="00000DEE" w:rsidRDefault="00000DEE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Quintile 2</w:t>
            </w:r>
          </w:p>
        </w:tc>
        <w:tc>
          <w:tcPr>
            <w:tcW w:w="1644" w:type="dxa"/>
            <w:shd w:val="clear" w:color="auto" w:fill="A7B1D3"/>
          </w:tcPr>
          <w:p w:rsidR="00000DEE" w:rsidRDefault="00000DEE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left="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Quintile 3</w:t>
            </w:r>
          </w:p>
        </w:tc>
        <w:tc>
          <w:tcPr>
            <w:tcW w:w="1644" w:type="dxa"/>
            <w:shd w:val="clear" w:color="auto" w:fill="A7B1D3"/>
          </w:tcPr>
          <w:p w:rsidR="00000DEE" w:rsidRDefault="00000DEE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Quintile 4</w:t>
            </w:r>
          </w:p>
        </w:tc>
        <w:tc>
          <w:tcPr>
            <w:tcW w:w="1644" w:type="dxa"/>
            <w:shd w:val="clear" w:color="auto" w:fill="A7B1D3"/>
          </w:tcPr>
          <w:p w:rsidR="00000DEE" w:rsidRDefault="00000DEE">
            <w:pPr>
              <w:pStyle w:val="TableParagraph"/>
              <w:spacing w:before="7"/>
              <w:jc w:val="left"/>
              <w:rPr>
                <w:sz w:val="13"/>
              </w:rPr>
            </w:pPr>
          </w:p>
          <w:p w:rsidR="00000DEE" w:rsidRDefault="00197DC0">
            <w:pPr>
              <w:pStyle w:val="TableParagraph"/>
              <w:spacing w:before="1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Quintile 5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2017-18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$19,600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$19,600 to $37,100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$37,100 to $56,400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$56,400 to $86,500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$86,500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2018-19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$20,200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$20,200 to $38,000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$38,000 to $57,600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$57,600 to $88,200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$88,200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2019-20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$20,300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$20,300 to $38,300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$38,300 to $58,300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$58,300 to $89,300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$89,300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2020-21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$19,600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$19,600 to $37,100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$37,100 to $56,500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$56,500 to $86,600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$86,600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2021-22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$19,600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$19,600 to $37,200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$37,200 to $56,600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$56,600 to $86,900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$86,900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2022-23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$20,000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$20,000 to $38,100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$38,100 to $57,800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$57,800 to $88,900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$88,900</w:t>
            </w:r>
          </w:p>
        </w:tc>
      </w:tr>
      <w:tr w:rsidR="00000DEE">
        <w:trPr>
          <w:trHeight w:val="333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2023-24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$20,500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$20,500 to $39,100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$39,100 to $59,300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$59,300 to $91,300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$91,300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spacing w:before="70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2024-25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$21,200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$21,200 to $40,400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$40,400 to $61,300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$61,300 to $94,400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spacing w:before="70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$94,400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2025-26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$21,800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$21,800 to $41,500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$41,500 to $63,000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$63,000 to $97,200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$97,200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2026-27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$22,600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$22,600 to $43,100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$43,100 to $65,600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$65,600 to $101,200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$101,200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2027-28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$23,500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$23,500 to $45,000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$45,000 to $68,600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$68,600 to $105,900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$105,900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2028-29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$24,300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$24,300 to $46,500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$46,500 to $71,000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$71,000 to $109,600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$109,600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2029-30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$25,300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$25,300 to $48,400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$48,400 to $73,800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$73,800 to $114,100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$114,100</w:t>
            </w:r>
          </w:p>
        </w:tc>
      </w:tr>
      <w:tr w:rsidR="00000DEE">
        <w:trPr>
          <w:trHeight w:val="335"/>
        </w:trPr>
        <w:tc>
          <w:tcPr>
            <w:tcW w:w="1586" w:type="dxa"/>
          </w:tcPr>
          <w:p w:rsidR="00000DEE" w:rsidRDefault="00197DC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z w:val="16"/>
              </w:rPr>
              <w:t>2030-31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Less than $26,300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$26,300 to $50,400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$50,400 to $76,700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$76,700 to $118,800</w:t>
            </w:r>
          </w:p>
        </w:tc>
        <w:tc>
          <w:tcPr>
            <w:tcW w:w="1644" w:type="dxa"/>
          </w:tcPr>
          <w:p w:rsidR="00000DEE" w:rsidRDefault="00197DC0">
            <w:pPr>
              <w:pStyle w:val="TableParagraph"/>
              <w:ind w:left="52"/>
              <w:jc w:val="left"/>
              <w:rPr>
                <w:sz w:val="16"/>
              </w:rPr>
            </w:pPr>
            <w:r>
              <w:rPr>
                <w:sz w:val="16"/>
              </w:rPr>
              <w:t>Greater than $118,800</w:t>
            </w:r>
          </w:p>
        </w:tc>
      </w:tr>
    </w:tbl>
    <w:p w:rsidR="00000DEE" w:rsidRDefault="00197DC0" w:rsidP="00D31487">
      <w:pPr>
        <w:spacing w:before="63"/>
        <w:ind w:left="516" w:hanging="284"/>
        <w:rPr>
          <w:sz w:val="16"/>
        </w:rPr>
      </w:pPr>
      <w:r>
        <w:rPr>
          <w:sz w:val="16"/>
        </w:rPr>
        <w:t xml:space="preserve">(a) </w:t>
      </w:r>
      <w:r w:rsidR="00D31487">
        <w:rPr>
          <w:sz w:val="16"/>
        </w:rPr>
        <w:tab/>
      </w:r>
      <w:r>
        <w:rPr>
          <w:sz w:val="16"/>
        </w:rPr>
        <w:t>Quintiles are based on all individuals who have lodged a personal income tax return, irrespective of their net tax amount.</w:t>
      </w:r>
    </w:p>
    <w:sectPr w:rsidR="00000DEE">
      <w:pgSz w:w="11910" w:h="16840"/>
      <w:pgMar w:top="1100" w:right="800" w:bottom="800" w:left="760" w:header="596" w:footer="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03" w:rsidRDefault="00197DC0">
      <w:r>
        <w:separator/>
      </w:r>
    </w:p>
  </w:endnote>
  <w:endnote w:type="continuationSeparator" w:id="0">
    <w:p w:rsidR="005F7503" w:rsidRDefault="0019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4240" behindDoc="1" locked="0" layoutInCell="1" allowOverlap="1">
              <wp:simplePos x="0" y="0"/>
              <wp:positionH relativeFrom="page">
                <wp:posOffset>2864485</wp:posOffset>
              </wp:positionH>
              <wp:positionV relativeFrom="page">
                <wp:posOffset>10159365</wp:posOffset>
              </wp:positionV>
              <wp:extent cx="1835785" cy="25400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25.55pt;margin-top:799.95pt;width:144.55pt;height:20pt;z-index:-25396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5264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10225405</wp:posOffset>
              </wp:positionV>
              <wp:extent cx="1602740" cy="16573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Default="00197DC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PBO reference PR20/00152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69.9pt;margin-top:805.15pt;width:126.2pt;height:13.05pt;z-index:-2539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ck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" filled="f" stroked="f">
              <v:textbox inset="0,0,0,0">
                <w:txbxContent>
                  <w:p w:rsidR="00000DEE" w:rsidRDefault="00197DC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PBO reference PR20/00152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6288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10225405</wp:posOffset>
              </wp:positionV>
              <wp:extent cx="662305" cy="16573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Default="00197DC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 1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473.5pt;margin-top:805.15pt;width:52.15pt;height:13.05pt;z-index:-25396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IqsAIAAK8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" filled="f" stroked="f">
              <v:textbox inset="0,0,0,0">
                <w:txbxContent>
                  <w:p w:rsidR="00000DEE" w:rsidRDefault="00197DC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 1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8336" behindDoc="1" locked="0" layoutInCell="1" allowOverlap="1">
              <wp:simplePos x="0" y="0"/>
              <wp:positionH relativeFrom="page">
                <wp:posOffset>2864485</wp:posOffset>
              </wp:positionH>
              <wp:positionV relativeFrom="page">
                <wp:posOffset>10159365</wp:posOffset>
              </wp:positionV>
              <wp:extent cx="1835785" cy="2540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225.55pt;margin-top:799.95pt;width:144.55pt;height:20pt;z-index:-25395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9360" behindDoc="1" locked="0" layoutInCell="1" allowOverlap="1">
              <wp:simplePos x="0" y="0"/>
              <wp:positionH relativeFrom="page">
                <wp:posOffset>6013450</wp:posOffset>
              </wp:positionH>
              <wp:positionV relativeFrom="page">
                <wp:posOffset>10225405</wp:posOffset>
              </wp:positionV>
              <wp:extent cx="66230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Default="00197DC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Page 2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473.5pt;margin-top:805.15pt;width:52.15pt;height:13.05pt;z-index:-25395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5/sA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Izj4NKL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" filled="f" stroked="f">
              <v:textbox inset="0,0,0,0">
                <w:txbxContent>
                  <w:p w:rsidR="00000DEE" w:rsidRDefault="00197DC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Page 2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61408" behindDoc="1" locked="0" layoutInCell="1" allowOverlap="1">
              <wp:simplePos x="0" y="0"/>
              <wp:positionH relativeFrom="page">
                <wp:posOffset>2864485</wp:posOffset>
              </wp:positionH>
              <wp:positionV relativeFrom="page">
                <wp:posOffset>10159365</wp:posOffset>
              </wp:positionV>
              <wp:extent cx="1835785" cy="254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225.55pt;margin-top:799.95pt;width:144.55pt;height:20pt;z-index:-2539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62432" behindDoc="1" locked="0" layoutInCell="1" allowOverlap="1">
              <wp:simplePos x="0" y="0"/>
              <wp:positionH relativeFrom="page">
                <wp:posOffset>6282690</wp:posOffset>
              </wp:positionH>
              <wp:positionV relativeFrom="page">
                <wp:posOffset>10225405</wp:posOffset>
              </wp:positionV>
              <wp:extent cx="6623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3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Default="00197DC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7E88">
                            <w:rPr>
                              <w:b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494.7pt;margin-top:805.15pt;width:52.15pt;height:13.05pt;z-index:-2539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nCrw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" filled="f" stroked="f">
              <v:textbox inset="0,0,0,0">
                <w:txbxContent>
                  <w:p w:rsidR="00000DEE" w:rsidRDefault="00197DC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7E88">
                      <w:rPr>
                        <w:b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03" w:rsidRDefault="00197DC0">
      <w:r>
        <w:separator/>
      </w:r>
    </w:p>
  </w:footnote>
  <w:footnote w:type="continuationSeparator" w:id="0">
    <w:p w:rsidR="005F7503" w:rsidRDefault="0019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3216" behindDoc="1" locked="0" layoutInCell="1" allowOverlap="1">
              <wp:simplePos x="0" y="0"/>
              <wp:positionH relativeFrom="page">
                <wp:posOffset>2863215</wp:posOffset>
              </wp:positionH>
              <wp:positionV relativeFrom="page">
                <wp:posOffset>365760</wp:posOffset>
              </wp:positionV>
              <wp:extent cx="1835785" cy="254000"/>
              <wp:effectExtent l="0" t="0" r="0" b="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25.45pt;margin-top:28.8pt;width:144.55pt;height:20pt;z-index:-25396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57312" behindDoc="1" locked="0" layoutInCell="1" allowOverlap="1">
              <wp:simplePos x="0" y="0"/>
              <wp:positionH relativeFrom="page">
                <wp:posOffset>2863215</wp:posOffset>
              </wp:positionH>
              <wp:positionV relativeFrom="page">
                <wp:posOffset>365760</wp:posOffset>
              </wp:positionV>
              <wp:extent cx="1835785" cy="25400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25.45pt;margin-top:28.8pt;width:144.55pt;height:20pt;z-index:-25395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DEE" w:rsidRDefault="00717E88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49360384" behindDoc="1" locked="0" layoutInCell="1" allowOverlap="1">
              <wp:simplePos x="0" y="0"/>
              <wp:positionH relativeFrom="page">
                <wp:posOffset>2863215</wp:posOffset>
              </wp:positionH>
              <wp:positionV relativeFrom="page">
                <wp:posOffset>365760</wp:posOffset>
              </wp:positionV>
              <wp:extent cx="1835785" cy="2540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DEE" w:rsidRPr="00197DC0" w:rsidRDefault="00197DC0">
                          <w:pPr>
                            <w:spacing w:line="387" w:lineRule="exact"/>
                            <w:ind w:left="20"/>
                            <w:rPr>
                              <w:b/>
                              <w:strike/>
                              <w:sz w:val="36"/>
                            </w:rPr>
                          </w:pPr>
                          <w:r w:rsidRPr="00197DC0">
                            <w:rPr>
                              <w:b/>
                              <w:strike/>
                              <w:color w:val="FF0000"/>
                              <w:sz w:val="36"/>
                            </w:rPr>
                            <w:t>OFFICIAL: Sensitive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25.45pt;margin-top:28.8pt;width:144.55pt;height:20pt;z-index:-2539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" filled="f" stroked="f">
              <v:textbox inset="0,0,0,0">
                <w:txbxContent>
                  <w:p w:rsidR="00000DEE" w:rsidRPr="00197DC0" w:rsidRDefault="00197DC0">
                    <w:pPr>
                      <w:spacing w:line="387" w:lineRule="exact"/>
                      <w:ind w:left="20"/>
                      <w:rPr>
                        <w:b/>
                        <w:strike/>
                        <w:sz w:val="36"/>
                      </w:rPr>
                    </w:pPr>
                    <w:r w:rsidRPr="00197DC0">
                      <w:rPr>
                        <w:b/>
                        <w:strike/>
                        <w:color w:val="FF0000"/>
                        <w:sz w:val="36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67E8"/>
    <w:multiLevelType w:val="hybridMultilevel"/>
    <w:tmpl w:val="F2D46EC4"/>
    <w:lvl w:ilvl="0" w:tplc="C28602E2">
      <w:numFmt w:val="bullet"/>
      <w:lvlText w:val="☐"/>
      <w:lvlJc w:val="left"/>
      <w:pPr>
        <w:ind w:left="1022" w:hanging="269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D83E5E4A">
      <w:numFmt w:val="bullet"/>
      <w:lvlText w:val="•"/>
      <w:lvlJc w:val="left"/>
      <w:pPr>
        <w:ind w:left="1261" w:hanging="269"/>
      </w:pPr>
      <w:rPr>
        <w:rFonts w:hint="default"/>
      </w:rPr>
    </w:lvl>
    <w:lvl w:ilvl="2" w:tplc="9358276E">
      <w:numFmt w:val="bullet"/>
      <w:lvlText w:val="•"/>
      <w:lvlJc w:val="left"/>
      <w:pPr>
        <w:ind w:left="1502" w:hanging="269"/>
      </w:pPr>
      <w:rPr>
        <w:rFonts w:hint="default"/>
      </w:rPr>
    </w:lvl>
    <w:lvl w:ilvl="3" w:tplc="2A5A4C0C">
      <w:numFmt w:val="bullet"/>
      <w:lvlText w:val="•"/>
      <w:lvlJc w:val="left"/>
      <w:pPr>
        <w:ind w:left="1744" w:hanging="269"/>
      </w:pPr>
      <w:rPr>
        <w:rFonts w:hint="default"/>
      </w:rPr>
    </w:lvl>
    <w:lvl w:ilvl="4" w:tplc="CEAAF7FC">
      <w:numFmt w:val="bullet"/>
      <w:lvlText w:val="•"/>
      <w:lvlJc w:val="left"/>
      <w:pPr>
        <w:ind w:left="1985" w:hanging="269"/>
      </w:pPr>
      <w:rPr>
        <w:rFonts w:hint="default"/>
      </w:rPr>
    </w:lvl>
    <w:lvl w:ilvl="5" w:tplc="3390A172">
      <w:numFmt w:val="bullet"/>
      <w:lvlText w:val="•"/>
      <w:lvlJc w:val="left"/>
      <w:pPr>
        <w:ind w:left="2227" w:hanging="269"/>
      </w:pPr>
      <w:rPr>
        <w:rFonts w:hint="default"/>
      </w:rPr>
    </w:lvl>
    <w:lvl w:ilvl="6" w:tplc="03809D58">
      <w:numFmt w:val="bullet"/>
      <w:lvlText w:val="•"/>
      <w:lvlJc w:val="left"/>
      <w:pPr>
        <w:ind w:left="2468" w:hanging="269"/>
      </w:pPr>
      <w:rPr>
        <w:rFonts w:hint="default"/>
      </w:rPr>
    </w:lvl>
    <w:lvl w:ilvl="7" w:tplc="DF625CBC">
      <w:numFmt w:val="bullet"/>
      <w:lvlText w:val="•"/>
      <w:lvlJc w:val="left"/>
      <w:pPr>
        <w:ind w:left="2709" w:hanging="269"/>
      </w:pPr>
      <w:rPr>
        <w:rFonts w:hint="default"/>
      </w:rPr>
    </w:lvl>
    <w:lvl w:ilvl="8" w:tplc="0C74FCA2">
      <w:numFmt w:val="bullet"/>
      <w:lvlText w:val="•"/>
      <w:lvlJc w:val="left"/>
      <w:pPr>
        <w:ind w:left="2951" w:hanging="269"/>
      </w:pPr>
      <w:rPr>
        <w:rFonts w:hint="default"/>
      </w:rPr>
    </w:lvl>
  </w:abstractNum>
  <w:abstractNum w:abstractNumId="1">
    <w:nsid w:val="215D3374"/>
    <w:multiLevelType w:val="hybridMultilevel"/>
    <w:tmpl w:val="56F0922E"/>
    <w:lvl w:ilvl="0" w:tplc="7996D1CA">
      <w:numFmt w:val="bullet"/>
      <w:lvlText w:val="•"/>
      <w:lvlJc w:val="left"/>
      <w:pPr>
        <w:ind w:left="941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9300BF8">
      <w:numFmt w:val="bullet"/>
      <w:lvlText w:val="–"/>
      <w:lvlJc w:val="left"/>
      <w:pPr>
        <w:ind w:left="1227" w:hanging="286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71D0CBB8">
      <w:numFmt w:val="bullet"/>
      <w:lvlText w:val="•"/>
      <w:lvlJc w:val="left"/>
      <w:pPr>
        <w:ind w:left="2234" w:hanging="286"/>
      </w:pPr>
      <w:rPr>
        <w:rFonts w:hint="default"/>
      </w:rPr>
    </w:lvl>
    <w:lvl w:ilvl="3" w:tplc="D28E4C58">
      <w:numFmt w:val="bullet"/>
      <w:lvlText w:val="•"/>
      <w:lvlJc w:val="left"/>
      <w:pPr>
        <w:ind w:left="3248" w:hanging="286"/>
      </w:pPr>
      <w:rPr>
        <w:rFonts w:hint="default"/>
      </w:rPr>
    </w:lvl>
    <w:lvl w:ilvl="4" w:tplc="31E47B88">
      <w:numFmt w:val="bullet"/>
      <w:lvlText w:val="•"/>
      <w:lvlJc w:val="left"/>
      <w:pPr>
        <w:ind w:left="4262" w:hanging="286"/>
      </w:pPr>
      <w:rPr>
        <w:rFonts w:hint="default"/>
      </w:rPr>
    </w:lvl>
    <w:lvl w:ilvl="5" w:tplc="970AE63E">
      <w:numFmt w:val="bullet"/>
      <w:lvlText w:val="•"/>
      <w:lvlJc w:val="left"/>
      <w:pPr>
        <w:ind w:left="5276" w:hanging="286"/>
      </w:pPr>
      <w:rPr>
        <w:rFonts w:hint="default"/>
      </w:rPr>
    </w:lvl>
    <w:lvl w:ilvl="6" w:tplc="9ED0FF50">
      <w:numFmt w:val="bullet"/>
      <w:lvlText w:val="•"/>
      <w:lvlJc w:val="left"/>
      <w:pPr>
        <w:ind w:left="6290" w:hanging="286"/>
      </w:pPr>
      <w:rPr>
        <w:rFonts w:hint="default"/>
      </w:rPr>
    </w:lvl>
    <w:lvl w:ilvl="7" w:tplc="6748BE64">
      <w:numFmt w:val="bullet"/>
      <w:lvlText w:val="•"/>
      <w:lvlJc w:val="left"/>
      <w:pPr>
        <w:ind w:left="7304" w:hanging="286"/>
      </w:pPr>
      <w:rPr>
        <w:rFonts w:hint="default"/>
      </w:rPr>
    </w:lvl>
    <w:lvl w:ilvl="8" w:tplc="858CD36A">
      <w:numFmt w:val="bullet"/>
      <w:lvlText w:val="•"/>
      <w:lvlJc w:val="left"/>
      <w:pPr>
        <w:ind w:left="8318" w:hanging="286"/>
      </w:pPr>
      <w:rPr>
        <w:rFonts w:hint="default"/>
      </w:rPr>
    </w:lvl>
  </w:abstractNum>
  <w:abstractNum w:abstractNumId="2">
    <w:nsid w:val="3A54644D"/>
    <w:multiLevelType w:val="hybridMultilevel"/>
    <w:tmpl w:val="4468C668"/>
    <w:lvl w:ilvl="0" w:tplc="169CCBCA">
      <w:start w:val="1"/>
      <w:numFmt w:val="lowerLetter"/>
      <w:lvlText w:val="(%1)"/>
      <w:lvlJc w:val="left"/>
      <w:pPr>
        <w:ind w:left="514" w:hanging="284"/>
        <w:jc w:val="left"/>
      </w:pPr>
      <w:rPr>
        <w:rFonts w:ascii="Calibri" w:eastAsia="Calibri" w:hAnsi="Calibri" w:cs="Calibri" w:hint="default"/>
        <w:spacing w:val="-1"/>
        <w:w w:val="100"/>
        <w:sz w:val="15"/>
        <w:szCs w:val="15"/>
      </w:rPr>
    </w:lvl>
    <w:lvl w:ilvl="1" w:tplc="806E84F0">
      <w:numFmt w:val="bullet"/>
      <w:lvlText w:val="•"/>
      <w:lvlJc w:val="left"/>
      <w:pPr>
        <w:ind w:left="1502" w:hanging="284"/>
      </w:pPr>
      <w:rPr>
        <w:rFonts w:hint="default"/>
      </w:rPr>
    </w:lvl>
    <w:lvl w:ilvl="2" w:tplc="70E0AE42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C64E362E">
      <w:numFmt w:val="bullet"/>
      <w:lvlText w:val="•"/>
      <w:lvlJc w:val="left"/>
      <w:pPr>
        <w:ind w:left="3467" w:hanging="284"/>
      </w:pPr>
      <w:rPr>
        <w:rFonts w:hint="default"/>
      </w:rPr>
    </w:lvl>
    <w:lvl w:ilvl="4" w:tplc="E326D0AC"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ED3EE5F2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3B628DA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422E3154">
      <w:numFmt w:val="bullet"/>
      <w:lvlText w:val="•"/>
      <w:lvlJc w:val="left"/>
      <w:pPr>
        <w:ind w:left="7398" w:hanging="284"/>
      </w:pPr>
      <w:rPr>
        <w:rFonts w:hint="default"/>
      </w:rPr>
    </w:lvl>
    <w:lvl w:ilvl="8" w:tplc="B002BDB6">
      <w:numFmt w:val="bullet"/>
      <w:lvlText w:val="•"/>
      <w:lvlJc w:val="left"/>
      <w:pPr>
        <w:ind w:left="8381" w:hanging="284"/>
      </w:pPr>
      <w:rPr>
        <w:rFonts w:hint="default"/>
      </w:rPr>
    </w:lvl>
  </w:abstractNum>
  <w:abstractNum w:abstractNumId="3">
    <w:nsid w:val="50021211"/>
    <w:multiLevelType w:val="hybridMultilevel"/>
    <w:tmpl w:val="7E1EDE1C"/>
    <w:lvl w:ilvl="0" w:tplc="8206A57A">
      <w:numFmt w:val="bullet"/>
      <w:lvlText w:val="-"/>
      <w:lvlJc w:val="left"/>
      <w:pPr>
        <w:ind w:left="514" w:hanging="284"/>
      </w:pPr>
      <w:rPr>
        <w:rFonts w:ascii="Calibri" w:eastAsia="Calibri" w:hAnsi="Calibri" w:cs="Calibri" w:hint="default"/>
        <w:w w:val="100"/>
        <w:sz w:val="15"/>
        <w:szCs w:val="15"/>
      </w:rPr>
    </w:lvl>
    <w:lvl w:ilvl="1" w:tplc="C4986D56">
      <w:numFmt w:val="bullet"/>
      <w:lvlText w:val="•"/>
      <w:lvlJc w:val="left"/>
      <w:pPr>
        <w:ind w:left="1502" w:hanging="284"/>
      </w:pPr>
      <w:rPr>
        <w:rFonts w:hint="default"/>
      </w:rPr>
    </w:lvl>
    <w:lvl w:ilvl="2" w:tplc="DF5A3C60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B1CC5976">
      <w:numFmt w:val="bullet"/>
      <w:lvlText w:val="•"/>
      <w:lvlJc w:val="left"/>
      <w:pPr>
        <w:ind w:left="3467" w:hanging="284"/>
      </w:pPr>
      <w:rPr>
        <w:rFonts w:hint="default"/>
      </w:rPr>
    </w:lvl>
    <w:lvl w:ilvl="4" w:tplc="7C5EA10E"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1834CA70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C370189E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D278F576">
      <w:numFmt w:val="bullet"/>
      <w:lvlText w:val="•"/>
      <w:lvlJc w:val="left"/>
      <w:pPr>
        <w:ind w:left="7398" w:hanging="284"/>
      </w:pPr>
      <w:rPr>
        <w:rFonts w:hint="default"/>
      </w:rPr>
    </w:lvl>
    <w:lvl w:ilvl="8" w:tplc="4770247C">
      <w:numFmt w:val="bullet"/>
      <w:lvlText w:val="•"/>
      <w:lvlJc w:val="left"/>
      <w:pPr>
        <w:ind w:left="8381" w:hanging="284"/>
      </w:pPr>
      <w:rPr>
        <w:rFonts w:hint="default"/>
      </w:rPr>
    </w:lvl>
  </w:abstractNum>
  <w:abstractNum w:abstractNumId="4">
    <w:nsid w:val="7B485794"/>
    <w:multiLevelType w:val="hybridMultilevel"/>
    <w:tmpl w:val="1FC2CFD0"/>
    <w:lvl w:ilvl="0" w:tplc="D5EC3BEE">
      <w:start w:val="1"/>
      <w:numFmt w:val="lowerLetter"/>
      <w:lvlText w:val="(%1)"/>
      <w:lvlJc w:val="left"/>
      <w:pPr>
        <w:ind w:left="514" w:hanging="284"/>
        <w:jc w:val="left"/>
      </w:pPr>
      <w:rPr>
        <w:rFonts w:ascii="Calibri" w:eastAsia="Calibri" w:hAnsi="Calibri" w:cs="Calibri" w:hint="default"/>
        <w:spacing w:val="-1"/>
        <w:w w:val="100"/>
        <w:sz w:val="15"/>
        <w:szCs w:val="15"/>
      </w:rPr>
    </w:lvl>
    <w:lvl w:ilvl="1" w:tplc="77D0C4F0">
      <w:numFmt w:val="bullet"/>
      <w:lvlText w:val="•"/>
      <w:lvlJc w:val="left"/>
      <w:pPr>
        <w:ind w:left="1502" w:hanging="284"/>
      </w:pPr>
      <w:rPr>
        <w:rFonts w:hint="default"/>
      </w:rPr>
    </w:lvl>
    <w:lvl w:ilvl="2" w:tplc="A4B893CC">
      <w:numFmt w:val="bullet"/>
      <w:lvlText w:val="•"/>
      <w:lvlJc w:val="left"/>
      <w:pPr>
        <w:ind w:left="2485" w:hanging="284"/>
      </w:pPr>
      <w:rPr>
        <w:rFonts w:hint="default"/>
      </w:rPr>
    </w:lvl>
    <w:lvl w:ilvl="3" w:tplc="A722726E">
      <w:numFmt w:val="bullet"/>
      <w:lvlText w:val="•"/>
      <w:lvlJc w:val="left"/>
      <w:pPr>
        <w:ind w:left="3467" w:hanging="284"/>
      </w:pPr>
      <w:rPr>
        <w:rFonts w:hint="default"/>
      </w:rPr>
    </w:lvl>
    <w:lvl w:ilvl="4" w:tplc="5E4AA97E"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BFF239D2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7EA62B22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41640892">
      <w:numFmt w:val="bullet"/>
      <w:lvlText w:val="•"/>
      <w:lvlJc w:val="left"/>
      <w:pPr>
        <w:ind w:left="7398" w:hanging="284"/>
      </w:pPr>
      <w:rPr>
        <w:rFonts w:hint="default"/>
      </w:rPr>
    </w:lvl>
    <w:lvl w:ilvl="8" w:tplc="11125B0C">
      <w:numFmt w:val="bullet"/>
      <w:lvlText w:val="•"/>
      <w:lvlJc w:val="left"/>
      <w:pPr>
        <w:ind w:left="8381" w:hanging="2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EE"/>
    <w:rsid w:val="00000DEE"/>
    <w:rsid w:val="00197DC0"/>
    <w:rsid w:val="005F7503"/>
    <w:rsid w:val="00717E88"/>
    <w:rsid w:val="00AC456D"/>
    <w:rsid w:val="00D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58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left="157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spacing w:line="245" w:lineRule="exact"/>
      <w:ind w:left="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6"/>
      <w:ind w:left="514" w:hanging="284"/>
    </w:p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C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58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pPr>
      <w:ind w:left="157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1"/>
    <w:qFormat/>
    <w:pPr>
      <w:spacing w:line="245" w:lineRule="exact"/>
      <w:ind w:left="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76"/>
      <w:ind w:left="514" w:hanging="284"/>
    </w:pPr>
  </w:style>
  <w:style w:type="paragraph" w:customStyle="1" w:styleId="TableParagraph">
    <w:name w:val="Table Paragraph"/>
    <w:basedOn w:val="Normal"/>
    <w:uiPriority w:val="1"/>
    <w:qFormat/>
    <w:pPr>
      <w:spacing w:before="68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7D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D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97D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DC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to.gov.au/Rates/Tax-tabl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2040</Words>
  <Characters>10241</Characters>
  <Application>Microsoft Office Word</Application>
  <DocSecurity>4</DocSecurity>
  <Lines>931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SSF119P0120110512450</vt:lpstr>
    </vt:vector>
  </TitlesOfParts>
  <Company>Parliament of Australia</Company>
  <LinksUpToDate>false</LinksUpToDate>
  <CharactersWithSpaces>11559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Loss of public revenue and a distributional analysis of the tax cuts packages</dc:title>
  <dc:creator>Parliamentary Budget Office</dc:creator>
  <cp:lastModifiedBy>Kuo, Suzy (PBO)</cp:lastModifiedBy>
  <cp:revision>2</cp:revision>
  <dcterms:created xsi:type="dcterms:W3CDTF">2020-11-16T05:46:00Z</dcterms:created>
  <dcterms:modified xsi:type="dcterms:W3CDTF">2020-11-16T05:46:00Z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SF119P01</vt:lpwstr>
  </property>
  <property fmtid="{D5CDD505-2E9C-101B-9397-08002B2CF9AE}" pid="4" name="LastSaved">
    <vt:filetime>2020-11-13T00:00:00Z</vt:filetime>
  </property>
</Properties>
</file>