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8E" w:rsidRDefault="00AA478E" w:rsidP="00AA478E">
      <w:pPr>
        <w:pStyle w:val="Heading1spacebefore"/>
        <w:tabs>
          <w:tab w:val="left" w:pos="2694"/>
        </w:tabs>
        <w:spacing w:before="480" w:after="240"/>
        <w:rPr>
          <w:sz w:val="32"/>
        </w:rPr>
      </w:pPr>
      <w:bookmarkStart w:id="0" w:name="_GoBack"/>
      <w:bookmarkEnd w:id="0"/>
      <w:r w:rsidRPr="008D4FA9">
        <w:rPr>
          <w:sz w:val="32"/>
        </w:rPr>
        <w:t xml:space="preserve">Policy costing </w:t>
      </w:r>
    </w:p>
    <w:tbl>
      <w:tblPr>
        <w:tblStyle w:val="LightGrid-Accent6"/>
        <w:tblW w:w="4992" w:type="pct"/>
        <w:tblLook w:val="0600" w:firstRow="0" w:lastRow="0" w:firstColumn="0" w:lastColumn="0" w:noHBand="1" w:noVBand="1"/>
      </w:tblPr>
      <w:tblGrid>
        <w:gridCol w:w="3629"/>
        <w:gridCol w:w="2835"/>
        <w:gridCol w:w="2807"/>
      </w:tblGrid>
      <w:tr w:rsidR="00AA478E" w:rsidRPr="008D77AF" w:rsidTr="00013620">
        <w:tc>
          <w:tcPr>
            <w:tcW w:w="5000" w:type="pct"/>
            <w:gridSpan w:val="3"/>
            <w:shd w:val="clear" w:color="auto" w:fill="D7DDE9" w:themeFill="accent3"/>
          </w:tcPr>
          <w:p w:rsidR="00AA478E" w:rsidRPr="008D77AF" w:rsidRDefault="005D1CE5" w:rsidP="00013620">
            <w:pPr>
              <w:pStyle w:val="Nameofproposal"/>
            </w:pPr>
            <w:r>
              <w:t>Liberal Democrats’ tax policy</w:t>
            </w:r>
          </w:p>
        </w:tc>
      </w:tr>
      <w:tr w:rsidR="00AA478E" w:rsidRPr="008D77AF" w:rsidTr="00013620">
        <w:tc>
          <w:tcPr>
            <w:tcW w:w="1957" w:type="pct"/>
          </w:tcPr>
          <w:p w:rsidR="00AA478E" w:rsidRPr="008D77AF" w:rsidRDefault="00AA478E" w:rsidP="00696DCC">
            <w:pPr>
              <w:pStyle w:val="BodyText"/>
            </w:pPr>
            <w:r w:rsidRPr="008D77AF">
              <w:t>Person/party requesting the costing:</w:t>
            </w:r>
          </w:p>
        </w:tc>
        <w:tc>
          <w:tcPr>
            <w:tcW w:w="3043" w:type="pct"/>
            <w:gridSpan w:val="2"/>
            <w:tcBorders>
              <w:bottom w:val="single" w:sz="8" w:space="0" w:color="788184" w:themeColor="accent6"/>
            </w:tcBorders>
          </w:tcPr>
          <w:p w:rsidR="00AA478E" w:rsidRPr="008D77AF" w:rsidRDefault="00DE28A2" w:rsidP="00696DCC">
            <w:pPr>
              <w:pStyle w:val="BodyText"/>
            </w:pPr>
            <w:sdt>
              <w:sdtPr>
                <w:alias w:val="Requestor"/>
                <w:tag w:val="Requestor"/>
                <w:id w:val="39022088"/>
                <w:placeholder>
                  <w:docPart w:val="63852A5441A143B093FCDFA0FDA1E2CE"/>
                </w:placeholder>
                <w:dropDownList>
                  <w:listItem w:value="Choose an item."/>
                  <w:listItem w:displayText="The Hon Chris Bowen MP, Australian Labor Party" w:value="The Hon Chris Bowen MP, Australian Labor Party"/>
                  <w:listItem w:displayText="Dr Jim Chalmers MP, Australian Labor Party" w:value="Dr Jim Chalmers MP, Australian Labor Party"/>
                  <w:listItem w:displayText="The Hon Dr Andrew Leigh MP, Australian Labor Party" w:value="The Hon Dr Andrew Leigh MP, Australian Labor Party"/>
                  <w:listItem w:displayText="Senator Richard Di Natale, Australian Greens" w:value="Senator Richard Di Natale, Australian Greens"/>
                  <w:listItem w:displayText="Senator David Leyonhjelm, Liberal Democratic Party" w:value="Senator David Leyonhjelm, Liberal Democratic Party"/>
                  <w:listItem w:displayText="Senator the Hon Kim Carr, Australian Labor Party" w:value="Senator the Hon Kim Carr, Australian Labor Party"/>
                  <w:listItem w:displayText="The Hon Tanya Plibersek MP, Australian Labor Party" w:value="The Hon Tanya Plibersek MP, Australian Labor Party"/>
                </w:dropDownList>
              </w:sdtPr>
              <w:sdtEndPr/>
              <w:sdtContent>
                <w:r w:rsidR="005D1CE5">
                  <w:t>Senator David Leyonhjelm, Liberal Democratic Party</w:t>
                </w:r>
              </w:sdtContent>
            </w:sdt>
          </w:p>
        </w:tc>
      </w:tr>
      <w:tr w:rsidR="00AA478E" w:rsidRPr="008D77AF" w:rsidTr="00013620">
        <w:tc>
          <w:tcPr>
            <w:tcW w:w="1957" w:type="pct"/>
          </w:tcPr>
          <w:p w:rsidR="00AA478E" w:rsidRPr="008D77AF" w:rsidRDefault="00AA478E" w:rsidP="00696DCC">
            <w:pPr>
              <w:pStyle w:val="BodyText"/>
            </w:pPr>
            <w:r w:rsidRPr="008D77AF">
              <w:t>Date costing completed:</w:t>
            </w:r>
          </w:p>
        </w:tc>
        <w:tc>
          <w:tcPr>
            <w:tcW w:w="3043" w:type="pct"/>
            <w:gridSpan w:val="2"/>
          </w:tcPr>
          <w:p w:rsidR="00AA478E" w:rsidRPr="008D77AF" w:rsidRDefault="00255E70" w:rsidP="00255E70">
            <w:pPr>
              <w:pStyle w:val="BodyText"/>
            </w:pPr>
            <w:r>
              <w:t xml:space="preserve">12 </w:t>
            </w:r>
            <w:r w:rsidR="0075065B">
              <w:t xml:space="preserve">September </w:t>
            </w:r>
            <w:r w:rsidR="005D1CE5">
              <w:t>2018</w:t>
            </w:r>
          </w:p>
        </w:tc>
      </w:tr>
      <w:tr w:rsidR="00AA478E" w:rsidRPr="008D77AF" w:rsidTr="00013620">
        <w:tc>
          <w:tcPr>
            <w:tcW w:w="1957" w:type="pct"/>
          </w:tcPr>
          <w:p w:rsidR="00AA478E" w:rsidRPr="008D77AF" w:rsidRDefault="00AA478E" w:rsidP="00696DCC">
            <w:pPr>
              <w:pStyle w:val="BodyText"/>
            </w:pPr>
            <w:r w:rsidRPr="008D77AF">
              <w:t>Expiry date of the costing:</w:t>
            </w:r>
          </w:p>
        </w:tc>
        <w:tc>
          <w:tcPr>
            <w:tcW w:w="3043" w:type="pct"/>
            <w:gridSpan w:val="2"/>
          </w:tcPr>
          <w:p w:rsidR="00AA478E" w:rsidRPr="008D77AF" w:rsidRDefault="00AA478E" w:rsidP="00696DCC">
            <w:pPr>
              <w:pStyle w:val="BodyText"/>
            </w:pPr>
            <w:r w:rsidRPr="008D77AF">
              <w:t>Release of the next economic and fiscal outlook report.</w:t>
            </w:r>
          </w:p>
        </w:tc>
      </w:tr>
      <w:tr w:rsidR="00AA478E" w:rsidTr="00013620">
        <w:tc>
          <w:tcPr>
            <w:tcW w:w="1957" w:type="pct"/>
            <w:vMerge w:val="restart"/>
          </w:tcPr>
          <w:p w:rsidR="00AA478E" w:rsidRDefault="00AA478E" w:rsidP="00696DCC">
            <w:pPr>
              <w:pStyle w:val="BodyText"/>
            </w:pPr>
            <w:r>
              <w:t>Status at time of request</w:t>
            </w:r>
            <w:r w:rsidRPr="008D77AF">
              <w:t>:</w:t>
            </w:r>
          </w:p>
        </w:tc>
        <w:tc>
          <w:tcPr>
            <w:tcW w:w="3043" w:type="pct"/>
            <w:gridSpan w:val="2"/>
            <w:tcBorders>
              <w:bottom w:val="nil"/>
              <w:right w:val="single" w:sz="8" w:space="0" w:color="788184" w:themeColor="accent6"/>
            </w:tcBorders>
          </w:tcPr>
          <w:p w:rsidR="00AA478E" w:rsidRDefault="00AA478E" w:rsidP="00696DCC">
            <w:pPr>
              <w:pStyle w:val="BodyText"/>
            </w:pPr>
            <w:r>
              <w:t>Submitted outside the caretaker period</w:t>
            </w:r>
          </w:p>
        </w:tc>
      </w:tr>
      <w:tr w:rsidR="00AA478E" w:rsidRPr="008D77AF" w:rsidTr="00013620">
        <w:tc>
          <w:tcPr>
            <w:tcW w:w="1957" w:type="pct"/>
            <w:vMerge/>
          </w:tcPr>
          <w:p w:rsidR="00AA478E" w:rsidRPr="008D77AF" w:rsidRDefault="00AA478E" w:rsidP="00013620">
            <w:pPr>
              <w:pStyle w:val="PullOutBoxBodyText"/>
              <w:ind w:left="0" w:right="0"/>
            </w:pPr>
          </w:p>
        </w:tc>
        <w:tc>
          <w:tcPr>
            <w:tcW w:w="1529" w:type="pct"/>
            <w:tcBorders>
              <w:top w:val="nil"/>
              <w:right w:val="nil"/>
            </w:tcBorders>
          </w:tcPr>
          <w:p w:rsidR="00AA478E" w:rsidRPr="008D77AF" w:rsidRDefault="00DE28A2" w:rsidP="00696DCC">
            <w:pPr>
              <w:pStyle w:val="BodyText"/>
            </w:pPr>
            <w:sdt>
              <w:sdtPr>
                <w:id w:val="-901915855"/>
                <w14:checkbox>
                  <w14:checked w14:val="1"/>
                  <w14:checkedState w14:val="2612" w14:font="MS Gothic"/>
                  <w14:uncheckedState w14:val="2610" w14:font="MS Gothic"/>
                </w14:checkbox>
              </w:sdtPr>
              <w:sdtEndPr/>
              <w:sdtContent>
                <w:r w:rsidR="005D1CE5">
                  <w:rPr>
                    <w:rFonts w:ascii="MS Gothic" w:eastAsia="MS Gothic" w:hAnsi="MS Gothic" w:hint="eastAsia"/>
                  </w:rPr>
                  <w:t>☒</w:t>
                </w:r>
              </w:sdtContent>
            </w:sdt>
            <w:r w:rsidR="00AA478E" w:rsidRPr="008D77AF">
              <w:t xml:space="preserve"> </w:t>
            </w:r>
            <w:r w:rsidR="00AA478E">
              <w:t>Confidential</w:t>
            </w:r>
          </w:p>
        </w:tc>
        <w:tc>
          <w:tcPr>
            <w:tcW w:w="1514" w:type="pct"/>
            <w:tcBorders>
              <w:top w:val="nil"/>
              <w:left w:val="nil"/>
              <w:right w:val="single" w:sz="8" w:space="0" w:color="788184" w:themeColor="accent6"/>
            </w:tcBorders>
          </w:tcPr>
          <w:p w:rsidR="00AA478E" w:rsidRPr="008D77AF" w:rsidRDefault="00DE28A2" w:rsidP="00696DCC">
            <w:pPr>
              <w:pStyle w:val="BodyText"/>
            </w:pPr>
            <w:sdt>
              <w:sdtPr>
                <w:id w:val="1635065970"/>
                <w14:checkbox>
                  <w14:checked w14:val="0"/>
                  <w14:checkedState w14:val="2612" w14:font="MS Gothic"/>
                  <w14:uncheckedState w14:val="2610" w14:font="MS Gothic"/>
                </w14:checkbox>
              </w:sdtPr>
              <w:sdtEndPr/>
              <w:sdtContent>
                <w:r w:rsidR="00AA478E" w:rsidRPr="008D77AF">
                  <w:rPr>
                    <w:rFonts w:ascii="MS Gothic" w:eastAsia="MS Gothic" w:hAnsi="MS Gothic" w:hint="eastAsia"/>
                  </w:rPr>
                  <w:t>☐</w:t>
                </w:r>
              </w:sdtContent>
            </w:sdt>
            <w:r w:rsidR="00AA478E" w:rsidRPr="008D77AF">
              <w:t xml:space="preserve"> No</w:t>
            </w:r>
            <w:r w:rsidR="00AA478E">
              <w:t>t confidential</w:t>
            </w:r>
          </w:p>
        </w:tc>
      </w:tr>
      <w:tr w:rsidR="00AA478E" w:rsidRPr="008D77AF" w:rsidTr="00013620">
        <w:tc>
          <w:tcPr>
            <w:tcW w:w="5000" w:type="pct"/>
            <w:gridSpan w:val="3"/>
          </w:tcPr>
          <w:p w:rsidR="00AA478E" w:rsidRPr="00E75D5E" w:rsidRDefault="00AA478E" w:rsidP="00696DCC">
            <w:pPr>
              <w:pStyle w:val="BodyText"/>
            </w:pPr>
            <w:r w:rsidRPr="00E75D5E">
              <w:t>Summary of proposal:</w:t>
            </w:r>
          </w:p>
          <w:p w:rsidR="005D1CE5" w:rsidRDefault="005D1CE5" w:rsidP="005D1CE5">
            <w:pPr>
              <w:pStyle w:val="BodyText"/>
            </w:pPr>
            <w:r>
              <w:t>Th</w:t>
            </w:r>
            <w:r w:rsidR="00423CA8">
              <w:t>e proposal would</w:t>
            </w:r>
            <w:r w:rsidR="007865BC">
              <w:t xml:space="preserve"> make the following changes.</w:t>
            </w:r>
          </w:p>
          <w:p w:rsidR="007865BC" w:rsidRDefault="007865BC" w:rsidP="005D1CE5">
            <w:pPr>
              <w:pStyle w:val="ListBullet"/>
            </w:pPr>
            <w:r>
              <w:t>Change personal income tax by:</w:t>
            </w:r>
          </w:p>
          <w:p w:rsidR="005D1CE5" w:rsidRDefault="00A2601A" w:rsidP="007865BC">
            <w:pPr>
              <w:pStyle w:val="ListBullet2"/>
            </w:pPr>
            <w:r>
              <w:t>abolish</w:t>
            </w:r>
            <w:r w:rsidR="007865BC">
              <w:t>ing</w:t>
            </w:r>
            <w:r>
              <w:t xml:space="preserve"> </w:t>
            </w:r>
            <w:r w:rsidR="00423CA8">
              <w:t xml:space="preserve">the Medicare </w:t>
            </w:r>
            <w:r>
              <w:t>l</w:t>
            </w:r>
            <w:r w:rsidR="00423CA8">
              <w:t>evy</w:t>
            </w:r>
            <w:r w:rsidR="005D1CE5">
              <w:t xml:space="preserve"> </w:t>
            </w:r>
            <w:r w:rsidR="00423CA8">
              <w:t>(</w:t>
            </w:r>
            <w:r w:rsidR="005D1CE5">
              <w:t xml:space="preserve">but not the Medicare </w:t>
            </w:r>
            <w:r>
              <w:t>l</w:t>
            </w:r>
            <w:r w:rsidR="005D1CE5">
              <w:t xml:space="preserve">evy </w:t>
            </w:r>
            <w:r>
              <w:t>s</w:t>
            </w:r>
            <w:r w:rsidR="005D1CE5">
              <w:t>urcharge</w:t>
            </w:r>
            <w:r w:rsidR="00423CA8">
              <w:t>),</w:t>
            </w:r>
            <w:r w:rsidR="005D1CE5">
              <w:t xml:space="preserve"> the </w:t>
            </w:r>
            <w:r>
              <w:t>l</w:t>
            </w:r>
            <w:r w:rsidR="005D1CE5">
              <w:t xml:space="preserve">ow </w:t>
            </w:r>
            <w:r>
              <w:t>i</w:t>
            </w:r>
            <w:r w:rsidR="005D1CE5">
              <w:t xml:space="preserve">ncome </w:t>
            </w:r>
            <w:r>
              <w:t>t</w:t>
            </w:r>
            <w:r w:rsidR="005D1CE5">
              <w:t xml:space="preserve">ax </w:t>
            </w:r>
            <w:r>
              <w:t>o</w:t>
            </w:r>
            <w:r w:rsidR="005D1CE5">
              <w:t>ffset</w:t>
            </w:r>
            <w:r w:rsidR="00DB2BB4">
              <w:t>,</w:t>
            </w:r>
            <w:r w:rsidR="005D1CE5">
              <w:t xml:space="preserve"> </w:t>
            </w:r>
            <w:r w:rsidR="00423CA8">
              <w:t>and</w:t>
            </w:r>
            <w:r w:rsidR="005D1CE5">
              <w:t xml:space="preserve"> the </w:t>
            </w:r>
            <w:r>
              <w:t>l</w:t>
            </w:r>
            <w:r w:rsidR="005D1CE5">
              <w:t xml:space="preserve">ow and </w:t>
            </w:r>
            <w:r>
              <w:t>m</w:t>
            </w:r>
            <w:r w:rsidR="005D1CE5">
              <w:t xml:space="preserve">iddle </w:t>
            </w:r>
            <w:r>
              <w:t>i</w:t>
            </w:r>
            <w:r w:rsidR="005D1CE5">
              <w:t xml:space="preserve">ncome </w:t>
            </w:r>
            <w:r>
              <w:t>t</w:t>
            </w:r>
            <w:r w:rsidR="005D1CE5">
              <w:t xml:space="preserve">ax </w:t>
            </w:r>
            <w:r>
              <w:t>o</w:t>
            </w:r>
            <w:r w:rsidR="005D1CE5">
              <w:t>ffset</w:t>
            </w:r>
          </w:p>
          <w:p w:rsidR="00423CA8" w:rsidRDefault="00423CA8" w:rsidP="007865BC">
            <w:pPr>
              <w:pStyle w:val="ListBullet2"/>
            </w:pPr>
            <w:r>
              <w:t>increas</w:t>
            </w:r>
            <w:r w:rsidR="007865BC">
              <w:t>ing</w:t>
            </w:r>
            <w:r w:rsidR="005D1CE5">
              <w:t xml:space="preserve"> the tax</w:t>
            </w:r>
            <w:r w:rsidR="00A2601A">
              <w:t>-</w:t>
            </w:r>
            <w:r w:rsidR="005D1CE5">
              <w:t xml:space="preserve">free threshold </w:t>
            </w:r>
            <w:r>
              <w:t>to</w:t>
            </w:r>
            <w:r w:rsidR="00AC243A">
              <w:t xml:space="preserve"> </w:t>
            </w:r>
            <w:r w:rsidR="005D1CE5">
              <w:t xml:space="preserve">$40,000 </w:t>
            </w:r>
          </w:p>
          <w:p w:rsidR="005D1CE5" w:rsidRDefault="00423CA8" w:rsidP="007865BC">
            <w:pPr>
              <w:pStyle w:val="ListBullet2"/>
            </w:pPr>
            <w:r>
              <w:t>reduc</w:t>
            </w:r>
            <w:r w:rsidR="007865BC">
              <w:t>ing</w:t>
            </w:r>
            <w:r>
              <w:t xml:space="preserve"> the marginal tax rate for taxable income above the </w:t>
            </w:r>
            <w:r w:rsidR="00A2601A">
              <w:t xml:space="preserve">tax-free </w:t>
            </w:r>
            <w:r>
              <w:t>threshold to</w:t>
            </w:r>
            <w:r w:rsidR="005D1CE5">
              <w:t xml:space="preserve"> 20 per cent</w:t>
            </w:r>
            <w:r w:rsidR="007865BC">
              <w:t>.</w:t>
            </w:r>
          </w:p>
          <w:p w:rsidR="005D1CE5" w:rsidRDefault="007865BC" w:rsidP="007865BC">
            <w:pPr>
              <w:pStyle w:val="ListBullet"/>
            </w:pPr>
            <w:r>
              <w:t>R</w:t>
            </w:r>
            <w:r w:rsidR="00423CA8">
              <w:t>educ</w:t>
            </w:r>
            <w:r w:rsidR="00A2601A">
              <w:t>e</w:t>
            </w:r>
            <w:r w:rsidR="00423CA8">
              <w:t xml:space="preserve"> the fringe benefit</w:t>
            </w:r>
            <w:r>
              <w:t>s tax (FBT) rate to 20 per cent.</w:t>
            </w:r>
          </w:p>
          <w:p w:rsidR="007865BC" w:rsidRDefault="007865BC" w:rsidP="005D1CE5">
            <w:pPr>
              <w:pStyle w:val="ListBullet"/>
            </w:pPr>
            <w:r>
              <w:t xml:space="preserve">Set the company tax rate for all entities, including trustees and life insurers, to 20 per cent. </w:t>
            </w:r>
          </w:p>
          <w:p w:rsidR="007865BC" w:rsidRDefault="007865BC" w:rsidP="005D1CE5">
            <w:pPr>
              <w:pStyle w:val="ListBullet"/>
            </w:pPr>
            <w:r>
              <w:t>Abolish the following indirect taxes:</w:t>
            </w:r>
          </w:p>
          <w:p w:rsidR="007865BC" w:rsidRDefault="007865BC" w:rsidP="007865BC">
            <w:pPr>
              <w:pStyle w:val="ListBullet2"/>
            </w:pPr>
            <w:r>
              <w:t>tobacco, alcohol and fuel excise</w:t>
            </w:r>
          </w:p>
          <w:p w:rsidR="007865BC" w:rsidRDefault="007865BC" w:rsidP="007865BC">
            <w:pPr>
              <w:pStyle w:val="ListBullet2"/>
            </w:pPr>
            <w:r>
              <w:t>customs duties</w:t>
            </w:r>
          </w:p>
          <w:p w:rsidR="007865BC" w:rsidRDefault="007865BC" w:rsidP="007865BC">
            <w:pPr>
              <w:pStyle w:val="ListBullet2"/>
            </w:pPr>
            <w:r>
              <w:t>passenger movement charge</w:t>
            </w:r>
          </w:p>
          <w:p w:rsidR="007865BC" w:rsidRDefault="007865BC" w:rsidP="007865BC">
            <w:pPr>
              <w:pStyle w:val="ListBullet2"/>
            </w:pPr>
            <w:r>
              <w:t>wine equalisation tax</w:t>
            </w:r>
          </w:p>
          <w:p w:rsidR="007865BC" w:rsidRDefault="007865BC" w:rsidP="007865BC">
            <w:pPr>
              <w:pStyle w:val="ListBullet2"/>
            </w:pPr>
            <w:r>
              <w:t>luxury car tax</w:t>
            </w:r>
          </w:p>
          <w:p w:rsidR="007865BC" w:rsidRDefault="007865BC" w:rsidP="007865BC">
            <w:pPr>
              <w:pStyle w:val="ListBullet2"/>
            </w:pPr>
            <w:r>
              <w:t>major bank levy.</w:t>
            </w:r>
          </w:p>
          <w:p w:rsidR="005D1CE5" w:rsidRPr="008D77AF" w:rsidRDefault="007865BC" w:rsidP="00465F92">
            <w:pPr>
              <w:pStyle w:val="ListBullet"/>
              <w:numPr>
                <w:ilvl w:val="0"/>
                <w:numId w:val="0"/>
              </w:numPr>
            </w:pPr>
            <w:r>
              <w:t>All</w:t>
            </w:r>
            <w:r w:rsidR="00A06A8E">
              <w:t xml:space="preserve"> changes</w:t>
            </w:r>
            <w:r w:rsidR="00C2742A">
              <w:t>,</w:t>
            </w:r>
            <w:r w:rsidR="00A06A8E">
              <w:t xml:space="preserve"> </w:t>
            </w:r>
            <w:r>
              <w:t xml:space="preserve">except those to </w:t>
            </w:r>
            <w:r w:rsidR="00465F92">
              <w:t>FBT</w:t>
            </w:r>
            <w:r w:rsidR="00C2742A">
              <w:t>,</w:t>
            </w:r>
            <w:r w:rsidR="00423CA8">
              <w:t xml:space="preserve"> </w:t>
            </w:r>
            <w:r w:rsidR="005D1CE5">
              <w:t>would have effect from 1 July 2019</w:t>
            </w:r>
            <w:r w:rsidR="00A06A8E">
              <w:t>.  T</w:t>
            </w:r>
            <w:r w:rsidR="00423CA8">
              <w:t xml:space="preserve">he </w:t>
            </w:r>
            <w:r w:rsidR="00A06A8E">
              <w:t xml:space="preserve">changes to </w:t>
            </w:r>
            <w:r w:rsidR="00465F92">
              <w:t>FBT</w:t>
            </w:r>
            <w:r w:rsidR="00423CA8">
              <w:t xml:space="preserve"> </w:t>
            </w:r>
            <w:r w:rsidR="00A06A8E">
              <w:t xml:space="preserve">would have effect </w:t>
            </w:r>
            <w:r w:rsidR="00423CA8">
              <w:t>from 1 April 2020</w:t>
            </w:r>
            <w:r w:rsidR="005D1CE5">
              <w:t>.  The policy would be announced on 1 July 2019.</w:t>
            </w:r>
          </w:p>
        </w:tc>
      </w:tr>
    </w:tbl>
    <w:p w:rsidR="00AA478E" w:rsidRDefault="00AA478E" w:rsidP="00AA478E">
      <w:pPr>
        <w:pStyle w:val="Heading1"/>
      </w:pPr>
      <w:r w:rsidRPr="008D77AF">
        <w:t>Costing overview</w:t>
      </w:r>
    </w:p>
    <w:p w:rsidR="00C91D48" w:rsidRDefault="00423CA8" w:rsidP="00DB2BB4">
      <w:pPr>
        <w:pStyle w:val="BodyText"/>
        <w:keepLines/>
      </w:pPr>
      <w:r>
        <w:t xml:space="preserve">The proposal would </w:t>
      </w:r>
      <w:r w:rsidR="00533F9F">
        <w:t>decrease</w:t>
      </w:r>
      <w:r>
        <w:t xml:space="preserve"> the fiscal </w:t>
      </w:r>
      <w:r w:rsidR="00A9509D">
        <w:t>balance</w:t>
      </w:r>
      <w:r w:rsidR="0015548E">
        <w:t xml:space="preserve"> and the underlying cash balance by $62</w:t>
      </w:r>
      <w:r w:rsidR="00FB3DC0">
        <w:t>2</w:t>
      </w:r>
      <w:r w:rsidR="0015548E">
        <w:t xml:space="preserve">,760 million </w:t>
      </w:r>
      <w:r>
        <w:t>over the 2018</w:t>
      </w:r>
      <w:r>
        <w:noBreakHyphen/>
        <w:t xml:space="preserve">19 Budget forward estimates period.  </w:t>
      </w:r>
      <w:r w:rsidR="00533F9F">
        <w:t xml:space="preserve">The fiscal balance impact reflects a </w:t>
      </w:r>
      <w:r w:rsidR="0015548E">
        <w:t>decrease</w:t>
      </w:r>
      <w:r w:rsidR="00533F9F">
        <w:t xml:space="preserve"> in revenue of $</w:t>
      </w:r>
      <w:r w:rsidR="0015548E">
        <w:t>66</w:t>
      </w:r>
      <w:r w:rsidR="00FB3DC0">
        <w:t>1</w:t>
      </w:r>
      <w:r w:rsidR="00A9509D">
        <w:t>,000</w:t>
      </w:r>
      <w:r w:rsidR="00533F9F">
        <w:t xml:space="preserve"> million</w:t>
      </w:r>
      <w:r w:rsidR="00FE00A4">
        <w:t xml:space="preserve"> </w:t>
      </w:r>
      <w:r w:rsidR="00767FEE">
        <w:t xml:space="preserve">and </w:t>
      </w:r>
      <w:r w:rsidR="00DE4113">
        <w:t xml:space="preserve">a decrease </w:t>
      </w:r>
      <w:r w:rsidR="00533F9F">
        <w:t>in expenses of $</w:t>
      </w:r>
      <w:r w:rsidR="00DE4113">
        <w:t>38</w:t>
      </w:r>
      <w:r w:rsidR="0015548E">
        <w:t>,240</w:t>
      </w:r>
      <w:r w:rsidR="00F11403">
        <w:t> </w:t>
      </w:r>
      <w:r w:rsidR="00533F9F">
        <w:t xml:space="preserve">million over this period.  </w:t>
      </w:r>
    </w:p>
    <w:p w:rsidR="00533F9F" w:rsidRDefault="00533F9F" w:rsidP="00C91D48">
      <w:pPr>
        <w:pStyle w:val="BodyText"/>
      </w:pPr>
      <w:r>
        <w:lastRenderedPageBreak/>
        <w:t>The proposal would have an ongoing impact beyond the 2018</w:t>
      </w:r>
      <w:r>
        <w:noBreakHyphen/>
        <w:t xml:space="preserve">19 Budget forward estimates period.  </w:t>
      </w:r>
      <w:r w:rsidR="00311208">
        <w:t>A breakdown of the financial implications over the period to 2028</w:t>
      </w:r>
      <w:r w:rsidR="00311208">
        <w:noBreakHyphen/>
        <w:t>29 is</w:t>
      </w:r>
      <w:r>
        <w:t xml:space="preserve"> provided at </w:t>
      </w:r>
      <w:r w:rsidRPr="00533F9F">
        <w:rPr>
          <w:u w:val="single"/>
        </w:rPr>
        <w:t>Attachment A</w:t>
      </w:r>
      <w:r>
        <w:t xml:space="preserve">.  </w:t>
      </w:r>
    </w:p>
    <w:p w:rsidR="00533F9F" w:rsidRDefault="00311208" w:rsidP="00C91D48">
      <w:pPr>
        <w:pStyle w:val="BodyText"/>
      </w:pPr>
      <w:r>
        <w:t>The proposal would be expected to</w:t>
      </w:r>
      <w:r w:rsidR="00AC243A">
        <w:t xml:space="preserve"> </w:t>
      </w:r>
      <w:r w:rsidR="0015548E">
        <w:t>decrease</w:t>
      </w:r>
      <w:r w:rsidR="007C570F">
        <w:t xml:space="preserve"> d</w:t>
      </w:r>
      <w:r w:rsidR="00533F9F">
        <w:t xml:space="preserve">epartmental expenses </w:t>
      </w:r>
      <w:r>
        <w:t>by</w:t>
      </w:r>
      <w:r w:rsidR="007C570F">
        <w:t xml:space="preserve"> </w:t>
      </w:r>
      <w:r w:rsidR="0015548E">
        <w:t>$240</w:t>
      </w:r>
      <w:r w:rsidR="00533F9F">
        <w:t> million</w:t>
      </w:r>
      <w:r w:rsidR="0015548E">
        <w:t xml:space="preserve"> over the 2018</w:t>
      </w:r>
      <w:r w:rsidR="0015548E">
        <w:noBreakHyphen/>
        <w:t>19 Budget forward estimates period</w:t>
      </w:r>
      <w:r>
        <w:t xml:space="preserve"> and this decrease would be ongoing</w:t>
      </w:r>
      <w:r w:rsidR="00533F9F">
        <w:t xml:space="preserve">. </w:t>
      </w:r>
      <w:r w:rsidR="009E0B16">
        <w:t xml:space="preserve"> </w:t>
      </w:r>
      <w:r w:rsidR="00533F9F">
        <w:t xml:space="preserve">This </w:t>
      </w:r>
      <w:r w:rsidR="00852837">
        <w:t>decrease</w:t>
      </w:r>
      <w:r w:rsidR="00533F9F">
        <w:t xml:space="preserve"> reflects the initial expenses </w:t>
      </w:r>
      <w:r w:rsidR="00287463">
        <w:t>in 201</w:t>
      </w:r>
      <w:r w:rsidR="000B092A">
        <w:t>8</w:t>
      </w:r>
      <w:r w:rsidR="00287463">
        <w:t>-</w:t>
      </w:r>
      <w:r w:rsidR="000B092A">
        <w:t>19</w:t>
      </w:r>
      <w:r w:rsidR="00287463">
        <w:t xml:space="preserve"> </w:t>
      </w:r>
      <w:r w:rsidR="00533F9F">
        <w:t>required to implement the proposal</w:t>
      </w:r>
      <w:r w:rsidR="00AC243A">
        <w:t>, including system changes and information campaigns</w:t>
      </w:r>
      <w:r w:rsidR="00287463">
        <w:t xml:space="preserve">, </w:t>
      </w:r>
      <w:r w:rsidR="000B092A">
        <w:t>and a subsequent decrease in</w:t>
      </w:r>
      <w:r w:rsidR="00287463">
        <w:t xml:space="preserve"> the ongoing costs to administer the programs to be </w:t>
      </w:r>
      <w:r w:rsidR="00852837">
        <w:t>abolished</w:t>
      </w:r>
      <w:r w:rsidR="00287463">
        <w:t xml:space="preserve"> under this proposal.</w:t>
      </w:r>
    </w:p>
    <w:p w:rsidR="009A11AF" w:rsidRDefault="00287463" w:rsidP="00C91D48">
      <w:pPr>
        <w:pStyle w:val="BodyText"/>
      </w:pPr>
      <w:r>
        <w:t>There is a difference between the fiscal and underlying cash</w:t>
      </w:r>
      <w:r w:rsidR="00465F92">
        <w:t xml:space="preserve"> balance</w:t>
      </w:r>
      <w:r>
        <w:t xml:space="preserve"> impact as there is a timing difference between when liabilities for </w:t>
      </w:r>
      <w:r w:rsidR="00C52BFE">
        <w:t>goods and service t</w:t>
      </w:r>
      <w:r w:rsidR="00CD540A">
        <w:t>ax (</w:t>
      </w:r>
      <w:r>
        <w:t>GST</w:t>
      </w:r>
      <w:r w:rsidR="00CD540A">
        <w:t>)</w:t>
      </w:r>
      <w:r>
        <w:t xml:space="preserve"> revenue, </w:t>
      </w:r>
      <w:r w:rsidR="00465F92">
        <w:t>f</w:t>
      </w:r>
      <w:r>
        <w:t xml:space="preserve">uel </w:t>
      </w:r>
      <w:r w:rsidR="00465F92">
        <w:t>ta</w:t>
      </w:r>
      <w:r>
        <w:t xml:space="preserve">x </w:t>
      </w:r>
      <w:r w:rsidR="00465F92">
        <w:t>c</w:t>
      </w:r>
      <w:r>
        <w:t>redit expenses an</w:t>
      </w:r>
      <w:r w:rsidR="00681B8C">
        <w:t>d refundable r</w:t>
      </w:r>
      <w:r>
        <w:t xml:space="preserve">esearch and </w:t>
      </w:r>
      <w:r w:rsidR="00681B8C">
        <w:t>development tax o</w:t>
      </w:r>
      <w:r>
        <w:t>ffset expenses are recognised and when these payments are made.</w:t>
      </w:r>
    </w:p>
    <w:p w:rsidR="00DE4113" w:rsidRDefault="009A11AF" w:rsidP="00C91D48">
      <w:pPr>
        <w:pStyle w:val="BodyText"/>
      </w:pPr>
      <w:r w:rsidRPr="009A11AF">
        <w:t>On 22 August 2018, the</w:t>
      </w:r>
      <w:r w:rsidR="00DB2BB4">
        <w:t xml:space="preserve"> </w:t>
      </w:r>
      <w:r w:rsidR="00DC474F">
        <w:t>Commonwealth</w:t>
      </w:r>
      <w:r w:rsidR="00465F92">
        <w:t xml:space="preserve"> </w:t>
      </w:r>
      <w:r w:rsidRPr="009A11AF">
        <w:t xml:space="preserve">Government announced that they will not proceed with the unlegislated portions of the 2016-17 Budget measure </w:t>
      </w:r>
      <w:r w:rsidRPr="009A11AF">
        <w:rPr>
          <w:i/>
        </w:rPr>
        <w:t>Ten Year Enterprise Tax Plan - reduce the company tax rate to 25 per cent</w:t>
      </w:r>
      <w:r w:rsidRPr="009A11AF">
        <w:t>.</w:t>
      </w:r>
      <w:r w:rsidRPr="009A11AF">
        <w:rPr>
          <w:rFonts w:cstheme="minorBidi"/>
          <w:i/>
          <w:spacing w:val="0"/>
          <w:vertAlign w:val="superscript"/>
        </w:rPr>
        <w:t xml:space="preserve"> </w:t>
      </w:r>
      <w:r w:rsidRPr="009A11AF">
        <w:rPr>
          <w:i/>
          <w:vertAlign w:val="superscript"/>
        </w:rPr>
        <w:footnoteReference w:id="1"/>
      </w:r>
      <w:r w:rsidRPr="009A11AF">
        <w:t xml:space="preserve">  This change does not form part of the current budget baseline, and would be expected to be included in the budget baseline at the release of the next economic and fiscal </w:t>
      </w:r>
      <w:r w:rsidR="00465F92">
        <w:t>update</w:t>
      </w:r>
      <w:r w:rsidRPr="009A11AF">
        <w:t xml:space="preserve">.  </w:t>
      </w:r>
      <w:r w:rsidR="00BE56B4">
        <w:t>In the absence of any offsetting tax measures, this</w:t>
      </w:r>
      <w:r w:rsidR="00465F92">
        <w:t xml:space="preserve"> proposal</w:t>
      </w:r>
      <w:r w:rsidR="00BE56B4">
        <w:t xml:space="preserve"> would</w:t>
      </w:r>
      <w:r w:rsidR="00465F92">
        <w:t xml:space="preserve"> be expected</w:t>
      </w:r>
      <w:r w:rsidR="00BE56B4">
        <w:t xml:space="preserve"> </w:t>
      </w:r>
      <w:r w:rsidR="00681B8C">
        <w:t xml:space="preserve">to </w:t>
      </w:r>
      <w:r w:rsidR="00BE56B4">
        <w:t xml:space="preserve">result in a larger reduction in the fiscal and underlying cash balances </w:t>
      </w:r>
      <w:r w:rsidR="00465F92">
        <w:t>after</w:t>
      </w:r>
      <w:r w:rsidR="00BE56B4">
        <w:t xml:space="preserve"> the next economic and fiscal </w:t>
      </w:r>
      <w:r w:rsidR="00465F92">
        <w:t>update</w:t>
      </w:r>
      <w:r w:rsidR="00465F92" w:rsidRPr="00465F92">
        <w:t xml:space="preserve"> </w:t>
      </w:r>
      <w:r w:rsidR="00465F92">
        <w:t>than shown in this costing</w:t>
      </w:r>
      <w:r w:rsidR="00BE56B4">
        <w:t>.</w:t>
      </w:r>
    </w:p>
    <w:p w:rsidR="007865BC" w:rsidRDefault="00C2742A" w:rsidP="00C91D48">
      <w:pPr>
        <w:pStyle w:val="BodyText"/>
      </w:pPr>
      <w:r>
        <w:t xml:space="preserve">Estimates of this proposal </w:t>
      </w:r>
      <w:r w:rsidR="00465F92">
        <w:t xml:space="preserve">have a very significant </w:t>
      </w:r>
      <w:r>
        <w:t>impact on a number of different revenue</w:t>
      </w:r>
      <w:r w:rsidR="00465F92">
        <w:t xml:space="preserve"> heads</w:t>
      </w:r>
      <w:r>
        <w:t xml:space="preserve"> and expense</w:t>
      </w:r>
      <w:r w:rsidR="00465F92">
        <w:t xml:space="preserve"> programs</w:t>
      </w:r>
      <w:r>
        <w:t>.</w:t>
      </w:r>
    </w:p>
    <w:p w:rsidR="00C2742A" w:rsidRDefault="00C2742A" w:rsidP="00C2742A">
      <w:pPr>
        <w:pStyle w:val="ListBullet"/>
      </w:pPr>
      <w:r>
        <w:t>The impact on p</w:t>
      </w:r>
      <w:r w:rsidRPr="00C2742A">
        <w:t>ersonal income tax</w:t>
      </w:r>
      <w:r w:rsidR="00465F92">
        <w:t xml:space="preserve"> revenue</w:t>
      </w:r>
      <w:r>
        <w:t xml:space="preserve"> includes the changes to personal income tax, the reduction to the </w:t>
      </w:r>
      <w:r w:rsidR="00465F92">
        <w:t>FBT</w:t>
      </w:r>
      <w:r>
        <w:t xml:space="preserve"> rate and the effect of the reduction in company tax</w:t>
      </w:r>
      <w:r w:rsidR="00C7534D">
        <w:t xml:space="preserve"> rate on franking credits </w:t>
      </w:r>
      <w:r>
        <w:t>to individuals.</w:t>
      </w:r>
    </w:p>
    <w:p w:rsidR="00C2742A" w:rsidRDefault="00C2742A" w:rsidP="00C2742A">
      <w:pPr>
        <w:pStyle w:val="ListBullet"/>
      </w:pPr>
      <w:r>
        <w:t xml:space="preserve">The impact on company tax </w:t>
      </w:r>
      <w:r w:rsidR="00465F92">
        <w:t xml:space="preserve">revenue </w:t>
      </w:r>
      <w:r>
        <w:t xml:space="preserve">includes the reduction in the company tax rate, the effect of this reduction on </w:t>
      </w:r>
      <w:r w:rsidR="00BB31CB">
        <w:t>refunds of franking credits</w:t>
      </w:r>
      <w:r w:rsidR="001E0D59">
        <w:t xml:space="preserve"> to charities</w:t>
      </w:r>
      <w:r w:rsidR="00465F92">
        <w:t>,</w:t>
      </w:r>
      <w:r w:rsidR="001E0D59">
        <w:t xml:space="preserve"> </w:t>
      </w:r>
      <w:r>
        <w:t xml:space="preserve">and the increase in company tax due to the </w:t>
      </w:r>
      <w:r w:rsidR="00DE4113">
        <w:t>flow</w:t>
      </w:r>
      <w:r w:rsidR="00DE4113">
        <w:noBreakHyphen/>
        <w:t>on impact to f</w:t>
      </w:r>
      <w:r w:rsidR="001E0D59">
        <w:t xml:space="preserve">uel </w:t>
      </w:r>
      <w:r w:rsidR="00DE4113">
        <w:t>t</w:t>
      </w:r>
      <w:r w:rsidR="001E0D59">
        <w:t xml:space="preserve">ax </w:t>
      </w:r>
      <w:r w:rsidR="00DE4113">
        <w:t>c</w:t>
      </w:r>
      <w:r w:rsidR="001E0D59">
        <w:t xml:space="preserve">redits due to the </w:t>
      </w:r>
      <w:r w:rsidR="00BE56B4">
        <w:t>abolition</w:t>
      </w:r>
      <w:r w:rsidR="001E0D59">
        <w:t xml:space="preserve"> of fuel excise.</w:t>
      </w:r>
    </w:p>
    <w:p w:rsidR="00CD540A" w:rsidRDefault="00CD540A" w:rsidP="00CD540A">
      <w:pPr>
        <w:pStyle w:val="ListBullet"/>
      </w:pPr>
      <w:r>
        <w:t xml:space="preserve">The impact on other indirect </w:t>
      </w:r>
      <w:r w:rsidR="00465F92">
        <w:t xml:space="preserve">tax revenue </w:t>
      </w:r>
      <w:r>
        <w:t xml:space="preserve">includes the effects of the </w:t>
      </w:r>
      <w:r w:rsidR="00BE56B4">
        <w:t>abolition</w:t>
      </w:r>
      <w:r>
        <w:t xml:space="preserve"> of tobacco, alcohol and fuel excise, customs duties, the passenger movement charge, the wine equalisation tax, the luxury car tax</w:t>
      </w:r>
      <w:r w:rsidR="00465F92">
        <w:t>,</w:t>
      </w:r>
      <w:r>
        <w:t xml:space="preserve"> and the major bank levy.</w:t>
      </w:r>
    </w:p>
    <w:p w:rsidR="00CD540A" w:rsidRDefault="00CD540A" w:rsidP="00CD540A">
      <w:pPr>
        <w:pStyle w:val="ListBullet"/>
      </w:pPr>
      <w:r>
        <w:t xml:space="preserve">The GST revenue impact </w:t>
      </w:r>
      <w:r w:rsidR="00465F92">
        <w:t xml:space="preserve">reflects </w:t>
      </w:r>
      <w:r>
        <w:t xml:space="preserve">the reduction to the retail price of </w:t>
      </w:r>
      <w:r w:rsidR="00F67656">
        <w:t>goods whose retail prices include the cost of indirect taxes abolished under the proposal.</w:t>
      </w:r>
    </w:p>
    <w:p w:rsidR="00F67656" w:rsidRDefault="00F67656" w:rsidP="00F67656">
      <w:pPr>
        <w:pStyle w:val="ListBullet"/>
      </w:pPr>
      <w:r>
        <w:t>The impact on superannuation tax</w:t>
      </w:r>
      <w:r w:rsidR="00465F92">
        <w:t xml:space="preserve"> revenue</w:t>
      </w:r>
      <w:r>
        <w:t xml:space="preserve"> is due to the effect of the reduction in </w:t>
      </w:r>
      <w:r w:rsidR="00465F92">
        <w:t xml:space="preserve">the </w:t>
      </w:r>
      <w:r>
        <w:t>company tax</w:t>
      </w:r>
      <w:r w:rsidR="00BB31CB">
        <w:t xml:space="preserve"> rate</w:t>
      </w:r>
      <w:r>
        <w:t xml:space="preserve"> on </w:t>
      </w:r>
      <w:r w:rsidR="00BB31CB">
        <w:t xml:space="preserve">refunds of franking credits </w:t>
      </w:r>
      <w:r>
        <w:t xml:space="preserve">to superannuation funds.  </w:t>
      </w:r>
    </w:p>
    <w:p w:rsidR="00F67656" w:rsidRDefault="00F67656" w:rsidP="00F67656">
      <w:pPr>
        <w:pStyle w:val="ListBullet"/>
      </w:pPr>
      <w:r>
        <w:t xml:space="preserve">The GST expense impact </w:t>
      </w:r>
      <w:r w:rsidR="00465F92">
        <w:t xml:space="preserve">reflects </w:t>
      </w:r>
      <w:r>
        <w:t xml:space="preserve">the reduction in payments of GST revenue to the </w:t>
      </w:r>
      <w:r w:rsidR="00C45266">
        <w:t>s</w:t>
      </w:r>
      <w:r>
        <w:t>tates and territories.</w:t>
      </w:r>
    </w:p>
    <w:p w:rsidR="00F67656" w:rsidRDefault="00F67656" w:rsidP="00F67656">
      <w:pPr>
        <w:pStyle w:val="ListBullet"/>
      </w:pPr>
      <w:r>
        <w:t xml:space="preserve">The </w:t>
      </w:r>
      <w:r w:rsidR="00DB2BB4">
        <w:t>f</w:t>
      </w:r>
      <w:r w:rsidR="00465F92">
        <w:t xml:space="preserve">uel </w:t>
      </w:r>
      <w:r w:rsidR="00DB2BB4">
        <w:t>t</w:t>
      </w:r>
      <w:r w:rsidR="00465F92">
        <w:t xml:space="preserve">ax </w:t>
      </w:r>
      <w:r w:rsidR="00DB2BB4">
        <w:t>c</w:t>
      </w:r>
      <w:r w:rsidR="00465F92">
        <w:t>redit</w:t>
      </w:r>
      <w:r>
        <w:t xml:space="preserve"> expense impact is due t</w:t>
      </w:r>
      <w:r w:rsidR="00852837">
        <w:t xml:space="preserve">o the </w:t>
      </w:r>
      <w:r w:rsidR="00BE56B4">
        <w:t>abolition</w:t>
      </w:r>
      <w:r w:rsidR="00852837">
        <w:t xml:space="preserve"> of fuel taxes removing eligibility for this program.</w:t>
      </w:r>
    </w:p>
    <w:p w:rsidR="00F67656" w:rsidRDefault="00F67656" w:rsidP="00F67656">
      <w:pPr>
        <w:pStyle w:val="ListBullet"/>
      </w:pPr>
      <w:r>
        <w:t xml:space="preserve">The </w:t>
      </w:r>
      <w:r w:rsidR="00681B8C" w:rsidRPr="00F67656">
        <w:t>refundable</w:t>
      </w:r>
      <w:r w:rsidR="00681B8C">
        <w:t xml:space="preserve"> </w:t>
      </w:r>
      <w:r>
        <w:t>r</w:t>
      </w:r>
      <w:r w:rsidRPr="00F67656">
        <w:t>esearch and development tax offset</w:t>
      </w:r>
      <w:r>
        <w:t xml:space="preserve"> expense impact is due to the linkage of this rate with the corporate tax rate.</w:t>
      </w:r>
      <w:r w:rsidR="00910A52">
        <w:br/>
      </w:r>
    </w:p>
    <w:p w:rsidR="00BB31CB" w:rsidRDefault="006A31D6" w:rsidP="00852837">
      <w:pPr>
        <w:pStyle w:val="BodyText"/>
      </w:pPr>
      <w:r w:rsidRPr="006A31D6">
        <w:lastRenderedPageBreak/>
        <w:t xml:space="preserve">This costing does not include any allowance for broader economic impacts from </w:t>
      </w:r>
      <w:r w:rsidR="00EA012F">
        <w:t>decreasing</w:t>
      </w:r>
      <w:r w:rsidRPr="006A31D6">
        <w:t xml:space="preserve"> </w:t>
      </w:r>
      <w:r w:rsidR="005B1119">
        <w:t>taxes</w:t>
      </w:r>
      <w:r w:rsidR="00EA012F">
        <w:t>.  While the 2016-</w:t>
      </w:r>
      <w:r w:rsidRPr="006A31D6">
        <w:t>17 Budget Papers note that a reduction in the company tax rate is expected to increase the level of gross domestic product over time, the costing presented in the 2016</w:t>
      </w:r>
      <w:r w:rsidR="00C45266">
        <w:noBreakHyphen/>
      </w:r>
      <w:r w:rsidRPr="006A31D6">
        <w:t xml:space="preserve">17 Budget did not include this effect.  A </w:t>
      </w:r>
      <w:r w:rsidR="00EA012F">
        <w:t>further decrease</w:t>
      </w:r>
      <w:r w:rsidRPr="006A31D6">
        <w:t xml:space="preserve"> in the company tax rate would be expected to have a </w:t>
      </w:r>
      <w:r w:rsidR="00EA012F">
        <w:t>positive</w:t>
      </w:r>
      <w:r w:rsidRPr="006A31D6">
        <w:t xml:space="preserve"> impact on business investment and the total level of economic activity.  This impact would </w:t>
      </w:r>
      <w:r w:rsidR="005B1119">
        <w:t xml:space="preserve">otherwise </w:t>
      </w:r>
      <w:r w:rsidRPr="006A31D6">
        <w:t xml:space="preserve">be expected to result in </w:t>
      </w:r>
      <w:r w:rsidR="00EA012F">
        <w:t>higher</w:t>
      </w:r>
      <w:r w:rsidRPr="006A31D6">
        <w:t xml:space="preserve"> revenues from other taxes such as personal income tax</w:t>
      </w:r>
      <w:r w:rsidR="00317CB3">
        <w:t>,</w:t>
      </w:r>
      <w:r w:rsidRPr="006A31D6">
        <w:t xml:space="preserve"> and </w:t>
      </w:r>
      <w:r w:rsidR="00EA012F">
        <w:t>lower</w:t>
      </w:r>
      <w:r w:rsidRPr="006A31D6">
        <w:t xml:space="preserve"> payments for programs such as working age benefits.  However the magnitude and timing of these impacts is too </w:t>
      </w:r>
      <w:r w:rsidR="00EA012F">
        <w:t>uncertain to estimate</w:t>
      </w:r>
      <w:r w:rsidR="00317CB3">
        <w:t xml:space="preserve">, including </w:t>
      </w:r>
      <w:r w:rsidRPr="006A31D6">
        <w:t xml:space="preserve">because it depends on how the </w:t>
      </w:r>
      <w:r w:rsidR="00EA012F">
        <w:t>reduction to</w:t>
      </w:r>
      <w:r w:rsidRPr="006A31D6">
        <w:t xml:space="preserve"> tax revenue is </w:t>
      </w:r>
      <w:r w:rsidR="00317CB3">
        <w:t>to be funded</w:t>
      </w:r>
      <w:r w:rsidRPr="006A31D6">
        <w:t xml:space="preserve">.  </w:t>
      </w:r>
    </w:p>
    <w:p w:rsidR="00327BCE" w:rsidRDefault="009A11AF" w:rsidP="00852837">
      <w:pPr>
        <w:pStyle w:val="BodyText"/>
      </w:pPr>
      <w:r w:rsidRPr="009A11AF">
        <w:t>The costing is subject to uncertainties around the key economic parameters</w:t>
      </w:r>
      <w:r w:rsidR="00533F9F">
        <w:t>.</w:t>
      </w:r>
      <w:r w:rsidR="00533F9F">
        <w:rPr>
          <w:rStyle w:val="FootnoteReference"/>
        </w:rPr>
        <w:footnoteReference w:id="2"/>
      </w:r>
      <w:r w:rsidR="00681B8C">
        <w:t xml:space="preserve">  Given the </w:t>
      </w:r>
      <w:r w:rsidR="00317CB3">
        <w:t xml:space="preserve">magnitude and scale of the proposed </w:t>
      </w:r>
      <w:r w:rsidR="00D969C7">
        <w:t xml:space="preserve">change in tax rates there is </w:t>
      </w:r>
      <w:r w:rsidR="00311208">
        <w:t xml:space="preserve">also </w:t>
      </w:r>
      <w:r w:rsidR="00D969C7">
        <w:t xml:space="preserve">substantial uncertainty around the behavioural responses </w:t>
      </w:r>
      <w:r w:rsidR="00317CB3">
        <w:t>to</w:t>
      </w:r>
      <w:r w:rsidR="00D969C7">
        <w:t xml:space="preserve"> the proposal.  </w:t>
      </w:r>
      <w:r w:rsidRPr="009A11AF">
        <w:t>Changes to these assumptions could significantly alter the costing estimates.</w:t>
      </w:r>
      <w:r>
        <w:t xml:space="preserve">  </w:t>
      </w:r>
      <w:r w:rsidR="00D969C7">
        <w:t xml:space="preserve">  </w:t>
      </w:r>
    </w:p>
    <w:p w:rsidR="0050132A" w:rsidRPr="00F274DB" w:rsidRDefault="0050132A" w:rsidP="00916F37">
      <w:pPr>
        <w:pStyle w:val="Caption"/>
      </w:pPr>
      <w:r w:rsidRPr="00916F37">
        <w:t xml:space="preserve">Table </w:t>
      </w:r>
      <w:r w:rsidR="00F267BB">
        <w:t>1</w:t>
      </w:r>
      <w:r w:rsidRPr="00916F37">
        <w:t>:</w:t>
      </w:r>
      <w:r w:rsidR="00F267BB">
        <w:t xml:space="preserve"> Liberal Democrats’ tax policy –</w:t>
      </w:r>
      <w:r w:rsidR="00847973">
        <w:t xml:space="preserve"> </w:t>
      </w:r>
      <w:r w:rsidR="00F267BB">
        <w:t>Financial implications </w:t>
      </w:r>
      <w:r w:rsidRPr="00916F37">
        <w:t>($m</w:t>
      </w:r>
      <w:r>
        <w:t>)</w:t>
      </w:r>
      <w:r w:rsidRPr="008112CC">
        <w:rPr>
          <w:vertAlign w:val="superscript"/>
        </w:rPr>
        <w:t>(a)(b)</w:t>
      </w:r>
    </w:p>
    <w:tbl>
      <w:tblPr>
        <w:tblStyle w:val="LightGrid-Accent6"/>
        <w:tblW w:w="5000" w:type="pct"/>
        <w:tblLook w:val="0680" w:firstRow="0" w:lastRow="0" w:firstColumn="1" w:lastColumn="0" w:noHBand="1" w:noVBand="1"/>
      </w:tblPr>
      <w:tblGrid>
        <w:gridCol w:w="2742"/>
        <w:gridCol w:w="1310"/>
        <w:gridCol w:w="1309"/>
        <w:gridCol w:w="1309"/>
        <w:gridCol w:w="1309"/>
        <w:gridCol w:w="1307"/>
      </w:tblGrid>
      <w:tr w:rsidR="00FC65E5" w:rsidRPr="009B70E6" w:rsidTr="00013620">
        <w:tc>
          <w:tcPr>
            <w:cnfStyle w:val="001000000000" w:firstRow="0" w:lastRow="0" w:firstColumn="1" w:lastColumn="0" w:oddVBand="0" w:evenVBand="0" w:oddHBand="0" w:evenHBand="0" w:firstRowFirstColumn="0" w:firstRowLastColumn="0" w:lastRowFirstColumn="0" w:lastRowLastColumn="0"/>
            <w:tcW w:w="1476" w:type="pct"/>
            <w:shd w:val="clear" w:color="auto" w:fill="D7DDE9" w:themeFill="accent3"/>
            <w:vAlign w:val="center"/>
          </w:tcPr>
          <w:p w:rsidR="00FC65E5" w:rsidRPr="009B70E6" w:rsidRDefault="00FC65E5" w:rsidP="006262CF">
            <w:pPr>
              <w:pStyle w:val="TableHeading"/>
              <w:rPr>
                <w:b w:val="0"/>
                <w:sz w:val="22"/>
              </w:rPr>
            </w:pPr>
          </w:p>
        </w:tc>
        <w:tc>
          <w:tcPr>
            <w:tcW w:w="705" w:type="pct"/>
            <w:shd w:val="clear" w:color="auto" w:fill="D7DDE9" w:themeFill="accent3"/>
            <w:vAlign w:val="center"/>
          </w:tcPr>
          <w:p w:rsidR="00FC65E5" w:rsidRPr="009B70E6" w:rsidRDefault="00FC65E5" w:rsidP="00F44B74">
            <w:pPr>
              <w:pStyle w:val="TableHeadingRight"/>
              <w:cnfStyle w:val="000000000000" w:firstRow="0" w:lastRow="0" w:firstColumn="0" w:lastColumn="0" w:oddVBand="0" w:evenVBand="0" w:oddHBand="0" w:evenHBand="0" w:firstRowFirstColumn="0" w:firstRowLastColumn="0" w:lastRowFirstColumn="0" w:lastRowLastColumn="0"/>
              <w:rPr>
                <w:b w:val="0"/>
                <w:sz w:val="22"/>
              </w:rPr>
            </w:pPr>
            <w:r w:rsidRPr="009B70E6">
              <w:rPr>
                <w:b w:val="0"/>
                <w:sz w:val="22"/>
              </w:rPr>
              <w:t>2018–19</w:t>
            </w:r>
          </w:p>
        </w:tc>
        <w:tc>
          <w:tcPr>
            <w:tcW w:w="705" w:type="pct"/>
            <w:shd w:val="clear" w:color="auto" w:fill="D7DDE9" w:themeFill="accent3"/>
            <w:vAlign w:val="center"/>
          </w:tcPr>
          <w:p w:rsidR="00FC65E5" w:rsidRPr="009B70E6" w:rsidRDefault="00FC65E5" w:rsidP="00F44B74">
            <w:pPr>
              <w:pStyle w:val="TableHeadingRight"/>
              <w:cnfStyle w:val="000000000000" w:firstRow="0" w:lastRow="0" w:firstColumn="0" w:lastColumn="0" w:oddVBand="0" w:evenVBand="0" w:oddHBand="0" w:evenHBand="0" w:firstRowFirstColumn="0" w:firstRowLastColumn="0" w:lastRowFirstColumn="0" w:lastRowLastColumn="0"/>
              <w:rPr>
                <w:b w:val="0"/>
                <w:sz w:val="22"/>
              </w:rPr>
            </w:pPr>
            <w:r w:rsidRPr="009B70E6">
              <w:rPr>
                <w:b w:val="0"/>
                <w:sz w:val="22"/>
              </w:rPr>
              <w:t>2019–20</w:t>
            </w:r>
          </w:p>
        </w:tc>
        <w:tc>
          <w:tcPr>
            <w:tcW w:w="705" w:type="pct"/>
            <w:shd w:val="clear" w:color="auto" w:fill="D7DDE9" w:themeFill="accent3"/>
            <w:vAlign w:val="center"/>
          </w:tcPr>
          <w:p w:rsidR="00FC65E5" w:rsidRPr="009B70E6" w:rsidRDefault="00FC65E5" w:rsidP="00F44B74">
            <w:pPr>
              <w:pStyle w:val="TableHeadingRight"/>
              <w:cnfStyle w:val="000000000000" w:firstRow="0" w:lastRow="0" w:firstColumn="0" w:lastColumn="0" w:oddVBand="0" w:evenVBand="0" w:oddHBand="0" w:evenHBand="0" w:firstRowFirstColumn="0" w:firstRowLastColumn="0" w:lastRowFirstColumn="0" w:lastRowLastColumn="0"/>
              <w:rPr>
                <w:b w:val="0"/>
                <w:sz w:val="22"/>
              </w:rPr>
            </w:pPr>
            <w:r w:rsidRPr="009B70E6">
              <w:rPr>
                <w:b w:val="0"/>
                <w:sz w:val="22"/>
              </w:rPr>
              <w:t>2020–21</w:t>
            </w:r>
          </w:p>
        </w:tc>
        <w:tc>
          <w:tcPr>
            <w:tcW w:w="705" w:type="pct"/>
            <w:shd w:val="clear" w:color="auto" w:fill="D7DDE9" w:themeFill="accent3"/>
            <w:vAlign w:val="center"/>
          </w:tcPr>
          <w:p w:rsidR="00FC65E5" w:rsidRPr="009B70E6" w:rsidRDefault="00FC65E5" w:rsidP="006262CF">
            <w:pPr>
              <w:pStyle w:val="TableHeadingRight"/>
              <w:cnfStyle w:val="000000000000" w:firstRow="0" w:lastRow="0" w:firstColumn="0" w:lastColumn="0" w:oddVBand="0" w:evenVBand="0" w:oddHBand="0" w:evenHBand="0" w:firstRowFirstColumn="0" w:firstRowLastColumn="0" w:lastRowFirstColumn="0" w:lastRowLastColumn="0"/>
              <w:rPr>
                <w:b w:val="0"/>
                <w:sz w:val="22"/>
              </w:rPr>
            </w:pPr>
            <w:r>
              <w:rPr>
                <w:b w:val="0"/>
                <w:sz w:val="22"/>
              </w:rPr>
              <w:t>2021–22</w:t>
            </w:r>
          </w:p>
        </w:tc>
        <w:tc>
          <w:tcPr>
            <w:tcW w:w="704" w:type="pct"/>
            <w:shd w:val="clear" w:color="auto" w:fill="D7DDE9" w:themeFill="accent3"/>
            <w:vAlign w:val="center"/>
          </w:tcPr>
          <w:p w:rsidR="00FC65E5" w:rsidRPr="009B70E6" w:rsidRDefault="00FC65E5" w:rsidP="00FC65E5">
            <w:pPr>
              <w:pStyle w:val="TableHeadingRight"/>
              <w:cnfStyle w:val="000000000000" w:firstRow="0" w:lastRow="0" w:firstColumn="0" w:lastColumn="0" w:oddVBand="0" w:evenVBand="0" w:oddHBand="0" w:evenHBand="0" w:firstRowFirstColumn="0" w:firstRowLastColumn="0" w:lastRowFirstColumn="0" w:lastRowLastColumn="0"/>
              <w:rPr>
                <w:sz w:val="22"/>
              </w:rPr>
            </w:pPr>
            <w:r w:rsidRPr="009B70E6">
              <w:rPr>
                <w:sz w:val="22"/>
              </w:rPr>
              <w:t>Total to 202</w:t>
            </w:r>
            <w:r>
              <w:rPr>
                <w:sz w:val="22"/>
              </w:rPr>
              <w:t>1</w:t>
            </w:r>
            <w:r w:rsidRPr="009B70E6">
              <w:rPr>
                <w:sz w:val="22"/>
              </w:rPr>
              <w:t>–2</w:t>
            </w:r>
            <w:r>
              <w:rPr>
                <w:sz w:val="22"/>
              </w:rPr>
              <w:t>2</w:t>
            </w:r>
          </w:p>
        </w:tc>
      </w:tr>
      <w:tr w:rsidR="00DE4113" w:rsidRPr="009B70E6" w:rsidTr="00013620">
        <w:tc>
          <w:tcPr>
            <w:cnfStyle w:val="001000000000" w:firstRow="0" w:lastRow="0" w:firstColumn="1" w:lastColumn="0" w:oddVBand="0" w:evenVBand="0" w:oddHBand="0" w:evenHBand="0" w:firstRowFirstColumn="0" w:firstRowLastColumn="0" w:lastRowFirstColumn="0" w:lastRowLastColumn="0"/>
            <w:tcW w:w="1476" w:type="pct"/>
            <w:vAlign w:val="center"/>
          </w:tcPr>
          <w:p w:rsidR="00DE4113" w:rsidRPr="009B70E6" w:rsidRDefault="00DE4113" w:rsidP="006262CF">
            <w:pPr>
              <w:pStyle w:val="TableHeading"/>
              <w:rPr>
                <w:rFonts w:asciiTheme="majorHAnsi" w:hAnsiTheme="majorHAnsi"/>
                <w:b w:val="0"/>
                <w:sz w:val="22"/>
              </w:rPr>
            </w:pPr>
            <w:r w:rsidRPr="009B70E6">
              <w:rPr>
                <w:b w:val="0"/>
                <w:sz w:val="22"/>
              </w:rPr>
              <w:t>Fiscal balance</w:t>
            </w:r>
          </w:p>
        </w:tc>
        <w:tc>
          <w:tcPr>
            <w:tcW w:w="705" w:type="pct"/>
            <w:vAlign w:val="center"/>
          </w:tcPr>
          <w:p w:rsidR="00DE4113" w:rsidRPr="00DE4113" w:rsidRDefault="00DE4113" w:rsidP="00DE4113">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Pr>
                <w:sz w:val="22"/>
              </w:rPr>
              <w:t>-100</w:t>
            </w:r>
          </w:p>
        </w:tc>
        <w:tc>
          <w:tcPr>
            <w:tcW w:w="705" w:type="pct"/>
            <w:vAlign w:val="center"/>
          </w:tcPr>
          <w:p w:rsidR="00DE4113" w:rsidRPr="00DE4113" w:rsidRDefault="00DE4113" w:rsidP="00DE4113">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sidRPr="00DE4113">
              <w:rPr>
                <w:sz w:val="22"/>
              </w:rPr>
              <w:t>-186,890</w:t>
            </w:r>
          </w:p>
        </w:tc>
        <w:tc>
          <w:tcPr>
            <w:tcW w:w="705" w:type="pct"/>
            <w:vAlign w:val="center"/>
          </w:tcPr>
          <w:p w:rsidR="00DE4113" w:rsidRPr="00DE4113" w:rsidRDefault="00DE4113" w:rsidP="00DE4113">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sidRPr="00DE4113">
              <w:rPr>
                <w:sz w:val="22"/>
              </w:rPr>
              <w:t>-214,890</w:t>
            </w:r>
          </w:p>
        </w:tc>
        <w:tc>
          <w:tcPr>
            <w:tcW w:w="705" w:type="pct"/>
            <w:vAlign w:val="center"/>
          </w:tcPr>
          <w:p w:rsidR="00DE4113" w:rsidRPr="00DE4113" w:rsidRDefault="00DE4113" w:rsidP="00DE4113">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sidRPr="00DE4113">
              <w:rPr>
                <w:sz w:val="22"/>
              </w:rPr>
              <w:t>-221,890</w:t>
            </w:r>
          </w:p>
        </w:tc>
        <w:tc>
          <w:tcPr>
            <w:tcW w:w="704" w:type="pct"/>
            <w:vAlign w:val="center"/>
          </w:tcPr>
          <w:p w:rsidR="00DE4113" w:rsidRPr="0015548E" w:rsidRDefault="00DE4113" w:rsidP="00FB3DC0">
            <w:pPr>
              <w:pStyle w:val="TableTextRight"/>
              <w:keepNext/>
              <w:keepLines/>
              <w:cnfStyle w:val="000000000000" w:firstRow="0" w:lastRow="0" w:firstColumn="0" w:lastColumn="0" w:oddVBand="0" w:evenVBand="0" w:oddHBand="0" w:evenHBand="0" w:firstRowFirstColumn="0" w:firstRowLastColumn="0" w:lastRowFirstColumn="0" w:lastRowLastColumn="0"/>
              <w:rPr>
                <w:b/>
                <w:sz w:val="22"/>
              </w:rPr>
            </w:pPr>
            <w:r w:rsidRPr="0015548E">
              <w:rPr>
                <w:b/>
                <w:sz w:val="22"/>
              </w:rPr>
              <w:t>-62</w:t>
            </w:r>
            <w:r w:rsidR="00FB3DC0">
              <w:rPr>
                <w:b/>
                <w:sz w:val="22"/>
              </w:rPr>
              <w:t>2</w:t>
            </w:r>
            <w:r w:rsidRPr="0015548E">
              <w:rPr>
                <w:b/>
                <w:sz w:val="22"/>
              </w:rPr>
              <w:t>,760</w:t>
            </w:r>
          </w:p>
        </w:tc>
      </w:tr>
      <w:tr w:rsidR="00DE4113" w:rsidRPr="009B70E6" w:rsidTr="00013620">
        <w:tc>
          <w:tcPr>
            <w:cnfStyle w:val="001000000000" w:firstRow="0" w:lastRow="0" w:firstColumn="1" w:lastColumn="0" w:oddVBand="0" w:evenVBand="0" w:oddHBand="0" w:evenHBand="0" w:firstRowFirstColumn="0" w:firstRowLastColumn="0" w:lastRowFirstColumn="0" w:lastRowLastColumn="0"/>
            <w:tcW w:w="1476" w:type="pct"/>
            <w:vAlign w:val="center"/>
          </w:tcPr>
          <w:p w:rsidR="00DE4113" w:rsidRPr="009B70E6" w:rsidRDefault="00DE4113" w:rsidP="006262CF">
            <w:pPr>
              <w:pStyle w:val="TableHeading"/>
              <w:rPr>
                <w:b w:val="0"/>
                <w:sz w:val="22"/>
              </w:rPr>
            </w:pPr>
            <w:r w:rsidRPr="009B70E6">
              <w:rPr>
                <w:b w:val="0"/>
                <w:sz w:val="22"/>
              </w:rPr>
              <w:t>Underlying cash balance</w:t>
            </w:r>
          </w:p>
        </w:tc>
        <w:tc>
          <w:tcPr>
            <w:tcW w:w="705" w:type="pct"/>
            <w:vAlign w:val="center"/>
          </w:tcPr>
          <w:p w:rsidR="00DE4113" w:rsidRPr="00DE4113" w:rsidRDefault="00DE4113" w:rsidP="00DE4113">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Pr>
                <w:sz w:val="22"/>
              </w:rPr>
              <w:t>-100</w:t>
            </w:r>
          </w:p>
        </w:tc>
        <w:tc>
          <w:tcPr>
            <w:tcW w:w="705" w:type="pct"/>
            <w:vAlign w:val="center"/>
          </w:tcPr>
          <w:p w:rsidR="00DE4113" w:rsidRPr="0015548E" w:rsidRDefault="00DE4113" w:rsidP="0015548E">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sidRPr="0015548E">
              <w:rPr>
                <w:sz w:val="22"/>
              </w:rPr>
              <w:t>-187,980</w:t>
            </w:r>
          </w:p>
        </w:tc>
        <w:tc>
          <w:tcPr>
            <w:tcW w:w="705" w:type="pct"/>
            <w:vAlign w:val="center"/>
          </w:tcPr>
          <w:p w:rsidR="00DE4113" w:rsidRPr="0015548E" w:rsidRDefault="00DE4113" w:rsidP="0015548E">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Pr>
                <w:sz w:val="22"/>
              </w:rPr>
              <w:t>-214</w:t>
            </w:r>
            <w:r w:rsidRPr="0015548E">
              <w:rPr>
                <w:sz w:val="22"/>
              </w:rPr>
              <w:t>,890</w:t>
            </w:r>
          </w:p>
        </w:tc>
        <w:tc>
          <w:tcPr>
            <w:tcW w:w="705" w:type="pct"/>
            <w:vAlign w:val="center"/>
          </w:tcPr>
          <w:p w:rsidR="00DE4113" w:rsidRPr="0015548E" w:rsidRDefault="00DE4113" w:rsidP="0015548E">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sidRPr="0015548E">
              <w:rPr>
                <w:sz w:val="22"/>
              </w:rPr>
              <w:t>-220,890</w:t>
            </w:r>
          </w:p>
        </w:tc>
        <w:tc>
          <w:tcPr>
            <w:tcW w:w="704" w:type="pct"/>
            <w:vAlign w:val="center"/>
          </w:tcPr>
          <w:p w:rsidR="00DE4113" w:rsidRPr="0015548E" w:rsidRDefault="00DE4113" w:rsidP="00FB3DC0">
            <w:pPr>
              <w:pStyle w:val="TableTextRight"/>
              <w:keepNext/>
              <w:keepLines/>
              <w:cnfStyle w:val="000000000000" w:firstRow="0" w:lastRow="0" w:firstColumn="0" w:lastColumn="0" w:oddVBand="0" w:evenVBand="0" w:oddHBand="0" w:evenHBand="0" w:firstRowFirstColumn="0" w:firstRowLastColumn="0" w:lastRowFirstColumn="0" w:lastRowLastColumn="0"/>
              <w:rPr>
                <w:b/>
                <w:sz w:val="22"/>
              </w:rPr>
            </w:pPr>
            <w:r w:rsidRPr="0015548E">
              <w:rPr>
                <w:b/>
                <w:sz w:val="22"/>
              </w:rPr>
              <w:t>-62</w:t>
            </w:r>
            <w:r w:rsidR="00FB3DC0">
              <w:rPr>
                <w:b/>
                <w:sz w:val="22"/>
              </w:rPr>
              <w:t>2</w:t>
            </w:r>
            <w:r w:rsidRPr="0015548E">
              <w:rPr>
                <w:b/>
                <w:sz w:val="22"/>
              </w:rPr>
              <w:t>,760</w:t>
            </w:r>
          </w:p>
        </w:tc>
      </w:tr>
    </w:tbl>
    <w:p w:rsidR="0050132A" w:rsidRPr="00A162FE" w:rsidRDefault="0050132A" w:rsidP="006262CF">
      <w:pPr>
        <w:keepNext/>
        <w:keepLines/>
        <w:spacing w:line="260" w:lineRule="atLeast"/>
        <w:ind w:left="284" w:hanging="284"/>
        <w:rPr>
          <w:sz w:val="20"/>
          <w:szCs w:val="20"/>
        </w:rPr>
      </w:pPr>
      <w:r w:rsidRPr="00A162FE">
        <w:rPr>
          <w:sz w:val="20"/>
          <w:szCs w:val="20"/>
        </w:rPr>
        <w:t>(a)</w:t>
      </w:r>
      <w:r w:rsidRPr="00A162FE">
        <w:rPr>
          <w:sz w:val="20"/>
          <w:szCs w:val="20"/>
        </w:rPr>
        <w:tab/>
        <w:t>A positive number represents an increase in the relevant budget balance; a negative number represents a decrease.</w:t>
      </w:r>
    </w:p>
    <w:p w:rsidR="0050132A" w:rsidRPr="00A162FE" w:rsidRDefault="0050132A" w:rsidP="006262CF">
      <w:pPr>
        <w:keepNext/>
        <w:keepLines/>
        <w:spacing w:line="260" w:lineRule="atLeast"/>
        <w:ind w:left="284" w:hanging="284"/>
        <w:rPr>
          <w:sz w:val="20"/>
          <w:szCs w:val="20"/>
        </w:rPr>
      </w:pPr>
      <w:r w:rsidRPr="00A162FE">
        <w:rPr>
          <w:sz w:val="20"/>
          <w:szCs w:val="20"/>
        </w:rPr>
        <w:t>(b)</w:t>
      </w:r>
      <w:r w:rsidRPr="00A162FE">
        <w:rPr>
          <w:sz w:val="20"/>
          <w:szCs w:val="20"/>
        </w:rPr>
        <w:tab/>
        <w:t>Figures may not sum to totals due to rounding.</w:t>
      </w:r>
    </w:p>
    <w:p w:rsidR="00FE3B13" w:rsidRDefault="00FE3B13" w:rsidP="00CA06C8">
      <w:pPr>
        <w:pStyle w:val="Heading1"/>
      </w:pPr>
      <w:r w:rsidRPr="00CA06C8">
        <w:t>Key assumptions</w:t>
      </w:r>
    </w:p>
    <w:p w:rsidR="00327BCE" w:rsidRPr="00327BCE" w:rsidRDefault="00327BCE" w:rsidP="00327BCE">
      <w:pPr>
        <w:pStyle w:val="BodyText"/>
      </w:pPr>
      <w:r>
        <w:t>The Parliamentary Budget Office has made the following assumptions.</w:t>
      </w:r>
    </w:p>
    <w:p w:rsidR="00287463" w:rsidRDefault="00287463" w:rsidP="00287463">
      <w:pPr>
        <w:pStyle w:val="Heading2"/>
      </w:pPr>
      <w:r>
        <w:t>General</w:t>
      </w:r>
    </w:p>
    <w:p w:rsidR="00287463" w:rsidRDefault="00287463" w:rsidP="00184F85">
      <w:pPr>
        <w:pStyle w:val="ListBullet"/>
      </w:pPr>
      <w:r>
        <w:t>As the proposal would be announced and have effect fro</w:t>
      </w:r>
      <w:r w:rsidR="00327BCE">
        <w:t>m</w:t>
      </w:r>
      <w:r>
        <w:t xml:space="preserve"> the same day, </w:t>
      </w:r>
      <w:r w:rsidR="00327BCE">
        <w:t>there would be no behavioural response by individuals or entities in relation to the start date.</w:t>
      </w:r>
    </w:p>
    <w:p w:rsidR="00311208" w:rsidRPr="00287463" w:rsidRDefault="00311208" w:rsidP="00311208">
      <w:pPr>
        <w:pStyle w:val="Heading2"/>
      </w:pPr>
      <w:r>
        <w:t>Changes to personal income taxes</w:t>
      </w:r>
    </w:p>
    <w:p w:rsidR="00857C91" w:rsidRDefault="00D969C7" w:rsidP="00857C91">
      <w:pPr>
        <w:pStyle w:val="ListBullet"/>
      </w:pPr>
      <w:r>
        <w:t>A behavioural response has been included to account for changes in investment decisions and tax planning arrangements by high</w:t>
      </w:r>
      <w:r>
        <w:noBreakHyphen/>
        <w:t>income earners.</w:t>
      </w:r>
    </w:p>
    <w:p w:rsidR="00246BC6" w:rsidRDefault="00D969C7" w:rsidP="00DB2BB4">
      <w:pPr>
        <w:pStyle w:val="ListBullet2"/>
        <w:keepLines w:val="0"/>
        <w:ind w:left="568" w:hanging="284"/>
      </w:pPr>
      <w:r>
        <w:t>Individuals with incomes in excess of $180,000 are assumed to have a taxable income elasticity of 0.2</w:t>
      </w:r>
      <w:r w:rsidR="00CD3005">
        <w:t>.</w:t>
      </w:r>
      <w:r w:rsidR="00CD3005">
        <w:rPr>
          <w:rStyle w:val="FootnoteReference"/>
        </w:rPr>
        <w:footnoteReference w:id="3"/>
      </w:r>
      <w:r w:rsidR="00CD3005">
        <w:t xml:space="preserve">  Individuals with taxable incomes in excess of $1 million are expected to have a taxable income elasticity of 0.35.</w:t>
      </w:r>
      <w:r w:rsidR="00F7339A">
        <w:rPr>
          <w:rStyle w:val="FootnoteReference"/>
        </w:rPr>
        <w:footnoteReference w:id="4"/>
      </w:r>
      <w:r w:rsidR="00CD3005">
        <w:t xml:space="preserve">  </w:t>
      </w:r>
    </w:p>
    <w:p w:rsidR="00A868A4" w:rsidRDefault="00C41E80" w:rsidP="00E90469">
      <w:pPr>
        <w:pStyle w:val="ListBullet2"/>
      </w:pPr>
      <w:r>
        <w:lastRenderedPageBreak/>
        <w:t xml:space="preserve">The behavioural response has </w:t>
      </w:r>
      <w:r w:rsidR="00CD3005">
        <w:t xml:space="preserve">been adjusted to reflect that the ability </w:t>
      </w:r>
      <w:r w:rsidR="005A2FE1">
        <w:t xml:space="preserve">of individuals </w:t>
      </w:r>
      <w:r w:rsidR="00CD3005">
        <w:t xml:space="preserve">to </w:t>
      </w:r>
      <w:r w:rsidR="00317CB3">
        <w:t xml:space="preserve">increase their </w:t>
      </w:r>
      <w:r w:rsidR="00CD3005">
        <w:t>taxable income is likely to be limited</w:t>
      </w:r>
      <w:r w:rsidR="005A2FE1">
        <w:t>,</w:t>
      </w:r>
      <w:r w:rsidR="00CD3005">
        <w:t xml:space="preserve"> and diminishes as marginal tax rate</w:t>
      </w:r>
      <w:r w:rsidR="005A2FE1">
        <w:t>s</w:t>
      </w:r>
      <w:r w:rsidR="00CD3005">
        <w:t xml:space="preserve"> reduce</w:t>
      </w:r>
      <w:r w:rsidR="00D969C7">
        <w:t>.</w:t>
      </w:r>
      <w:r w:rsidR="00E90469">
        <w:t xml:space="preserve"> </w:t>
      </w:r>
      <w:r w:rsidR="00FC5F72">
        <w:t xml:space="preserve"> </w:t>
      </w:r>
      <w:r w:rsidR="00327D92">
        <w:t>The elasticit</w:t>
      </w:r>
      <w:r w:rsidR="005A2FE1">
        <w:t>ies</w:t>
      </w:r>
      <w:r w:rsidR="00327D92">
        <w:t xml:space="preserve"> </w:t>
      </w:r>
      <w:r w:rsidR="005A2FE1">
        <w:t xml:space="preserve">are </w:t>
      </w:r>
      <w:r w:rsidR="00327D92">
        <w:t xml:space="preserve">assumed to reduce to zero for marginal tax rates less than 30 per cent.  </w:t>
      </w:r>
    </w:p>
    <w:p w:rsidR="00327BCE" w:rsidRDefault="00CD3005" w:rsidP="00327BCE">
      <w:pPr>
        <w:pStyle w:val="ListBullet3"/>
      </w:pPr>
      <w:r>
        <w:t>Lower</w:t>
      </w:r>
      <w:r w:rsidR="005A2FE1">
        <w:t>-</w:t>
      </w:r>
      <w:r>
        <w:t>income earners are likely to have less scope to realise additional income in response to lower marginal tax rates.  As a result</w:t>
      </w:r>
      <w:r w:rsidR="007E4569">
        <w:t>,</w:t>
      </w:r>
      <w:r>
        <w:t xml:space="preserve"> any behavioural response from these individuals is not expected to be significant.  </w:t>
      </w:r>
    </w:p>
    <w:p w:rsidR="00327BCE" w:rsidRDefault="00327BCE" w:rsidP="00327BCE">
      <w:pPr>
        <w:pStyle w:val="Heading2"/>
      </w:pPr>
      <w:r>
        <w:t>Company tax rate reduction</w:t>
      </w:r>
    </w:p>
    <w:p w:rsidR="006A31D6" w:rsidRDefault="006A31D6" w:rsidP="006A31D6">
      <w:pPr>
        <w:pStyle w:val="ListBullet"/>
      </w:pPr>
      <w:r w:rsidRPr="006A31D6">
        <w:t xml:space="preserve">Companies with foreign operations would </w:t>
      </w:r>
      <w:r>
        <w:t>not seek to increase</w:t>
      </w:r>
      <w:r w:rsidRPr="006A31D6">
        <w:t xml:space="preserve"> their taxable inco</w:t>
      </w:r>
      <w:r>
        <w:t>mes in response to the proposed decrease</w:t>
      </w:r>
      <w:r w:rsidRPr="006A31D6">
        <w:t xml:space="preserve"> in company tax rate by </w:t>
      </w:r>
      <w:r>
        <w:t>recognising more</w:t>
      </w:r>
      <w:r w:rsidRPr="006A31D6">
        <w:t xml:space="preserve"> profits </w:t>
      </w:r>
      <w:r>
        <w:t>in</w:t>
      </w:r>
      <w:r w:rsidRPr="006A31D6">
        <w:t xml:space="preserve"> Australia</w:t>
      </w:r>
      <w:r w:rsidR="00317CB3">
        <w:t>,</w:t>
      </w:r>
      <w:r>
        <w:t xml:space="preserve"> as the rate under this proposal is </w:t>
      </w:r>
      <w:r w:rsidR="00EA012F">
        <w:t>not lower than that in many</w:t>
      </w:r>
      <w:r>
        <w:t xml:space="preserve"> existing</w:t>
      </w:r>
      <w:r w:rsidR="00EA012F">
        <w:t xml:space="preserve"> low-tax</w:t>
      </w:r>
      <w:r>
        <w:t xml:space="preserve"> jurisdictions.</w:t>
      </w:r>
    </w:p>
    <w:p w:rsidR="00327BCE" w:rsidRDefault="00327BCE" w:rsidP="00327BCE">
      <w:pPr>
        <w:pStyle w:val="ListBullet"/>
      </w:pPr>
      <w:r>
        <w:t>Company income, deductions and offsets will grow in line with estimated growth in gross operating surplus for all companies.</w:t>
      </w:r>
    </w:p>
    <w:p w:rsidR="00327BCE" w:rsidRDefault="00327BCE" w:rsidP="00327BCE">
      <w:pPr>
        <w:pStyle w:val="ListBullet"/>
      </w:pPr>
      <w:r>
        <w:t>The number of companies liable to pay company tax in Australia will increase in line with historical growth in the number of companies liable to pay company tax in Australia.</w:t>
      </w:r>
    </w:p>
    <w:p w:rsidR="00327BCE" w:rsidRDefault="00327BCE" w:rsidP="00327BCE">
      <w:pPr>
        <w:pStyle w:val="ListBullet"/>
      </w:pPr>
      <w:r>
        <w:t>Companies will continue to pay the same proportion of their after-tax income as dividends.</w:t>
      </w:r>
    </w:p>
    <w:p w:rsidR="00311208" w:rsidRDefault="00BE56B4" w:rsidP="00311208">
      <w:pPr>
        <w:pStyle w:val="Heading2"/>
      </w:pPr>
      <w:r>
        <w:t>Abolition</w:t>
      </w:r>
      <w:r w:rsidR="00311208">
        <w:t xml:space="preserve"> of indirect taxes</w:t>
      </w:r>
    </w:p>
    <w:p w:rsidR="00311208" w:rsidRPr="00287463" w:rsidRDefault="00311208" w:rsidP="00311208">
      <w:pPr>
        <w:pStyle w:val="ListBullet"/>
      </w:pPr>
      <w:r>
        <w:t xml:space="preserve">The retail prices for products for which customs, excises and other indirect taxes are included will be reduced by the full amount of customs, excises and other indirect taxes currently applied, </w:t>
      </w:r>
      <w:r w:rsidR="00C45266">
        <w:t>leading to</w:t>
      </w:r>
      <w:r>
        <w:t xml:space="preserve"> a commensurate reduction in GST revenue and expenses.</w:t>
      </w:r>
    </w:p>
    <w:p w:rsidR="005467E2" w:rsidRDefault="00FE3B13" w:rsidP="00696DCC">
      <w:pPr>
        <w:pStyle w:val="Heading1"/>
      </w:pPr>
      <w:r>
        <w:t>Methodology</w:t>
      </w:r>
    </w:p>
    <w:p w:rsidR="00311208" w:rsidRPr="00287463" w:rsidRDefault="00311208" w:rsidP="00311208">
      <w:pPr>
        <w:pStyle w:val="Heading2"/>
      </w:pPr>
      <w:r>
        <w:t>Changes to personal income taxes</w:t>
      </w:r>
    </w:p>
    <w:p w:rsidR="00D969C7" w:rsidRDefault="00D969C7" w:rsidP="0012427F">
      <w:pPr>
        <w:pStyle w:val="BodyText"/>
      </w:pPr>
      <w:r>
        <w:t>The costing was estimated using a 16 per cent sample of de</w:t>
      </w:r>
      <w:r>
        <w:noBreakHyphen/>
        <w:t>identified personal income tax and superannuation returns for 2014</w:t>
      </w:r>
      <w:r>
        <w:noBreakHyphen/>
        <w:t>15 provided by the Australian Taxation Office (ATO).  The data was used to estimate the change in tax payable under each option.  Behavioural responses were incorporated, reflecting the assumptions above.</w:t>
      </w:r>
    </w:p>
    <w:p w:rsidR="00311208" w:rsidRDefault="00311208" w:rsidP="00311208">
      <w:pPr>
        <w:pStyle w:val="Heading2"/>
      </w:pPr>
      <w:r>
        <w:t>Company tax rate reduction</w:t>
      </w:r>
    </w:p>
    <w:p w:rsidR="0012427F" w:rsidRDefault="0012427F" w:rsidP="0012427F">
      <w:pPr>
        <w:pStyle w:val="BodyText"/>
      </w:pPr>
      <w:r>
        <w:t>The impact of the proposal on company tax, dividend payments, imputation credits and refundable tax offset expenses was calculated using a microsimulation model of company tax as at the 2018</w:t>
      </w:r>
      <w:r>
        <w:noBreakHyphen/>
        <w:t>19</w:t>
      </w:r>
      <w:r w:rsidR="00C45266">
        <w:t> </w:t>
      </w:r>
      <w:r>
        <w:t>Budget, developed by the PBO.  This model estimated the company tax liabilities for all companies over the period to 2028-29 under the current and proposed settings, based on company tax data for the 2015</w:t>
      </w:r>
      <w:r>
        <w:noBreakHyphen/>
        <w:t>16 financial year (including benchmarking to aggregate co</w:t>
      </w:r>
      <w:r w:rsidR="00DE4113">
        <w:t>mpany tax revenue estimates),</w:t>
      </w:r>
      <w:r>
        <w:t xml:space="preserve"> gr</w:t>
      </w:r>
      <w:r w:rsidR="00DE4113">
        <w:t>owth in gross operating surplus</w:t>
      </w:r>
      <w:r w:rsidR="00DB2BB4">
        <w:t>,</w:t>
      </w:r>
      <w:r>
        <w:t xml:space="preserve"> and taking into account the effect of the imputation system.</w:t>
      </w:r>
      <w:r w:rsidR="00BE56B4">
        <w:t xml:space="preserve">  The estimates take account of a ‘clawback’ of tax from resident shareholders as a result of a </w:t>
      </w:r>
      <w:r w:rsidR="00910A52">
        <w:br/>
      </w:r>
      <w:r w:rsidR="00910A52">
        <w:br/>
      </w:r>
      <w:r w:rsidR="00BE56B4">
        <w:lastRenderedPageBreak/>
        <w:t xml:space="preserve">reduction in the value of imputation </w:t>
      </w:r>
      <w:r w:rsidR="0035620D">
        <w:t xml:space="preserve">credits arising from a lower company tax rate.  This clawback is included in the ‘personal income taxes’ and ‘superannuation fund taxes’ revenue lines in </w:t>
      </w:r>
      <w:r w:rsidR="0035620D" w:rsidRPr="00255E70">
        <w:rPr>
          <w:u w:val="single"/>
        </w:rPr>
        <w:t>Attachment A</w:t>
      </w:r>
      <w:r w:rsidR="0035620D">
        <w:t>.</w:t>
      </w:r>
    </w:p>
    <w:p w:rsidR="0012427F" w:rsidRDefault="00BE56B4" w:rsidP="0012427F">
      <w:pPr>
        <w:pStyle w:val="Heading2"/>
      </w:pPr>
      <w:r>
        <w:t>Abolition</w:t>
      </w:r>
      <w:r w:rsidR="0012427F">
        <w:t xml:space="preserve"> of indirect taxes</w:t>
      </w:r>
    </w:p>
    <w:p w:rsidR="0012427F" w:rsidRDefault="0012427F" w:rsidP="0012427F">
      <w:pPr>
        <w:pStyle w:val="BodyText"/>
      </w:pPr>
      <w:r>
        <w:t>The amount of forgone indirect taxation revenue and the resultant reduction in fuel tax credit scheme expense</w:t>
      </w:r>
      <w:r w:rsidR="00317CB3">
        <w:t>s</w:t>
      </w:r>
      <w:r>
        <w:t xml:space="preserve"> was estimated based on 2018-19 Budget estimates. </w:t>
      </w:r>
      <w:r w:rsidR="00C45266">
        <w:t xml:space="preserve"> </w:t>
      </w:r>
      <w:r>
        <w:t xml:space="preserve">Departmental savings reflect the estimated ongoing savings from the abolition </w:t>
      </w:r>
      <w:r w:rsidR="00DB2BB4">
        <w:t xml:space="preserve">of </w:t>
      </w:r>
      <w:r w:rsidR="00317CB3">
        <w:t xml:space="preserve">these taxes and include </w:t>
      </w:r>
      <w:r>
        <w:t xml:space="preserve">the estimated costs of winding down these programs. </w:t>
      </w:r>
    </w:p>
    <w:p w:rsidR="0012427F" w:rsidRPr="0012427F" w:rsidRDefault="0012427F" w:rsidP="0012427F">
      <w:pPr>
        <w:pStyle w:val="BodyText"/>
      </w:pPr>
      <w:r>
        <w:t>The change in GST revenue and expense due to abolishing excise and import duties was estimated based on the estimated change in consumption expenditure.</w:t>
      </w:r>
    </w:p>
    <w:p w:rsidR="0012427F" w:rsidRPr="00311208" w:rsidRDefault="0012427F" w:rsidP="0012427F">
      <w:pPr>
        <w:pStyle w:val="Heading2"/>
      </w:pPr>
      <w:r>
        <w:t>General</w:t>
      </w:r>
    </w:p>
    <w:p w:rsidR="0012427F" w:rsidRDefault="0012427F" w:rsidP="0012427F">
      <w:pPr>
        <w:pStyle w:val="BodyText"/>
      </w:pPr>
      <w:r>
        <w:t>The modelling has taken into account the timing of tax collections and expense payments.</w:t>
      </w:r>
    </w:p>
    <w:p w:rsidR="00D969C7" w:rsidRPr="00002D5D" w:rsidRDefault="00D969C7" w:rsidP="0012427F">
      <w:pPr>
        <w:pStyle w:val="BodyText"/>
      </w:pPr>
      <w:r>
        <w:t>Revenue</w:t>
      </w:r>
      <w:r w:rsidR="0012427F">
        <w:t xml:space="preserve"> and administered expense</w:t>
      </w:r>
      <w:r>
        <w:t xml:space="preserve"> estimates have been </w:t>
      </w:r>
      <w:r w:rsidR="00E16B53">
        <w:t>rounded to the nearest $</w:t>
      </w:r>
      <w:r w:rsidR="00317CB3">
        <w:t>1,000 m</w:t>
      </w:r>
      <w:r w:rsidR="00E16B53">
        <w:t>illion.</w:t>
      </w:r>
      <w:r w:rsidR="009E0B16">
        <w:t xml:space="preserve"> </w:t>
      </w:r>
      <w:r w:rsidR="00E16B53">
        <w:t xml:space="preserve"> Departmental expense</w:t>
      </w:r>
      <w:r w:rsidR="0012427F">
        <w:t xml:space="preserve"> estimates</w:t>
      </w:r>
      <w:r w:rsidR="00E16B53">
        <w:t xml:space="preserve"> have been rounded to the nearest $</w:t>
      </w:r>
      <w:r w:rsidR="000E2C85">
        <w:t>1</w:t>
      </w:r>
      <w:r w:rsidR="00311208">
        <w:t>0</w:t>
      </w:r>
      <w:r w:rsidR="00E16B53">
        <w:t xml:space="preserve"> million. </w:t>
      </w:r>
    </w:p>
    <w:p w:rsidR="00FE3B13" w:rsidRDefault="00FE3B13" w:rsidP="00FE3B13">
      <w:pPr>
        <w:pStyle w:val="Heading1"/>
      </w:pPr>
      <w:r>
        <w:t>Data sources</w:t>
      </w:r>
    </w:p>
    <w:p w:rsidR="0012427F" w:rsidRDefault="000F6994" w:rsidP="0012427F">
      <w:pPr>
        <w:pStyle w:val="BodyText"/>
      </w:pPr>
      <w:r w:rsidRPr="000F6994">
        <w:t>The ATO provided a 16 per cent sample of personal income tax and superannuation re</w:t>
      </w:r>
      <w:r w:rsidR="0012427F">
        <w:t>turns from the 2014</w:t>
      </w:r>
      <w:r w:rsidR="0012427F">
        <w:noBreakHyphen/>
        <w:t>15 tax year and de-identified company tax return data for the 2015-16 financial year.</w:t>
      </w:r>
    </w:p>
    <w:p w:rsidR="000F6994" w:rsidRDefault="000F6994" w:rsidP="00B311BA">
      <w:pPr>
        <w:pStyle w:val="BodyText"/>
      </w:pPr>
      <w:r w:rsidRPr="000F6994">
        <w:t>Treasury provided economic forecasts for the personal income</w:t>
      </w:r>
      <w:r w:rsidR="0012427F">
        <w:t xml:space="preserve">, company, </w:t>
      </w:r>
      <w:r w:rsidRPr="000F6994">
        <w:t xml:space="preserve">superannuation </w:t>
      </w:r>
      <w:r w:rsidR="0012427F">
        <w:t xml:space="preserve">and indirect </w:t>
      </w:r>
      <w:r w:rsidRPr="000F6994">
        <w:t>tax</w:t>
      </w:r>
      <w:r w:rsidR="0012427F">
        <w:t>es</w:t>
      </w:r>
      <w:r w:rsidRPr="000F6994">
        <w:t xml:space="preserve"> as at the 2018</w:t>
      </w:r>
      <w:r w:rsidRPr="000F6994">
        <w:noBreakHyphen/>
        <w:t xml:space="preserve">19 Budget.  </w:t>
      </w:r>
    </w:p>
    <w:p w:rsidR="0012427F" w:rsidRDefault="0012427F" w:rsidP="0012427F">
      <w:pPr>
        <w:pStyle w:val="BodyText"/>
      </w:pPr>
      <w:r>
        <w:t xml:space="preserve">Senator the Hon Mathias Cormann, 2018. </w:t>
      </w:r>
      <w:r w:rsidRPr="0012427F">
        <w:rPr>
          <w:i/>
        </w:rPr>
        <w:t>Labor Abandons Australian Businesses and Workers</w:t>
      </w:r>
      <w:r>
        <w:t>.</w:t>
      </w:r>
    </w:p>
    <w:p w:rsidR="0012427F" w:rsidRDefault="0012427F" w:rsidP="0012427F">
      <w:pPr>
        <w:pStyle w:val="BodyText"/>
      </w:pPr>
      <w:r>
        <w:t>Australian Taxation Office, 2018. Taxation Statistics 2015-16, Canberra: Commonwealth of Australia.</w:t>
      </w:r>
    </w:p>
    <w:p w:rsidR="007D0ABE" w:rsidRPr="000F6994" w:rsidRDefault="007D0ABE" w:rsidP="00B311BA">
      <w:pPr>
        <w:pStyle w:val="BodyText"/>
      </w:pPr>
    </w:p>
    <w:p w:rsidR="0046444F" w:rsidRDefault="0046444F" w:rsidP="00B311BA">
      <w:pPr>
        <w:pStyle w:val="BodyText"/>
        <w:sectPr w:rsidR="0046444F" w:rsidSect="007A4238">
          <w:headerReference w:type="default" r:id="rId9"/>
          <w:footerReference w:type="default" r:id="rId10"/>
          <w:headerReference w:type="first" r:id="rId11"/>
          <w:footerReference w:type="first" r:id="rId12"/>
          <w:pgSz w:w="11906" w:h="16838" w:code="9"/>
          <w:pgMar w:top="1134" w:right="1418" w:bottom="1134" w:left="1418" w:header="284" w:footer="454" w:gutter="0"/>
          <w:pgNumType w:start="1"/>
          <w:cols w:space="708"/>
          <w:formProt w:val="0"/>
          <w:titlePg/>
          <w:docGrid w:linePitch="360"/>
        </w:sectPr>
      </w:pPr>
    </w:p>
    <w:p w:rsidR="009630F6" w:rsidRDefault="009630F6" w:rsidP="00F44B74">
      <w:pPr>
        <w:pStyle w:val="Heading8"/>
      </w:pPr>
      <w:r w:rsidRPr="002D239A">
        <w:lastRenderedPageBreak/>
        <w:t xml:space="preserve">– </w:t>
      </w:r>
      <w:r w:rsidR="00F44B74" w:rsidRPr="00F44B74">
        <w:t>Liberal Democrats’ tax policy –</w:t>
      </w:r>
      <w:r w:rsidR="00D83267">
        <w:t xml:space="preserve"> </w:t>
      </w:r>
      <w:r w:rsidRPr="00482F63">
        <w:t>financial</w:t>
      </w:r>
      <w:r w:rsidRPr="002D239A">
        <w:t> implications</w:t>
      </w:r>
    </w:p>
    <w:p w:rsidR="00D83267" w:rsidRDefault="00D83267" w:rsidP="00D83267">
      <w:pPr>
        <w:pStyle w:val="Caption"/>
        <w:widowControl w:val="0"/>
        <w:tabs>
          <w:tab w:val="left" w:pos="9356"/>
        </w:tabs>
        <w:rPr>
          <w:vertAlign w:val="superscript"/>
        </w:rPr>
      </w:pPr>
      <w:r w:rsidRPr="002D239A">
        <w:t xml:space="preserve">Table </w:t>
      </w:r>
      <w:r w:rsidR="00DE28A2">
        <w:fldChar w:fldCharType="begin"/>
      </w:r>
      <w:r w:rsidR="00DE28A2">
        <w:instrText xml:space="preserve"> STYLEREF 8 \s </w:instrText>
      </w:r>
      <w:r w:rsidR="00DE28A2">
        <w:fldChar w:fldCharType="separate"/>
      </w:r>
      <w:r w:rsidR="00910A52">
        <w:rPr>
          <w:noProof/>
        </w:rPr>
        <w:t>A</w:t>
      </w:r>
      <w:r w:rsidR="00DE28A2">
        <w:rPr>
          <w:noProof/>
        </w:rPr>
        <w:fldChar w:fldCharType="end"/>
      </w:r>
      <w:r w:rsidR="00DE28A2">
        <w:fldChar w:fldCharType="begin"/>
      </w:r>
      <w:r w:rsidR="00DE28A2">
        <w:instrText xml:space="preserve"> SEQ AppendixTable\s 8 </w:instrText>
      </w:r>
      <w:r w:rsidR="00DE28A2">
        <w:fldChar w:fldCharType="separate"/>
      </w:r>
      <w:r w:rsidR="00910A52">
        <w:rPr>
          <w:noProof/>
        </w:rPr>
        <w:t>1</w:t>
      </w:r>
      <w:r w:rsidR="00DE28A2">
        <w:rPr>
          <w:noProof/>
        </w:rPr>
        <w:fldChar w:fldCharType="end"/>
      </w:r>
      <w:r w:rsidRPr="002D239A">
        <w:t xml:space="preserve">: </w:t>
      </w:r>
      <w:r w:rsidR="00DE28A2">
        <w:fldChar w:fldCharType="begin"/>
      </w:r>
      <w:r w:rsidR="00DE28A2">
        <w:instrText xml:space="preserve"> STYLEREF  "Name of proposal"  \* MERGEFORMAT </w:instrText>
      </w:r>
      <w:r w:rsidR="00DE28A2">
        <w:fldChar w:fldCharType="separate"/>
      </w:r>
      <w:r w:rsidR="00910A52">
        <w:rPr>
          <w:noProof/>
        </w:rPr>
        <w:t>Liberal Democrats’ tax policy</w:t>
      </w:r>
      <w:r w:rsidR="00DE28A2">
        <w:rPr>
          <w:noProof/>
        </w:rPr>
        <w:fldChar w:fldCharType="end"/>
      </w:r>
      <w:r>
        <w:t xml:space="preserve"> – Fiscal balance ($m)</w:t>
      </w:r>
      <w:r w:rsidRPr="002D239A">
        <w:rPr>
          <w:vertAlign w:val="superscript"/>
        </w:rPr>
        <w:t>(a)(b)</w:t>
      </w:r>
    </w:p>
    <w:tbl>
      <w:tblPr>
        <w:tblStyle w:val="LightGrid-Accent6"/>
        <w:tblW w:w="4755" w:type="pct"/>
        <w:tblLayout w:type="fixed"/>
        <w:tblLook w:val="04A0" w:firstRow="1" w:lastRow="0" w:firstColumn="1" w:lastColumn="0" w:noHBand="0" w:noVBand="1"/>
      </w:tblPr>
      <w:tblGrid>
        <w:gridCol w:w="3404"/>
        <w:gridCol w:w="794"/>
        <w:gridCol w:w="794"/>
        <w:gridCol w:w="794"/>
        <w:gridCol w:w="794"/>
        <w:gridCol w:w="794"/>
        <w:gridCol w:w="794"/>
        <w:gridCol w:w="794"/>
        <w:gridCol w:w="794"/>
        <w:gridCol w:w="794"/>
        <w:gridCol w:w="794"/>
        <w:gridCol w:w="794"/>
        <w:gridCol w:w="962"/>
        <w:gridCol w:w="962"/>
      </w:tblGrid>
      <w:tr w:rsidR="00465F92" w:rsidRPr="00E5148A" w:rsidTr="00DB2B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Borders>
              <w:bottom w:val="single" w:sz="8" w:space="0" w:color="788184" w:themeColor="accent6"/>
            </w:tcBorders>
            <w:shd w:val="clear" w:color="auto" w:fill="D7DDE9" w:themeFill="accent3"/>
          </w:tcPr>
          <w:p w:rsidR="00E5148A" w:rsidRPr="00E5148A" w:rsidRDefault="00E5148A" w:rsidP="00190DF4">
            <w:pPr>
              <w:pStyle w:val="TableHeading"/>
              <w:keepLines w:val="0"/>
              <w:widowControl w:val="0"/>
              <w:tabs>
                <w:tab w:val="left" w:pos="9356"/>
              </w:tabs>
              <w:spacing w:line="240" w:lineRule="auto"/>
              <w:ind w:left="-57" w:right="-57"/>
              <w:rPr>
                <w:rFonts w:asciiTheme="minorHAnsi" w:hAnsiTheme="minorHAnsi"/>
                <w:b/>
                <w:sz w:val="16"/>
                <w:szCs w:val="16"/>
              </w:rPr>
            </w:pPr>
          </w:p>
        </w:tc>
        <w:tc>
          <w:tcPr>
            <w:tcW w:w="282" w:type="pct"/>
            <w:tcBorders>
              <w:bottom w:val="single" w:sz="8" w:space="0" w:color="788184" w:themeColor="accent6"/>
            </w:tcBorders>
            <w:shd w:val="clear" w:color="auto" w:fill="D7DDE9" w:themeFill="accent3"/>
          </w:tcPr>
          <w:p w:rsidR="00E5148A" w:rsidRPr="00DB2BB4" w:rsidRDefault="00E5148A" w:rsidP="00190DF4">
            <w:pPr>
              <w:pStyle w:val="TableHeadingRight"/>
              <w:keepLines w:val="0"/>
              <w:widowControl w:val="0"/>
              <w:tabs>
                <w:tab w:val="left" w:pos="9356"/>
              </w:tabs>
              <w:spacing w:after="0" w:line="240" w:lineRule="auto"/>
              <w:ind w:left="-57" w:right="-57"/>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sidRPr="00DB2BB4">
              <w:rPr>
                <w:rFonts w:asciiTheme="minorHAnsi" w:hAnsiTheme="minorHAnsi"/>
                <w:sz w:val="16"/>
                <w:szCs w:val="16"/>
              </w:rPr>
              <w:t>2018–</w:t>
            </w:r>
          </w:p>
          <w:p w:rsidR="00E5148A" w:rsidRPr="00DB2BB4" w:rsidRDefault="00E5148A" w:rsidP="00190DF4">
            <w:pPr>
              <w:pStyle w:val="TableHeadingRight"/>
              <w:keepLines w:val="0"/>
              <w:widowControl w:val="0"/>
              <w:tabs>
                <w:tab w:val="left" w:pos="9356"/>
              </w:tabs>
              <w:spacing w:before="0" w:line="240" w:lineRule="auto"/>
              <w:ind w:left="-57"/>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sidRPr="00DB2BB4">
              <w:rPr>
                <w:rFonts w:asciiTheme="minorHAnsi" w:hAnsiTheme="minorHAnsi"/>
                <w:sz w:val="16"/>
                <w:szCs w:val="16"/>
              </w:rPr>
              <w:t>19</w:t>
            </w:r>
          </w:p>
        </w:tc>
        <w:tc>
          <w:tcPr>
            <w:tcW w:w="282" w:type="pct"/>
            <w:tcBorders>
              <w:bottom w:val="single" w:sz="8" w:space="0" w:color="788184" w:themeColor="accent6"/>
            </w:tcBorders>
            <w:shd w:val="clear" w:color="auto" w:fill="D7DDE9" w:themeFill="accent3"/>
          </w:tcPr>
          <w:p w:rsidR="00E5148A" w:rsidRPr="00DB2BB4" w:rsidRDefault="00E5148A" w:rsidP="00190DF4">
            <w:pPr>
              <w:pStyle w:val="TableHeadingRight"/>
              <w:keepLines w:val="0"/>
              <w:widowControl w:val="0"/>
              <w:tabs>
                <w:tab w:val="left" w:pos="9356"/>
              </w:tabs>
              <w:spacing w:after="0" w:line="240" w:lineRule="auto"/>
              <w:ind w:left="-57" w:right="-57"/>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sidRPr="00DB2BB4">
              <w:rPr>
                <w:rFonts w:asciiTheme="minorHAnsi" w:hAnsiTheme="minorHAnsi"/>
                <w:sz w:val="16"/>
                <w:szCs w:val="16"/>
              </w:rPr>
              <w:t>2019–</w:t>
            </w:r>
          </w:p>
          <w:p w:rsidR="00E5148A" w:rsidRPr="00DB2BB4" w:rsidRDefault="00E5148A" w:rsidP="00190DF4">
            <w:pPr>
              <w:pStyle w:val="TableHeadingRight"/>
              <w:keepLines w:val="0"/>
              <w:widowControl w:val="0"/>
              <w:tabs>
                <w:tab w:val="left" w:pos="9356"/>
              </w:tabs>
              <w:spacing w:before="0" w:line="240" w:lineRule="auto"/>
              <w:ind w:left="-57"/>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sidRPr="00DB2BB4">
              <w:rPr>
                <w:rFonts w:asciiTheme="minorHAnsi" w:hAnsiTheme="minorHAnsi"/>
                <w:sz w:val="16"/>
                <w:szCs w:val="16"/>
              </w:rPr>
              <w:t>20</w:t>
            </w:r>
          </w:p>
        </w:tc>
        <w:tc>
          <w:tcPr>
            <w:tcW w:w="282" w:type="pct"/>
            <w:tcBorders>
              <w:bottom w:val="single" w:sz="8" w:space="0" w:color="788184" w:themeColor="accent6"/>
            </w:tcBorders>
            <w:shd w:val="clear" w:color="auto" w:fill="D7DDE9" w:themeFill="accent3"/>
          </w:tcPr>
          <w:p w:rsidR="00E5148A" w:rsidRPr="00DB2BB4" w:rsidRDefault="00E5148A" w:rsidP="00190DF4">
            <w:pPr>
              <w:pStyle w:val="TableHeadingRight"/>
              <w:keepLines w:val="0"/>
              <w:widowControl w:val="0"/>
              <w:tabs>
                <w:tab w:val="left" w:pos="9356"/>
              </w:tabs>
              <w:spacing w:after="0" w:line="240" w:lineRule="auto"/>
              <w:ind w:left="-57" w:right="-57"/>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sidRPr="00DB2BB4">
              <w:rPr>
                <w:rFonts w:asciiTheme="minorHAnsi" w:hAnsiTheme="minorHAnsi"/>
                <w:sz w:val="16"/>
                <w:szCs w:val="16"/>
              </w:rPr>
              <w:t>2020–</w:t>
            </w:r>
          </w:p>
          <w:p w:rsidR="00E5148A" w:rsidRPr="00DB2BB4" w:rsidRDefault="00E5148A" w:rsidP="00190DF4">
            <w:pPr>
              <w:pStyle w:val="TableHeadingRight"/>
              <w:keepLines w:val="0"/>
              <w:widowControl w:val="0"/>
              <w:tabs>
                <w:tab w:val="left" w:pos="9356"/>
              </w:tabs>
              <w:spacing w:before="0" w:line="240" w:lineRule="auto"/>
              <w:ind w:left="-57"/>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sidRPr="00DB2BB4">
              <w:rPr>
                <w:rFonts w:asciiTheme="minorHAnsi" w:hAnsiTheme="minorHAnsi"/>
                <w:sz w:val="16"/>
                <w:szCs w:val="16"/>
              </w:rPr>
              <w:t>21</w:t>
            </w:r>
          </w:p>
        </w:tc>
        <w:tc>
          <w:tcPr>
            <w:tcW w:w="282" w:type="pct"/>
            <w:tcBorders>
              <w:bottom w:val="single" w:sz="8" w:space="0" w:color="788184" w:themeColor="accent6"/>
            </w:tcBorders>
            <w:shd w:val="clear" w:color="auto" w:fill="D7DDE9" w:themeFill="accent3"/>
          </w:tcPr>
          <w:p w:rsidR="00E5148A" w:rsidRPr="00DB2BB4" w:rsidRDefault="00E5148A" w:rsidP="00190DF4">
            <w:pPr>
              <w:pStyle w:val="TableHeadingRight"/>
              <w:keepLines w:val="0"/>
              <w:widowControl w:val="0"/>
              <w:tabs>
                <w:tab w:val="left" w:pos="9356"/>
              </w:tabs>
              <w:spacing w:after="0" w:line="240" w:lineRule="auto"/>
              <w:ind w:left="-57" w:right="-57"/>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sidRPr="00DB2BB4">
              <w:rPr>
                <w:rFonts w:asciiTheme="minorHAnsi" w:hAnsiTheme="minorHAnsi"/>
                <w:sz w:val="16"/>
                <w:szCs w:val="16"/>
              </w:rPr>
              <w:t>2021–</w:t>
            </w:r>
          </w:p>
          <w:p w:rsidR="00E5148A" w:rsidRPr="00DB2BB4" w:rsidRDefault="00E5148A" w:rsidP="00190DF4">
            <w:pPr>
              <w:pStyle w:val="TableHeadingRight"/>
              <w:keepLines w:val="0"/>
              <w:widowControl w:val="0"/>
              <w:tabs>
                <w:tab w:val="left" w:pos="9356"/>
              </w:tabs>
              <w:spacing w:before="0" w:line="240" w:lineRule="auto"/>
              <w:ind w:left="-57"/>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sidRPr="00DB2BB4">
              <w:rPr>
                <w:rFonts w:asciiTheme="minorHAnsi" w:hAnsiTheme="minorHAnsi"/>
                <w:sz w:val="16"/>
                <w:szCs w:val="16"/>
              </w:rPr>
              <w:t>22</w:t>
            </w:r>
          </w:p>
        </w:tc>
        <w:tc>
          <w:tcPr>
            <w:tcW w:w="282" w:type="pct"/>
            <w:tcBorders>
              <w:bottom w:val="single" w:sz="8" w:space="0" w:color="788184" w:themeColor="accent6"/>
            </w:tcBorders>
            <w:shd w:val="clear" w:color="auto" w:fill="D7DDE9" w:themeFill="accent3"/>
          </w:tcPr>
          <w:p w:rsidR="00E5148A" w:rsidRPr="00DB2BB4" w:rsidRDefault="00E5148A" w:rsidP="00190DF4">
            <w:pPr>
              <w:pStyle w:val="TableHeadingRight"/>
              <w:keepLines w:val="0"/>
              <w:widowControl w:val="0"/>
              <w:tabs>
                <w:tab w:val="left" w:pos="9356"/>
              </w:tabs>
              <w:spacing w:after="0" w:line="240" w:lineRule="auto"/>
              <w:ind w:left="-57" w:right="-57"/>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sidRPr="00DB2BB4">
              <w:rPr>
                <w:rFonts w:asciiTheme="minorHAnsi" w:hAnsiTheme="minorHAnsi"/>
                <w:sz w:val="16"/>
                <w:szCs w:val="16"/>
              </w:rPr>
              <w:t>2022–</w:t>
            </w:r>
          </w:p>
          <w:p w:rsidR="00E5148A" w:rsidRPr="00DB2BB4" w:rsidRDefault="00E5148A" w:rsidP="00190DF4">
            <w:pPr>
              <w:pStyle w:val="TableHeadingRight"/>
              <w:keepLines w:val="0"/>
              <w:widowControl w:val="0"/>
              <w:tabs>
                <w:tab w:val="left" w:pos="9356"/>
              </w:tabs>
              <w:spacing w:before="0" w:line="240" w:lineRule="auto"/>
              <w:ind w:left="-57"/>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sidRPr="00DB2BB4">
              <w:rPr>
                <w:rFonts w:asciiTheme="minorHAnsi" w:hAnsiTheme="minorHAnsi"/>
                <w:sz w:val="16"/>
                <w:szCs w:val="16"/>
              </w:rPr>
              <w:t>23</w:t>
            </w:r>
          </w:p>
        </w:tc>
        <w:tc>
          <w:tcPr>
            <w:tcW w:w="282" w:type="pct"/>
            <w:tcBorders>
              <w:bottom w:val="single" w:sz="8" w:space="0" w:color="788184" w:themeColor="accent6"/>
            </w:tcBorders>
            <w:shd w:val="clear" w:color="auto" w:fill="D7DDE9" w:themeFill="accent3"/>
          </w:tcPr>
          <w:p w:rsidR="00E5148A" w:rsidRPr="00DB2BB4" w:rsidRDefault="00E5148A" w:rsidP="00190DF4">
            <w:pPr>
              <w:pStyle w:val="TableHeadingRight"/>
              <w:keepLines w:val="0"/>
              <w:widowControl w:val="0"/>
              <w:tabs>
                <w:tab w:val="left" w:pos="9356"/>
              </w:tabs>
              <w:spacing w:after="0" w:line="240" w:lineRule="auto"/>
              <w:ind w:left="-57" w:right="-57"/>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sidRPr="00DB2BB4">
              <w:rPr>
                <w:rFonts w:asciiTheme="minorHAnsi" w:hAnsiTheme="minorHAnsi"/>
                <w:sz w:val="16"/>
                <w:szCs w:val="16"/>
              </w:rPr>
              <w:t>2023–</w:t>
            </w:r>
          </w:p>
          <w:p w:rsidR="00E5148A" w:rsidRPr="00DB2BB4" w:rsidRDefault="00E5148A" w:rsidP="00190DF4">
            <w:pPr>
              <w:pStyle w:val="TableHeadingRight"/>
              <w:keepLines w:val="0"/>
              <w:widowControl w:val="0"/>
              <w:tabs>
                <w:tab w:val="left" w:pos="9356"/>
              </w:tabs>
              <w:spacing w:before="0" w:line="240" w:lineRule="auto"/>
              <w:ind w:left="-57"/>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sidRPr="00DB2BB4">
              <w:rPr>
                <w:rFonts w:asciiTheme="minorHAnsi" w:hAnsiTheme="minorHAnsi"/>
                <w:sz w:val="16"/>
                <w:szCs w:val="16"/>
              </w:rPr>
              <w:t>24</w:t>
            </w:r>
          </w:p>
        </w:tc>
        <w:tc>
          <w:tcPr>
            <w:tcW w:w="282" w:type="pct"/>
            <w:tcBorders>
              <w:bottom w:val="single" w:sz="8" w:space="0" w:color="788184" w:themeColor="accent6"/>
            </w:tcBorders>
            <w:shd w:val="clear" w:color="auto" w:fill="D7DDE9" w:themeFill="accent3"/>
          </w:tcPr>
          <w:p w:rsidR="00E5148A" w:rsidRPr="00DB2BB4" w:rsidRDefault="00E5148A" w:rsidP="00190DF4">
            <w:pPr>
              <w:pStyle w:val="TableHeadingRight"/>
              <w:keepLines w:val="0"/>
              <w:widowControl w:val="0"/>
              <w:tabs>
                <w:tab w:val="left" w:pos="9356"/>
              </w:tabs>
              <w:spacing w:after="0" w:line="240" w:lineRule="auto"/>
              <w:ind w:left="-57" w:right="-57"/>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sidRPr="00DB2BB4">
              <w:rPr>
                <w:rFonts w:asciiTheme="minorHAnsi" w:hAnsiTheme="minorHAnsi"/>
                <w:sz w:val="16"/>
                <w:szCs w:val="16"/>
              </w:rPr>
              <w:t>2024–</w:t>
            </w:r>
          </w:p>
          <w:p w:rsidR="00E5148A" w:rsidRPr="00DB2BB4" w:rsidRDefault="00E5148A" w:rsidP="00190DF4">
            <w:pPr>
              <w:pStyle w:val="TableHeadingRight"/>
              <w:keepLines w:val="0"/>
              <w:widowControl w:val="0"/>
              <w:tabs>
                <w:tab w:val="left" w:pos="9356"/>
              </w:tabs>
              <w:spacing w:before="0" w:line="240" w:lineRule="auto"/>
              <w:ind w:left="-57"/>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sidRPr="00DB2BB4">
              <w:rPr>
                <w:rFonts w:asciiTheme="minorHAnsi" w:hAnsiTheme="minorHAnsi"/>
                <w:sz w:val="16"/>
                <w:szCs w:val="16"/>
              </w:rPr>
              <w:t>25</w:t>
            </w:r>
          </w:p>
        </w:tc>
        <w:tc>
          <w:tcPr>
            <w:tcW w:w="282" w:type="pct"/>
            <w:tcBorders>
              <w:bottom w:val="single" w:sz="8" w:space="0" w:color="788184" w:themeColor="accent6"/>
            </w:tcBorders>
            <w:shd w:val="clear" w:color="auto" w:fill="D7DDE9" w:themeFill="accent3"/>
          </w:tcPr>
          <w:p w:rsidR="00E5148A" w:rsidRPr="00DB2BB4" w:rsidRDefault="00E5148A" w:rsidP="00190DF4">
            <w:pPr>
              <w:pStyle w:val="TableHeadingRight"/>
              <w:keepLines w:val="0"/>
              <w:widowControl w:val="0"/>
              <w:tabs>
                <w:tab w:val="left" w:pos="9356"/>
              </w:tabs>
              <w:spacing w:after="0" w:line="240" w:lineRule="auto"/>
              <w:ind w:left="-57" w:right="-57"/>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sidRPr="00DB2BB4">
              <w:rPr>
                <w:rFonts w:asciiTheme="minorHAnsi" w:hAnsiTheme="minorHAnsi"/>
                <w:sz w:val="16"/>
                <w:szCs w:val="16"/>
              </w:rPr>
              <w:t>2025–</w:t>
            </w:r>
          </w:p>
          <w:p w:rsidR="00E5148A" w:rsidRPr="00DB2BB4" w:rsidRDefault="00E5148A" w:rsidP="00190DF4">
            <w:pPr>
              <w:pStyle w:val="TableHeadingRight"/>
              <w:keepLines w:val="0"/>
              <w:widowControl w:val="0"/>
              <w:tabs>
                <w:tab w:val="left" w:pos="9356"/>
              </w:tabs>
              <w:spacing w:before="0" w:line="240" w:lineRule="auto"/>
              <w:ind w:left="-57"/>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sidRPr="00DB2BB4">
              <w:rPr>
                <w:rFonts w:asciiTheme="minorHAnsi" w:hAnsiTheme="minorHAnsi"/>
                <w:sz w:val="16"/>
                <w:szCs w:val="16"/>
              </w:rPr>
              <w:t>26</w:t>
            </w:r>
          </w:p>
        </w:tc>
        <w:tc>
          <w:tcPr>
            <w:tcW w:w="282" w:type="pct"/>
            <w:tcBorders>
              <w:bottom w:val="single" w:sz="8" w:space="0" w:color="788184" w:themeColor="accent6"/>
            </w:tcBorders>
            <w:shd w:val="clear" w:color="auto" w:fill="D7DDE9" w:themeFill="accent3"/>
          </w:tcPr>
          <w:p w:rsidR="00E5148A" w:rsidRPr="00DB2BB4" w:rsidRDefault="00E5148A" w:rsidP="00190DF4">
            <w:pPr>
              <w:pStyle w:val="TableHeadingRight"/>
              <w:keepLines w:val="0"/>
              <w:widowControl w:val="0"/>
              <w:tabs>
                <w:tab w:val="left" w:pos="9356"/>
              </w:tabs>
              <w:spacing w:after="0" w:line="240" w:lineRule="auto"/>
              <w:ind w:left="-57" w:right="-57"/>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sidRPr="00DB2BB4">
              <w:rPr>
                <w:rFonts w:asciiTheme="minorHAnsi" w:hAnsiTheme="minorHAnsi"/>
                <w:sz w:val="16"/>
                <w:szCs w:val="16"/>
              </w:rPr>
              <w:t>2026–</w:t>
            </w:r>
          </w:p>
          <w:p w:rsidR="00E5148A" w:rsidRPr="00DB2BB4" w:rsidRDefault="00E5148A" w:rsidP="00190DF4">
            <w:pPr>
              <w:pStyle w:val="TableHeadingRight"/>
              <w:keepLines w:val="0"/>
              <w:widowControl w:val="0"/>
              <w:tabs>
                <w:tab w:val="left" w:pos="9356"/>
              </w:tabs>
              <w:spacing w:before="0" w:line="240" w:lineRule="auto"/>
              <w:ind w:left="-57"/>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sidRPr="00DB2BB4">
              <w:rPr>
                <w:rFonts w:asciiTheme="minorHAnsi" w:hAnsiTheme="minorHAnsi"/>
                <w:sz w:val="16"/>
                <w:szCs w:val="16"/>
              </w:rPr>
              <w:t>27</w:t>
            </w:r>
          </w:p>
        </w:tc>
        <w:tc>
          <w:tcPr>
            <w:tcW w:w="282" w:type="pct"/>
            <w:tcBorders>
              <w:bottom w:val="single" w:sz="8" w:space="0" w:color="788184" w:themeColor="accent6"/>
            </w:tcBorders>
            <w:shd w:val="clear" w:color="auto" w:fill="D7DDE9" w:themeFill="accent3"/>
          </w:tcPr>
          <w:p w:rsidR="00E5148A" w:rsidRPr="00DB2BB4" w:rsidRDefault="00E5148A" w:rsidP="00190DF4">
            <w:pPr>
              <w:pStyle w:val="TableHeadingRight"/>
              <w:keepLines w:val="0"/>
              <w:widowControl w:val="0"/>
              <w:tabs>
                <w:tab w:val="left" w:pos="9356"/>
              </w:tabs>
              <w:spacing w:after="0" w:line="240" w:lineRule="auto"/>
              <w:ind w:left="-57" w:right="-57"/>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sidRPr="00DB2BB4">
              <w:rPr>
                <w:rFonts w:asciiTheme="minorHAnsi" w:hAnsiTheme="minorHAnsi"/>
                <w:sz w:val="16"/>
                <w:szCs w:val="16"/>
              </w:rPr>
              <w:t>2027–</w:t>
            </w:r>
          </w:p>
          <w:p w:rsidR="00E5148A" w:rsidRPr="00DB2BB4" w:rsidRDefault="00E5148A" w:rsidP="00190DF4">
            <w:pPr>
              <w:pStyle w:val="TableHeadingRight"/>
              <w:keepLines w:val="0"/>
              <w:widowControl w:val="0"/>
              <w:tabs>
                <w:tab w:val="left" w:pos="9356"/>
              </w:tabs>
              <w:spacing w:before="0" w:line="240" w:lineRule="auto"/>
              <w:ind w:left="-57"/>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sidRPr="00DB2BB4">
              <w:rPr>
                <w:rFonts w:asciiTheme="minorHAnsi" w:hAnsiTheme="minorHAnsi"/>
                <w:sz w:val="16"/>
                <w:szCs w:val="16"/>
              </w:rPr>
              <w:t>28</w:t>
            </w:r>
          </w:p>
        </w:tc>
        <w:tc>
          <w:tcPr>
            <w:tcW w:w="282" w:type="pct"/>
            <w:tcBorders>
              <w:bottom w:val="single" w:sz="8" w:space="0" w:color="788184" w:themeColor="accent6"/>
            </w:tcBorders>
            <w:shd w:val="clear" w:color="auto" w:fill="D7DDE9" w:themeFill="accent3"/>
          </w:tcPr>
          <w:p w:rsidR="00E5148A" w:rsidRPr="00DB2BB4" w:rsidRDefault="00E5148A" w:rsidP="00190DF4">
            <w:pPr>
              <w:pStyle w:val="TableHeadingRight"/>
              <w:keepLines w:val="0"/>
              <w:widowControl w:val="0"/>
              <w:tabs>
                <w:tab w:val="left" w:pos="9356"/>
              </w:tabs>
              <w:spacing w:after="0" w:line="240" w:lineRule="auto"/>
              <w:ind w:left="-57" w:right="-57"/>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sidRPr="00DB2BB4">
              <w:rPr>
                <w:rFonts w:asciiTheme="minorHAnsi" w:hAnsiTheme="minorHAnsi"/>
                <w:sz w:val="16"/>
                <w:szCs w:val="16"/>
              </w:rPr>
              <w:t>2028–</w:t>
            </w:r>
          </w:p>
          <w:p w:rsidR="00E5148A" w:rsidRPr="00DB2BB4" w:rsidRDefault="00E5148A" w:rsidP="00190DF4">
            <w:pPr>
              <w:pStyle w:val="TableHeadingRight"/>
              <w:keepLines w:val="0"/>
              <w:widowControl w:val="0"/>
              <w:tabs>
                <w:tab w:val="left" w:pos="9356"/>
              </w:tabs>
              <w:spacing w:before="0" w:line="240" w:lineRule="auto"/>
              <w:ind w:left="-57"/>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sidRPr="00DB2BB4">
              <w:rPr>
                <w:rFonts w:asciiTheme="minorHAnsi" w:hAnsiTheme="minorHAnsi"/>
                <w:sz w:val="16"/>
                <w:szCs w:val="16"/>
              </w:rPr>
              <w:t>29</w:t>
            </w:r>
          </w:p>
        </w:tc>
        <w:tc>
          <w:tcPr>
            <w:tcW w:w="342" w:type="pct"/>
            <w:tcBorders>
              <w:bottom w:val="single" w:sz="8" w:space="0" w:color="788184" w:themeColor="accent6"/>
            </w:tcBorders>
            <w:shd w:val="clear" w:color="auto" w:fill="D7DDE9" w:themeFill="accent3"/>
          </w:tcPr>
          <w:p w:rsidR="00E5148A" w:rsidRPr="00DB2BB4" w:rsidRDefault="00E5148A" w:rsidP="00190DF4">
            <w:pPr>
              <w:pStyle w:val="TableHeadingRight"/>
              <w:keepLines w:val="0"/>
              <w:widowControl w:val="0"/>
              <w:tabs>
                <w:tab w:val="left" w:pos="9356"/>
              </w:tabs>
              <w:spacing w:line="240" w:lineRule="auto"/>
              <w:ind w:left="-57" w:right="-57"/>
              <w:cnfStyle w:val="100000000000" w:firstRow="1" w:lastRow="0" w:firstColumn="0" w:lastColumn="0" w:oddVBand="0" w:evenVBand="0" w:oddHBand="0" w:evenHBand="0" w:firstRowFirstColumn="0" w:firstRowLastColumn="0" w:lastRowFirstColumn="0" w:lastRowLastColumn="0"/>
              <w:rPr>
                <w:rFonts w:asciiTheme="minorHAnsi" w:hAnsiTheme="minorHAnsi"/>
                <w:b/>
                <w:sz w:val="16"/>
                <w:szCs w:val="16"/>
              </w:rPr>
            </w:pPr>
            <w:r w:rsidRPr="00DB2BB4">
              <w:rPr>
                <w:rFonts w:asciiTheme="minorHAnsi" w:hAnsiTheme="minorHAnsi"/>
                <w:b/>
                <w:sz w:val="16"/>
                <w:szCs w:val="16"/>
              </w:rPr>
              <w:t>Total to 2021–22</w:t>
            </w:r>
          </w:p>
        </w:tc>
        <w:tc>
          <w:tcPr>
            <w:tcW w:w="342" w:type="pct"/>
            <w:tcBorders>
              <w:bottom w:val="single" w:sz="8" w:space="0" w:color="788184" w:themeColor="accent6"/>
            </w:tcBorders>
            <w:shd w:val="clear" w:color="auto" w:fill="D7DDE9" w:themeFill="accent3"/>
          </w:tcPr>
          <w:p w:rsidR="00E5148A" w:rsidRPr="00DB2BB4" w:rsidRDefault="00E5148A" w:rsidP="00190DF4">
            <w:pPr>
              <w:pStyle w:val="TableHeadingRight"/>
              <w:keepLines w:val="0"/>
              <w:widowControl w:val="0"/>
              <w:tabs>
                <w:tab w:val="left" w:pos="9356"/>
              </w:tabs>
              <w:spacing w:line="240" w:lineRule="auto"/>
              <w:ind w:left="-57" w:right="-57"/>
              <w:cnfStyle w:val="100000000000" w:firstRow="1" w:lastRow="0" w:firstColumn="0" w:lastColumn="0" w:oddVBand="0" w:evenVBand="0" w:oddHBand="0" w:evenHBand="0" w:firstRowFirstColumn="0" w:firstRowLastColumn="0" w:lastRowFirstColumn="0" w:lastRowLastColumn="0"/>
              <w:rPr>
                <w:rFonts w:asciiTheme="minorHAnsi" w:hAnsiTheme="minorHAnsi"/>
                <w:b/>
                <w:sz w:val="16"/>
                <w:szCs w:val="16"/>
              </w:rPr>
            </w:pPr>
            <w:r w:rsidRPr="00DB2BB4">
              <w:rPr>
                <w:rFonts w:asciiTheme="minorHAnsi" w:hAnsiTheme="minorHAnsi"/>
                <w:b/>
                <w:sz w:val="16"/>
                <w:szCs w:val="16"/>
              </w:rPr>
              <w:t>Total to 2028–29</w:t>
            </w:r>
          </w:p>
        </w:tc>
      </w:tr>
      <w:tr w:rsidR="00465F92" w:rsidRPr="00E5148A" w:rsidTr="00DB2BB4">
        <w:tblPrEx>
          <w:tblLook w:val="0680" w:firstRow="0"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88184" w:themeColor="accent6"/>
              <w:right w:val="nil"/>
            </w:tcBorders>
            <w:shd w:val="clear" w:color="auto" w:fill="E9ECF3" w:themeFill="accent2" w:themeFillTint="33"/>
            <w:vAlign w:val="center"/>
          </w:tcPr>
          <w:p w:rsidR="00D83267" w:rsidRPr="00DB2BB4" w:rsidRDefault="00D83267">
            <w:pPr>
              <w:pStyle w:val="TableText"/>
              <w:keepNext/>
              <w:widowControl w:val="0"/>
              <w:tabs>
                <w:tab w:val="left" w:pos="9356"/>
              </w:tabs>
              <w:spacing w:line="240" w:lineRule="auto"/>
              <w:ind w:left="-57" w:right="-57"/>
              <w:rPr>
                <w:rFonts w:asciiTheme="minorHAnsi" w:hAnsiTheme="minorHAnsi"/>
                <w:b/>
                <w:sz w:val="16"/>
                <w:szCs w:val="16"/>
              </w:rPr>
            </w:pPr>
            <w:r w:rsidRPr="00DB2BB4">
              <w:rPr>
                <w:rFonts w:asciiTheme="minorHAnsi" w:hAnsiTheme="minorHAnsi"/>
                <w:b/>
                <w:sz w:val="16"/>
                <w:szCs w:val="16"/>
              </w:rPr>
              <w:t>Revenue</w:t>
            </w:r>
          </w:p>
        </w:tc>
        <w:tc>
          <w:tcPr>
            <w:tcW w:w="282" w:type="pct"/>
            <w:tcBorders>
              <w:top w:val="single" w:sz="8" w:space="0" w:color="788184" w:themeColor="accent6"/>
              <w:left w:val="nil"/>
              <w:right w:val="nil"/>
            </w:tcBorders>
            <w:shd w:val="clear" w:color="auto" w:fill="E9ECF3" w:themeFill="accent2" w:themeFillTint="33"/>
            <w:vAlign w:val="center"/>
          </w:tcPr>
          <w:p w:rsidR="00D83267" w:rsidRPr="00E5148A" w:rsidRDefault="00D8326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top w:val="single" w:sz="8" w:space="0" w:color="788184" w:themeColor="accent6"/>
              <w:left w:val="nil"/>
              <w:right w:val="nil"/>
            </w:tcBorders>
            <w:shd w:val="clear" w:color="auto" w:fill="E9ECF3" w:themeFill="accent2" w:themeFillTint="33"/>
            <w:vAlign w:val="center"/>
          </w:tcPr>
          <w:p w:rsidR="00D83267" w:rsidRPr="00E5148A" w:rsidRDefault="00D8326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top w:val="single" w:sz="8" w:space="0" w:color="788184" w:themeColor="accent6"/>
              <w:left w:val="nil"/>
              <w:right w:val="nil"/>
            </w:tcBorders>
            <w:shd w:val="clear" w:color="auto" w:fill="E9ECF3" w:themeFill="accent2" w:themeFillTint="33"/>
            <w:vAlign w:val="center"/>
          </w:tcPr>
          <w:p w:rsidR="00D83267" w:rsidRPr="00E5148A" w:rsidRDefault="00D8326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top w:val="single" w:sz="8" w:space="0" w:color="788184" w:themeColor="accent6"/>
              <w:left w:val="nil"/>
              <w:right w:val="nil"/>
            </w:tcBorders>
            <w:shd w:val="clear" w:color="auto" w:fill="E9ECF3" w:themeFill="accent2" w:themeFillTint="33"/>
            <w:vAlign w:val="center"/>
          </w:tcPr>
          <w:p w:rsidR="00D83267" w:rsidRPr="00E5148A" w:rsidRDefault="00D8326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top w:val="single" w:sz="8" w:space="0" w:color="788184" w:themeColor="accent6"/>
              <w:left w:val="nil"/>
              <w:right w:val="nil"/>
            </w:tcBorders>
            <w:shd w:val="clear" w:color="auto" w:fill="E9ECF3" w:themeFill="accent2" w:themeFillTint="33"/>
            <w:vAlign w:val="center"/>
          </w:tcPr>
          <w:p w:rsidR="00D83267" w:rsidRPr="00E5148A" w:rsidRDefault="00D8326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top w:val="single" w:sz="8" w:space="0" w:color="788184" w:themeColor="accent6"/>
              <w:left w:val="nil"/>
              <w:right w:val="nil"/>
            </w:tcBorders>
            <w:shd w:val="clear" w:color="auto" w:fill="E9ECF3" w:themeFill="accent2" w:themeFillTint="33"/>
            <w:vAlign w:val="center"/>
          </w:tcPr>
          <w:p w:rsidR="00D83267" w:rsidRPr="00E5148A" w:rsidRDefault="00D8326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top w:val="single" w:sz="8" w:space="0" w:color="788184" w:themeColor="accent6"/>
              <w:left w:val="nil"/>
              <w:right w:val="nil"/>
            </w:tcBorders>
            <w:shd w:val="clear" w:color="auto" w:fill="E9ECF3" w:themeFill="accent2" w:themeFillTint="33"/>
            <w:vAlign w:val="center"/>
          </w:tcPr>
          <w:p w:rsidR="00D83267" w:rsidRPr="00E5148A" w:rsidRDefault="00D8326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top w:val="single" w:sz="8" w:space="0" w:color="788184" w:themeColor="accent6"/>
              <w:left w:val="nil"/>
              <w:right w:val="nil"/>
            </w:tcBorders>
            <w:shd w:val="clear" w:color="auto" w:fill="E9ECF3" w:themeFill="accent2" w:themeFillTint="33"/>
            <w:vAlign w:val="center"/>
          </w:tcPr>
          <w:p w:rsidR="00D83267" w:rsidRPr="00E5148A" w:rsidRDefault="00D8326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top w:val="single" w:sz="8" w:space="0" w:color="788184" w:themeColor="accent6"/>
              <w:left w:val="nil"/>
              <w:right w:val="nil"/>
            </w:tcBorders>
            <w:shd w:val="clear" w:color="auto" w:fill="E9ECF3" w:themeFill="accent2" w:themeFillTint="33"/>
            <w:vAlign w:val="center"/>
          </w:tcPr>
          <w:p w:rsidR="00D83267" w:rsidRPr="00E5148A" w:rsidRDefault="00D8326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top w:val="single" w:sz="8" w:space="0" w:color="788184" w:themeColor="accent6"/>
              <w:left w:val="nil"/>
              <w:right w:val="nil"/>
            </w:tcBorders>
            <w:shd w:val="clear" w:color="auto" w:fill="E9ECF3" w:themeFill="accent2" w:themeFillTint="33"/>
            <w:vAlign w:val="center"/>
          </w:tcPr>
          <w:p w:rsidR="00D83267" w:rsidRPr="00E5148A" w:rsidRDefault="00D8326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top w:val="single" w:sz="8" w:space="0" w:color="788184" w:themeColor="accent6"/>
              <w:left w:val="nil"/>
              <w:right w:val="nil"/>
            </w:tcBorders>
            <w:shd w:val="clear" w:color="auto" w:fill="E9ECF3" w:themeFill="accent2" w:themeFillTint="33"/>
            <w:vAlign w:val="center"/>
          </w:tcPr>
          <w:p w:rsidR="00D83267" w:rsidRPr="00E5148A" w:rsidRDefault="00D8326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42" w:type="pct"/>
            <w:tcBorders>
              <w:top w:val="single" w:sz="8" w:space="0" w:color="788184" w:themeColor="accent6"/>
              <w:left w:val="nil"/>
              <w:right w:val="nil"/>
            </w:tcBorders>
            <w:shd w:val="clear" w:color="auto" w:fill="E9ECF3" w:themeFill="accent2" w:themeFillTint="33"/>
            <w:vAlign w:val="center"/>
          </w:tcPr>
          <w:p w:rsidR="00D83267" w:rsidRPr="00E5148A" w:rsidRDefault="00D8326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42" w:type="pct"/>
            <w:tcBorders>
              <w:top w:val="single" w:sz="8" w:space="0" w:color="788184" w:themeColor="accent6"/>
              <w:left w:val="nil"/>
            </w:tcBorders>
            <w:shd w:val="clear" w:color="auto" w:fill="E9ECF3" w:themeFill="accent2" w:themeFillTint="33"/>
            <w:vAlign w:val="center"/>
          </w:tcPr>
          <w:p w:rsidR="00D83267" w:rsidRPr="00E5148A" w:rsidRDefault="00D8326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E5148A" w:rsidRPr="00E5148A" w:rsidTr="00DB2BB4">
        <w:tblPrEx>
          <w:tblLook w:val="0680" w:firstRow="0"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1209" w:type="pct"/>
            <w:vAlign w:val="center"/>
          </w:tcPr>
          <w:p w:rsidR="00FB3DC0" w:rsidRPr="00DB2BB4" w:rsidRDefault="00FB3DC0">
            <w:pPr>
              <w:pStyle w:val="TableText"/>
              <w:keepNext/>
              <w:widowControl w:val="0"/>
              <w:tabs>
                <w:tab w:val="left" w:pos="9356"/>
              </w:tabs>
              <w:spacing w:line="240" w:lineRule="auto"/>
              <w:ind w:left="-57" w:right="-57"/>
              <w:rPr>
                <w:rFonts w:asciiTheme="minorHAnsi" w:hAnsiTheme="minorHAnsi"/>
                <w:i/>
                <w:noProof/>
                <w:sz w:val="16"/>
                <w:szCs w:val="16"/>
              </w:rPr>
            </w:pPr>
            <w:r w:rsidRPr="00DB2BB4">
              <w:rPr>
                <w:rFonts w:asciiTheme="minorHAnsi" w:hAnsiTheme="minorHAnsi"/>
                <w:i/>
                <w:sz w:val="16"/>
                <w:szCs w:val="16"/>
              </w:rPr>
              <w:t>Personal income taxes</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-128,000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-147,000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-152,000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-151,000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-160,000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-164,000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-171,000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-181,000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-193,000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-205,000</w:t>
            </w:r>
          </w:p>
        </w:tc>
        <w:tc>
          <w:tcPr>
            <w:tcW w:w="34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-426,000</w:t>
            </w:r>
          </w:p>
        </w:tc>
        <w:tc>
          <w:tcPr>
            <w:tcW w:w="34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-1,651,000</w:t>
            </w:r>
          </w:p>
        </w:tc>
      </w:tr>
      <w:tr w:rsidR="00E5148A" w:rsidRPr="00E5148A" w:rsidTr="00DB2BB4">
        <w:tblPrEx>
          <w:tblLook w:val="0680" w:firstRow="0"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1209" w:type="pct"/>
            <w:vAlign w:val="center"/>
          </w:tcPr>
          <w:p w:rsidR="00FB3DC0" w:rsidRPr="00DB2BB4" w:rsidRDefault="00FB3DC0">
            <w:pPr>
              <w:pStyle w:val="TableText"/>
              <w:keepNext/>
              <w:widowControl w:val="0"/>
              <w:tabs>
                <w:tab w:val="left" w:pos="9356"/>
              </w:tabs>
              <w:spacing w:line="240" w:lineRule="auto"/>
              <w:ind w:left="-57" w:right="-57"/>
              <w:rPr>
                <w:rFonts w:asciiTheme="minorHAnsi" w:hAnsiTheme="minorHAnsi"/>
                <w:i/>
                <w:sz w:val="16"/>
                <w:szCs w:val="16"/>
              </w:rPr>
            </w:pPr>
            <w:r w:rsidRPr="00DB2BB4">
              <w:rPr>
                <w:rFonts w:asciiTheme="minorHAnsi" w:hAnsiTheme="minorHAnsi"/>
                <w:i/>
                <w:sz w:val="16"/>
                <w:szCs w:val="16"/>
              </w:rPr>
              <w:t>Company tax</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-18,000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-30,000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-31,000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-31,000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-30,000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-30,000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-28,000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-26,000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-27,000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-29,000</w:t>
            </w:r>
          </w:p>
        </w:tc>
        <w:tc>
          <w:tcPr>
            <w:tcW w:w="34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-79,000</w:t>
            </w:r>
          </w:p>
        </w:tc>
        <w:tc>
          <w:tcPr>
            <w:tcW w:w="34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-280,000</w:t>
            </w:r>
          </w:p>
        </w:tc>
      </w:tr>
      <w:tr w:rsidR="00E5148A" w:rsidRPr="00E5148A" w:rsidTr="00DB2BB4">
        <w:tblPrEx>
          <w:tblLook w:val="0680" w:firstRow="0"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1209" w:type="pct"/>
            <w:vAlign w:val="center"/>
          </w:tcPr>
          <w:p w:rsidR="00FB3DC0" w:rsidRPr="00DB2BB4" w:rsidRDefault="00FB3DC0">
            <w:pPr>
              <w:pStyle w:val="TableText"/>
              <w:keepNext/>
              <w:widowControl w:val="0"/>
              <w:tabs>
                <w:tab w:val="left" w:pos="9356"/>
              </w:tabs>
              <w:spacing w:line="240" w:lineRule="auto"/>
              <w:ind w:left="-57" w:right="-57"/>
              <w:rPr>
                <w:rFonts w:asciiTheme="minorHAnsi" w:hAnsiTheme="minorHAnsi"/>
                <w:i/>
                <w:sz w:val="16"/>
                <w:szCs w:val="16"/>
              </w:rPr>
            </w:pPr>
            <w:r w:rsidRPr="00DB2BB4">
              <w:rPr>
                <w:rFonts w:asciiTheme="minorHAnsi" w:hAnsiTheme="minorHAnsi"/>
                <w:i/>
                <w:sz w:val="16"/>
                <w:szCs w:val="16"/>
              </w:rPr>
              <w:t>GST revenue</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-4,000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-6,000</w:t>
            </w:r>
          </w:p>
        </w:tc>
        <w:tc>
          <w:tcPr>
            <w:tcW w:w="34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-14,000</w:t>
            </w:r>
          </w:p>
        </w:tc>
        <w:tc>
          <w:tcPr>
            <w:tcW w:w="34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-53,000</w:t>
            </w:r>
          </w:p>
        </w:tc>
      </w:tr>
      <w:tr w:rsidR="00E5148A" w:rsidRPr="00E5148A" w:rsidTr="00DB2BB4">
        <w:tblPrEx>
          <w:tblLook w:val="0680" w:firstRow="0"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1209" w:type="pct"/>
            <w:vAlign w:val="center"/>
          </w:tcPr>
          <w:p w:rsidR="00FB3DC0" w:rsidRPr="00DB2BB4" w:rsidRDefault="00FB3DC0">
            <w:pPr>
              <w:pStyle w:val="TableText"/>
              <w:keepNext/>
              <w:widowControl w:val="0"/>
              <w:tabs>
                <w:tab w:val="left" w:pos="9356"/>
              </w:tabs>
              <w:spacing w:line="240" w:lineRule="auto"/>
              <w:ind w:left="-57" w:right="-57"/>
              <w:rPr>
                <w:rFonts w:asciiTheme="minorHAnsi" w:hAnsiTheme="minorHAnsi"/>
                <w:i/>
                <w:noProof/>
                <w:sz w:val="16"/>
                <w:szCs w:val="16"/>
              </w:rPr>
            </w:pPr>
            <w:r w:rsidRPr="00DB2BB4">
              <w:rPr>
                <w:rFonts w:asciiTheme="minorHAnsi" w:hAnsiTheme="minorHAnsi"/>
                <w:i/>
                <w:sz w:val="16"/>
                <w:szCs w:val="16"/>
              </w:rPr>
              <w:t>Other indirect tax</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-48,000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-48,000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-52,000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-54,000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-57,000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-59,000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-62,000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-65,000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-68,000</w:t>
            </w:r>
          </w:p>
        </w:tc>
        <w:tc>
          <w:tcPr>
            <w:tcW w:w="34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-146,000</w:t>
            </w:r>
          </w:p>
        </w:tc>
        <w:tc>
          <w:tcPr>
            <w:tcW w:w="34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-563,000</w:t>
            </w:r>
          </w:p>
        </w:tc>
      </w:tr>
      <w:tr w:rsidR="00E5148A" w:rsidRPr="00E5148A" w:rsidTr="00DB2BB4">
        <w:tblPrEx>
          <w:tblLook w:val="0680" w:firstRow="0"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1209" w:type="pct"/>
            <w:vAlign w:val="center"/>
          </w:tcPr>
          <w:p w:rsidR="00FB3DC0" w:rsidRPr="00DB2BB4" w:rsidRDefault="00FB3DC0">
            <w:pPr>
              <w:pStyle w:val="TableText"/>
              <w:keepNext/>
              <w:widowControl w:val="0"/>
              <w:tabs>
                <w:tab w:val="left" w:pos="9356"/>
              </w:tabs>
              <w:spacing w:line="240" w:lineRule="auto"/>
              <w:ind w:left="-57" w:right="-57"/>
              <w:rPr>
                <w:rFonts w:asciiTheme="minorHAnsi" w:hAnsiTheme="minorHAnsi"/>
                <w:i/>
                <w:sz w:val="16"/>
                <w:szCs w:val="16"/>
              </w:rPr>
            </w:pPr>
            <w:r w:rsidRPr="00DB2BB4">
              <w:rPr>
                <w:rFonts w:asciiTheme="minorHAnsi" w:hAnsiTheme="minorHAnsi"/>
                <w:i/>
                <w:sz w:val="16"/>
                <w:szCs w:val="16"/>
              </w:rPr>
              <w:t>Superannuation fund taxes</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2,000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2,000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2,000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2,000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2,000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2,000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2,000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2,000</w:t>
            </w:r>
          </w:p>
        </w:tc>
        <w:tc>
          <w:tcPr>
            <w:tcW w:w="34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4,000</w:t>
            </w:r>
          </w:p>
        </w:tc>
        <w:tc>
          <w:tcPr>
            <w:tcW w:w="34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18,000</w:t>
            </w:r>
          </w:p>
        </w:tc>
      </w:tr>
      <w:tr w:rsidR="00E5148A" w:rsidRPr="00E5148A" w:rsidTr="00DB2BB4">
        <w:tblPrEx>
          <w:tblLook w:val="0680" w:firstRow="0"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1209" w:type="pct"/>
            <w:vAlign w:val="center"/>
          </w:tcPr>
          <w:p w:rsidR="00FB3DC0" w:rsidRPr="00DB2BB4" w:rsidRDefault="00FB3DC0">
            <w:pPr>
              <w:pStyle w:val="TableText"/>
              <w:keepNext/>
              <w:widowControl w:val="0"/>
              <w:tabs>
                <w:tab w:val="left" w:pos="9356"/>
              </w:tabs>
              <w:spacing w:line="240" w:lineRule="auto"/>
              <w:ind w:left="-57" w:right="-57"/>
              <w:rPr>
                <w:rFonts w:asciiTheme="minorHAnsi" w:hAnsiTheme="minorHAnsi"/>
                <w:b/>
                <w:sz w:val="16"/>
                <w:szCs w:val="16"/>
              </w:rPr>
            </w:pPr>
            <w:r w:rsidRPr="00DB2BB4">
              <w:rPr>
                <w:rFonts w:asciiTheme="minorHAnsi" w:hAnsiTheme="minorHAnsi"/>
                <w:b/>
                <w:sz w:val="16"/>
                <w:szCs w:val="16"/>
              </w:rPr>
              <w:t>Total – revenue</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-199,000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-228,000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-236,000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-237,000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-247,000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-254,000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-262,000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-273,000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-289,000</w:t>
            </w:r>
          </w:p>
        </w:tc>
        <w:tc>
          <w:tcPr>
            <w:tcW w:w="28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-306,000</w:t>
            </w:r>
          </w:p>
        </w:tc>
        <w:tc>
          <w:tcPr>
            <w:tcW w:w="34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-661,000</w:t>
            </w:r>
          </w:p>
        </w:tc>
        <w:tc>
          <w:tcPr>
            <w:tcW w:w="342" w:type="pct"/>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-2,529,000</w:t>
            </w:r>
          </w:p>
        </w:tc>
      </w:tr>
      <w:tr w:rsidR="00465F92" w:rsidRPr="00E5148A" w:rsidTr="00E5148A">
        <w:tblPrEx>
          <w:tblLook w:val="0680" w:firstRow="0"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1209" w:type="pct"/>
            <w:tcBorders>
              <w:bottom w:val="single" w:sz="8" w:space="0" w:color="788184" w:themeColor="accent6"/>
              <w:right w:val="nil"/>
            </w:tcBorders>
            <w:shd w:val="clear" w:color="auto" w:fill="E9ECF3" w:themeFill="accent2" w:themeFillTint="33"/>
            <w:vAlign w:val="center"/>
          </w:tcPr>
          <w:p w:rsidR="00DE4113" w:rsidRPr="00DB2BB4" w:rsidRDefault="00DE4113">
            <w:pPr>
              <w:pStyle w:val="TableText"/>
              <w:keepNext/>
              <w:widowControl w:val="0"/>
              <w:tabs>
                <w:tab w:val="left" w:pos="9356"/>
              </w:tabs>
              <w:spacing w:line="240" w:lineRule="auto"/>
              <w:ind w:left="-57" w:right="-57"/>
              <w:rPr>
                <w:rFonts w:asciiTheme="minorHAnsi" w:hAnsiTheme="minorHAnsi"/>
                <w:b/>
                <w:sz w:val="16"/>
                <w:szCs w:val="16"/>
              </w:rPr>
            </w:pPr>
            <w:r w:rsidRPr="00DB2BB4">
              <w:rPr>
                <w:rFonts w:asciiTheme="minorHAnsi" w:hAnsiTheme="minorHAnsi"/>
                <w:b/>
                <w:sz w:val="16"/>
                <w:szCs w:val="16"/>
              </w:rPr>
              <w:t>Expenses</w:t>
            </w:r>
          </w:p>
        </w:tc>
        <w:tc>
          <w:tcPr>
            <w:tcW w:w="282" w:type="pct"/>
            <w:tcBorders>
              <w:left w:val="nil"/>
              <w:bottom w:val="single" w:sz="8" w:space="0" w:color="788184" w:themeColor="accent6"/>
              <w:right w:val="nil"/>
            </w:tcBorders>
            <w:shd w:val="clear" w:color="auto" w:fill="E9ECF3" w:themeFill="accent2" w:themeFillTint="33"/>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bottom w:val="single" w:sz="8" w:space="0" w:color="788184" w:themeColor="accent6"/>
              <w:right w:val="nil"/>
            </w:tcBorders>
            <w:shd w:val="clear" w:color="auto" w:fill="E9ECF3" w:themeFill="accent2" w:themeFillTint="33"/>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bottom w:val="single" w:sz="8" w:space="0" w:color="788184" w:themeColor="accent6"/>
              <w:right w:val="nil"/>
            </w:tcBorders>
            <w:shd w:val="clear" w:color="auto" w:fill="E9ECF3" w:themeFill="accent2" w:themeFillTint="33"/>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bottom w:val="single" w:sz="8" w:space="0" w:color="788184" w:themeColor="accent6"/>
              <w:right w:val="nil"/>
            </w:tcBorders>
            <w:shd w:val="clear" w:color="auto" w:fill="E9ECF3" w:themeFill="accent2" w:themeFillTint="33"/>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bottom w:val="single" w:sz="8" w:space="0" w:color="788184" w:themeColor="accent6"/>
              <w:right w:val="nil"/>
            </w:tcBorders>
            <w:shd w:val="clear" w:color="auto" w:fill="E9ECF3" w:themeFill="accent2" w:themeFillTint="33"/>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bottom w:val="single" w:sz="8" w:space="0" w:color="788184" w:themeColor="accent6"/>
              <w:right w:val="nil"/>
            </w:tcBorders>
            <w:shd w:val="clear" w:color="auto" w:fill="E9ECF3" w:themeFill="accent2" w:themeFillTint="33"/>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bottom w:val="single" w:sz="8" w:space="0" w:color="788184" w:themeColor="accent6"/>
              <w:right w:val="nil"/>
            </w:tcBorders>
            <w:shd w:val="clear" w:color="auto" w:fill="E9ECF3" w:themeFill="accent2" w:themeFillTint="33"/>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bottom w:val="single" w:sz="8" w:space="0" w:color="788184" w:themeColor="accent6"/>
              <w:right w:val="nil"/>
            </w:tcBorders>
            <w:shd w:val="clear" w:color="auto" w:fill="E9ECF3" w:themeFill="accent2" w:themeFillTint="33"/>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bottom w:val="single" w:sz="8" w:space="0" w:color="788184" w:themeColor="accent6"/>
              <w:right w:val="nil"/>
            </w:tcBorders>
            <w:shd w:val="clear" w:color="auto" w:fill="E9ECF3" w:themeFill="accent2" w:themeFillTint="33"/>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bottom w:val="single" w:sz="8" w:space="0" w:color="788184" w:themeColor="accent6"/>
              <w:right w:val="nil"/>
            </w:tcBorders>
            <w:shd w:val="clear" w:color="auto" w:fill="E9ECF3" w:themeFill="accent2" w:themeFillTint="33"/>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bottom w:val="single" w:sz="8" w:space="0" w:color="788184" w:themeColor="accent6"/>
              <w:right w:val="nil"/>
            </w:tcBorders>
            <w:shd w:val="clear" w:color="auto" w:fill="E9ECF3" w:themeFill="accent2" w:themeFillTint="33"/>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342" w:type="pct"/>
            <w:tcBorders>
              <w:left w:val="nil"/>
              <w:bottom w:val="single" w:sz="8" w:space="0" w:color="788184" w:themeColor="accent6"/>
              <w:right w:val="nil"/>
            </w:tcBorders>
            <w:shd w:val="clear" w:color="auto" w:fill="E9ECF3" w:themeFill="accent2" w:themeFillTint="33"/>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 </w:t>
            </w:r>
          </w:p>
        </w:tc>
        <w:tc>
          <w:tcPr>
            <w:tcW w:w="342" w:type="pct"/>
            <w:tcBorders>
              <w:left w:val="nil"/>
            </w:tcBorders>
            <w:shd w:val="clear" w:color="auto" w:fill="E9ECF3" w:themeFill="accent2" w:themeFillTint="33"/>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 </w:t>
            </w:r>
          </w:p>
        </w:tc>
      </w:tr>
      <w:tr w:rsidR="00E5148A" w:rsidRPr="00E5148A" w:rsidTr="00DB2BB4">
        <w:tblPrEx>
          <w:tblLook w:val="0680" w:firstRow="0"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1209" w:type="pct"/>
            <w:tcBorders>
              <w:right w:val="nil"/>
            </w:tcBorders>
            <w:vAlign w:val="center"/>
          </w:tcPr>
          <w:p w:rsidR="00DE4113" w:rsidRPr="00DB2BB4" w:rsidRDefault="00DE4113">
            <w:pPr>
              <w:pStyle w:val="TableText"/>
              <w:keepNext/>
              <w:widowControl w:val="0"/>
              <w:tabs>
                <w:tab w:val="left" w:pos="9356"/>
              </w:tabs>
              <w:spacing w:line="240" w:lineRule="auto"/>
              <w:ind w:left="-57" w:right="-57"/>
              <w:rPr>
                <w:rFonts w:asciiTheme="minorHAnsi" w:hAnsiTheme="minorHAnsi"/>
                <w:i/>
                <w:sz w:val="16"/>
                <w:szCs w:val="16"/>
              </w:rPr>
            </w:pPr>
            <w:r w:rsidRPr="00DB2BB4">
              <w:rPr>
                <w:rFonts w:asciiTheme="minorHAnsi" w:hAnsiTheme="minorHAnsi"/>
                <w:i/>
                <w:sz w:val="16"/>
                <w:szCs w:val="16"/>
              </w:rPr>
              <w:t>Administered</w:t>
            </w:r>
          </w:p>
        </w:tc>
        <w:tc>
          <w:tcPr>
            <w:tcW w:w="282" w:type="pct"/>
            <w:tcBorders>
              <w:left w:val="nil"/>
              <w:right w:val="nil"/>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bottom w:val="single" w:sz="4" w:space="0" w:color="788184" w:themeColor="accent6"/>
              <w:right w:val="nil"/>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342" w:type="pct"/>
            <w:tcBorders>
              <w:left w:val="nil"/>
              <w:right w:val="nil"/>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 </w:t>
            </w:r>
          </w:p>
        </w:tc>
        <w:tc>
          <w:tcPr>
            <w:tcW w:w="342" w:type="pct"/>
            <w:tcBorders>
              <w:left w:val="nil"/>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 </w:t>
            </w:r>
          </w:p>
        </w:tc>
      </w:tr>
      <w:tr w:rsidR="00E5148A" w:rsidRPr="00E5148A" w:rsidTr="00DB2BB4">
        <w:tblPrEx>
          <w:tblLook w:val="0680" w:firstRow="0"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1209" w:type="pct"/>
            <w:vAlign w:val="center"/>
          </w:tcPr>
          <w:p w:rsidR="00DE4113" w:rsidRPr="00DB2BB4" w:rsidRDefault="00DE4113">
            <w:pPr>
              <w:pStyle w:val="TableText"/>
              <w:keepNext/>
              <w:widowControl w:val="0"/>
              <w:tabs>
                <w:tab w:val="left" w:pos="9356"/>
              </w:tabs>
              <w:spacing w:line="240" w:lineRule="auto"/>
              <w:ind w:left="-57" w:right="-57"/>
              <w:rPr>
                <w:rFonts w:asciiTheme="minorHAnsi" w:hAnsiTheme="minorHAnsi"/>
                <w:i/>
                <w:noProof/>
                <w:sz w:val="16"/>
                <w:szCs w:val="16"/>
              </w:rPr>
            </w:pPr>
            <w:r w:rsidRPr="00DB2BB4">
              <w:rPr>
                <w:rFonts w:asciiTheme="minorHAnsi" w:hAnsiTheme="minorHAnsi"/>
                <w:i/>
                <w:sz w:val="16"/>
                <w:szCs w:val="16"/>
              </w:rPr>
              <w:t>GST expense</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w:t>
            </w:r>
          </w:p>
        </w:tc>
        <w:tc>
          <w:tcPr>
            <w:tcW w:w="282" w:type="pct"/>
            <w:tcBorders>
              <w:top w:val="single" w:sz="4" w:space="0" w:color="788184" w:themeColor="accent6"/>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4,000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4,000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6,000</w:t>
            </w:r>
          </w:p>
        </w:tc>
        <w:tc>
          <w:tcPr>
            <w:tcW w:w="34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13,000</w:t>
            </w:r>
          </w:p>
        </w:tc>
        <w:tc>
          <w:tcPr>
            <w:tcW w:w="34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52,000</w:t>
            </w:r>
          </w:p>
        </w:tc>
      </w:tr>
      <w:tr w:rsidR="00E5148A" w:rsidRPr="00E5148A" w:rsidTr="00DB2BB4">
        <w:tblPrEx>
          <w:tblLook w:val="0680" w:firstRow="0"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1209" w:type="pct"/>
            <w:vAlign w:val="center"/>
          </w:tcPr>
          <w:p w:rsidR="00DE4113" w:rsidRPr="00DB2BB4" w:rsidRDefault="00DE4113">
            <w:pPr>
              <w:pStyle w:val="TableText"/>
              <w:keepNext/>
              <w:widowControl w:val="0"/>
              <w:tabs>
                <w:tab w:val="left" w:pos="9356"/>
              </w:tabs>
              <w:spacing w:line="240" w:lineRule="auto"/>
              <w:ind w:left="-57" w:right="-57"/>
              <w:rPr>
                <w:rFonts w:asciiTheme="minorHAnsi" w:hAnsiTheme="minorHAnsi"/>
                <w:i/>
                <w:sz w:val="16"/>
                <w:szCs w:val="16"/>
              </w:rPr>
            </w:pPr>
            <w:r w:rsidRPr="00DB2BB4">
              <w:rPr>
                <w:rFonts w:asciiTheme="minorHAnsi" w:hAnsiTheme="minorHAnsi"/>
                <w:i/>
                <w:sz w:val="16"/>
                <w:szCs w:val="16"/>
              </w:rPr>
              <w:t xml:space="preserve">Fuel tax credit </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w:t>
            </w:r>
          </w:p>
        </w:tc>
        <w:tc>
          <w:tcPr>
            <w:tcW w:w="282" w:type="pct"/>
            <w:tcBorders>
              <w:top w:val="single" w:sz="4" w:space="0" w:color="auto"/>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7,000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8,000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8,000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9,000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9,000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10,000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10,000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11,000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12,000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12,000</w:t>
            </w:r>
          </w:p>
        </w:tc>
        <w:tc>
          <w:tcPr>
            <w:tcW w:w="34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23,000</w:t>
            </w:r>
          </w:p>
        </w:tc>
        <w:tc>
          <w:tcPr>
            <w:tcW w:w="34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96,000</w:t>
            </w:r>
          </w:p>
        </w:tc>
      </w:tr>
      <w:tr w:rsidR="00E5148A" w:rsidRPr="00E5148A" w:rsidTr="00DB2BB4">
        <w:tblPrEx>
          <w:tblLook w:val="0680" w:firstRow="0"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1209" w:type="pct"/>
            <w:vAlign w:val="center"/>
          </w:tcPr>
          <w:p w:rsidR="00DE4113" w:rsidRPr="00DB2BB4" w:rsidRDefault="00DE4113">
            <w:pPr>
              <w:pStyle w:val="TableText"/>
              <w:keepNext/>
              <w:widowControl w:val="0"/>
              <w:tabs>
                <w:tab w:val="left" w:pos="9356"/>
              </w:tabs>
              <w:spacing w:line="240" w:lineRule="auto"/>
              <w:ind w:left="-57" w:right="-57"/>
              <w:rPr>
                <w:rFonts w:asciiTheme="minorHAnsi" w:hAnsiTheme="minorHAnsi"/>
                <w:i/>
                <w:noProof/>
                <w:sz w:val="16"/>
                <w:szCs w:val="16"/>
              </w:rPr>
            </w:pPr>
            <w:r w:rsidRPr="00DB2BB4">
              <w:rPr>
                <w:rFonts w:asciiTheme="minorHAnsi" w:hAnsiTheme="minorHAnsi"/>
                <w:i/>
                <w:sz w:val="16"/>
                <w:szCs w:val="16"/>
              </w:rPr>
              <w:t xml:space="preserve">Research and development refundable tax offset </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1,000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1,000</w:t>
            </w:r>
          </w:p>
        </w:tc>
        <w:tc>
          <w:tcPr>
            <w:tcW w:w="34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2,000</w:t>
            </w:r>
          </w:p>
        </w:tc>
        <w:tc>
          <w:tcPr>
            <w:tcW w:w="34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6,000</w:t>
            </w:r>
          </w:p>
        </w:tc>
      </w:tr>
      <w:tr w:rsidR="00E5148A" w:rsidRPr="00E5148A" w:rsidTr="00DB2BB4">
        <w:tblPrEx>
          <w:tblLook w:val="0680" w:firstRow="0"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1209" w:type="pct"/>
            <w:tcBorders>
              <w:bottom w:val="single" w:sz="8" w:space="0" w:color="788184" w:themeColor="accent6"/>
            </w:tcBorders>
            <w:vAlign w:val="center"/>
          </w:tcPr>
          <w:p w:rsidR="00DE4113" w:rsidRPr="00DB2BB4" w:rsidRDefault="00DE4113">
            <w:pPr>
              <w:pStyle w:val="TableText"/>
              <w:keepNext/>
              <w:widowControl w:val="0"/>
              <w:tabs>
                <w:tab w:val="left" w:pos="9356"/>
              </w:tabs>
              <w:spacing w:line="240" w:lineRule="auto"/>
              <w:ind w:left="-57" w:right="-57"/>
              <w:rPr>
                <w:rFonts w:asciiTheme="minorHAnsi" w:hAnsiTheme="minorHAnsi"/>
                <w:b/>
                <w:i/>
                <w:sz w:val="16"/>
                <w:szCs w:val="16"/>
              </w:rPr>
            </w:pPr>
            <w:r w:rsidRPr="00DB2BB4">
              <w:rPr>
                <w:rFonts w:asciiTheme="minorHAnsi" w:hAnsiTheme="minorHAnsi"/>
                <w:b/>
                <w:i/>
                <w:sz w:val="16"/>
                <w:szCs w:val="16"/>
              </w:rPr>
              <w:t>Total – administered</w:t>
            </w:r>
          </w:p>
        </w:tc>
        <w:tc>
          <w:tcPr>
            <w:tcW w:w="282" w:type="pct"/>
            <w:tcBorders>
              <w:bottom w:val="single" w:sz="8" w:space="0" w:color="788184" w:themeColor="accent6"/>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w:t>
            </w:r>
          </w:p>
        </w:tc>
        <w:tc>
          <w:tcPr>
            <w:tcW w:w="282" w:type="pct"/>
            <w:tcBorders>
              <w:bottom w:val="single" w:sz="8" w:space="0" w:color="788184" w:themeColor="accent6"/>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12,000</w:t>
            </w:r>
          </w:p>
        </w:tc>
        <w:tc>
          <w:tcPr>
            <w:tcW w:w="282" w:type="pct"/>
            <w:tcBorders>
              <w:bottom w:val="single" w:sz="8" w:space="0" w:color="788184" w:themeColor="accent6"/>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13,000</w:t>
            </w:r>
          </w:p>
        </w:tc>
        <w:tc>
          <w:tcPr>
            <w:tcW w:w="282" w:type="pct"/>
            <w:tcBorders>
              <w:bottom w:val="single" w:sz="8" w:space="0" w:color="788184" w:themeColor="accent6"/>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14,000</w:t>
            </w:r>
          </w:p>
        </w:tc>
        <w:tc>
          <w:tcPr>
            <w:tcW w:w="282" w:type="pct"/>
            <w:tcBorders>
              <w:bottom w:val="single" w:sz="8" w:space="0" w:color="788184" w:themeColor="accent6"/>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15,000</w:t>
            </w:r>
          </w:p>
        </w:tc>
        <w:tc>
          <w:tcPr>
            <w:tcW w:w="282" w:type="pct"/>
            <w:tcBorders>
              <w:bottom w:val="single" w:sz="8" w:space="0" w:color="788184" w:themeColor="accent6"/>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15,000</w:t>
            </w:r>
          </w:p>
        </w:tc>
        <w:tc>
          <w:tcPr>
            <w:tcW w:w="282" w:type="pct"/>
            <w:tcBorders>
              <w:bottom w:val="single" w:sz="8" w:space="0" w:color="788184" w:themeColor="accent6"/>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16,000</w:t>
            </w:r>
          </w:p>
        </w:tc>
        <w:tc>
          <w:tcPr>
            <w:tcW w:w="282" w:type="pct"/>
            <w:tcBorders>
              <w:bottom w:val="single" w:sz="8" w:space="0" w:color="788184" w:themeColor="accent6"/>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17,000</w:t>
            </w:r>
          </w:p>
        </w:tc>
        <w:tc>
          <w:tcPr>
            <w:tcW w:w="282" w:type="pct"/>
            <w:tcBorders>
              <w:bottom w:val="single" w:sz="8" w:space="0" w:color="788184" w:themeColor="accent6"/>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18,000</w:t>
            </w:r>
          </w:p>
        </w:tc>
        <w:tc>
          <w:tcPr>
            <w:tcW w:w="282" w:type="pct"/>
            <w:tcBorders>
              <w:bottom w:val="single" w:sz="8" w:space="0" w:color="788184" w:themeColor="accent6"/>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19,000</w:t>
            </w:r>
          </w:p>
        </w:tc>
        <w:tc>
          <w:tcPr>
            <w:tcW w:w="282" w:type="pct"/>
            <w:tcBorders>
              <w:bottom w:val="single" w:sz="8" w:space="0" w:color="788184" w:themeColor="accent6"/>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19,000</w:t>
            </w:r>
          </w:p>
        </w:tc>
        <w:tc>
          <w:tcPr>
            <w:tcW w:w="342" w:type="pct"/>
            <w:tcBorders>
              <w:bottom w:val="single" w:sz="8" w:space="0" w:color="788184" w:themeColor="accent6"/>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38,000</w:t>
            </w:r>
          </w:p>
        </w:tc>
        <w:tc>
          <w:tcPr>
            <w:tcW w:w="34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154,000</w:t>
            </w:r>
          </w:p>
        </w:tc>
      </w:tr>
      <w:tr w:rsidR="00E5148A" w:rsidRPr="00E5148A" w:rsidTr="00DB2BB4">
        <w:tblPrEx>
          <w:tblLook w:val="0680" w:firstRow="0"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1209" w:type="pct"/>
            <w:tcBorders>
              <w:right w:val="nil"/>
            </w:tcBorders>
            <w:vAlign w:val="center"/>
          </w:tcPr>
          <w:p w:rsidR="00DE4113" w:rsidRPr="00DB2BB4" w:rsidRDefault="00DE4113">
            <w:pPr>
              <w:pStyle w:val="TableText"/>
              <w:keepNext/>
              <w:widowControl w:val="0"/>
              <w:tabs>
                <w:tab w:val="left" w:pos="9356"/>
              </w:tabs>
              <w:spacing w:line="240" w:lineRule="auto"/>
              <w:ind w:left="-57" w:right="-57"/>
              <w:rPr>
                <w:rFonts w:asciiTheme="minorHAnsi" w:hAnsiTheme="minorHAnsi"/>
                <w:i/>
                <w:sz w:val="16"/>
                <w:szCs w:val="16"/>
              </w:rPr>
            </w:pPr>
            <w:r w:rsidRPr="00DB2BB4">
              <w:rPr>
                <w:rFonts w:asciiTheme="minorHAnsi" w:hAnsiTheme="minorHAnsi"/>
                <w:i/>
                <w:sz w:val="16"/>
                <w:szCs w:val="16"/>
              </w:rPr>
              <w:t>Departmental</w:t>
            </w:r>
          </w:p>
        </w:tc>
        <w:tc>
          <w:tcPr>
            <w:tcW w:w="282" w:type="pct"/>
            <w:tcBorders>
              <w:left w:val="nil"/>
              <w:right w:val="nil"/>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342" w:type="pct"/>
            <w:tcBorders>
              <w:left w:val="nil"/>
              <w:right w:val="nil"/>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 </w:t>
            </w:r>
          </w:p>
        </w:tc>
        <w:tc>
          <w:tcPr>
            <w:tcW w:w="342" w:type="pct"/>
            <w:tcBorders>
              <w:left w:val="nil"/>
            </w:tcBorders>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 </w:t>
            </w:r>
          </w:p>
        </w:tc>
      </w:tr>
      <w:tr w:rsidR="00E5148A" w:rsidRPr="00E5148A" w:rsidTr="00DB2BB4">
        <w:tblPrEx>
          <w:tblLook w:val="0680" w:firstRow="0"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1209" w:type="pct"/>
            <w:vAlign w:val="center"/>
          </w:tcPr>
          <w:p w:rsidR="00DE4113" w:rsidRPr="00DB2BB4" w:rsidRDefault="00DE4113">
            <w:pPr>
              <w:pStyle w:val="TableText"/>
              <w:keepNext/>
              <w:widowControl w:val="0"/>
              <w:tabs>
                <w:tab w:val="left" w:pos="9356"/>
              </w:tabs>
              <w:spacing w:line="240" w:lineRule="auto"/>
              <w:ind w:left="-57" w:right="-57"/>
              <w:rPr>
                <w:rFonts w:asciiTheme="minorHAnsi" w:hAnsiTheme="minorHAnsi"/>
                <w:i/>
                <w:noProof/>
                <w:sz w:val="16"/>
                <w:szCs w:val="16"/>
              </w:rPr>
            </w:pPr>
            <w:r w:rsidRPr="00DB2BB4">
              <w:rPr>
                <w:rFonts w:asciiTheme="minorHAnsi" w:hAnsiTheme="minorHAnsi"/>
                <w:i/>
                <w:sz w:val="16"/>
                <w:szCs w:val="16"/>
              </w:rPr>
              <w:t>Australian Taxation Office</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w:t>
            </w:r>
          </w:p>
        </w:tc>
        <w:tc>
          <w:tcPr>
            <w:tcW w:w="34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130</w:t>
            </w:r>
          </w:p>
        </w:tc>
        <w:tc>
          <w:tcPr>
            <w:tcW w:w="34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570</w:t>
            </w:r>
          </w:p>
        </w:tc>
      </w:tr>
      <w:tr w:rsidR="00E5148A" w:rsidRPr="00E5148A" w:rsidTr="00DB2BB4">
        <w:tblPrEx>
          <w:tblLook w:val="0680" w:firstRow="0"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1209" w:type="pct"/>
            <w:vAlign w:val="center"/>
          </w:tcPr>
          <w:p w:rsidR="00DE4113" w:rsidRPr="00DB2BB4" w:rsidRDefault="00DE4113">
            <w:pPr>
              <w:pStyle w:val="TableText"/>
              <w:keepNext/>
              <w:widowControl w:val="0"/>
              <w:tabs>
                <w:tab w:val="left" w:pos="9356"/>
              </w:tabs>
              <w:spacing w:line="240" w:lineRule="auto"/>
              <w:ind w:left="-57" w:right="-57"/>
              <w:rPr>
                <w:rFonts w:asciiTheme="minorHAnsi" w:hAnsiTheme="minorHAnsi"/>
                <w:i/>
                <w:noProof/>
                <w:sz w:val="16"/>
                <w:szCs w:val="16"/>
              </w:rPr>
            </w:pPr>
            <w:r w:rsidRPr="00DB2BB4">
              <w:rPr>
                <w:rFonts w:asciiTheme="minorHAnsi" w:hAnsiTheme="minorHAnsi"/>
                <w:i/>
                <w:sz w:val="16"/>
                <w:szCs w:val="16"/>
              </w:rPr>
              <w:t>Department of Home Affairs</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-40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40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40</w:t>
            </w:r>
          </w:p>
        </w:tc>
        <w:tc>
          <w:tcPr>
            <w:tcW w:w="34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110</w:t>
            </w:r>
          </w:p>
        </w:tc>
        <w:tc>
          <w:tcPr>
            <w:tcW w:w="34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430</w:t>
            </w:r>
          </w:p>
        </w:tc>
      </w:tr>
      <w:tr w:rsidR="00E5148A" w:rsidRPr="00E5148A" w:rsidTr="00DB2BB4">
        <w:tblPrEx>
          <w:tblLook w:val="0680" w:firstRow="0"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1209" w:type="pct"/>
            <w:vAlign w:val="center"/>
          </w:tcPr>
          <w:p w:rsidR="00DE4113" w:rsidRPr="00DB2BB4" w:rsidRDefault="00DE4113">
            <w:pPr>
              <w:pStyle w:val="TableText"/>
              <w:keepNext/>
              <w:widowControl w:val="0"/>
              <w:tabs>
                <w:tab w:val="left" w:pos="9356"/>
              </w:tabs>
              <w:spacing w:line="240" w:lineRule="auto"/>
              <w:ind w:left="-57" w:right="-57"/>
              <w:rPr>
                <w:rFonts w:asciiTheme="minorHAnsi" w:hAnsiTheme="minorHAnsi"/>
                <w:i/>
                <w:sz w:val="16"/>
                <w:szCs w:val="16"/>
              </w:rPr>
            </w:pPr>
            <w:r w:rsidRPr="00DB2BB4">
              <w:rPr>
                <w:rFonts w:asciiTheme="minorHAnsi" w:hAnsiTheme="minorHAnsi"/>
                <w:b/>
                <w:i/>
                <w:sz w:val="16"/>
                <w:szCs w:val="16"/>
              </w:rPr>
              <w:t>Total – departmental</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110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110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110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110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110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110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110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110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100</w:t>
            </w:r>
          </w:p>
        </w:tc>
        <w:tc>
          <w:tcPr>
            <w:tcW w:w="34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240</w:t>
            </w:r>
          </w:p>
        </w:tc>
        <w:tc>
          <w:tcPr>
            <w:tcW w:w="34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1,000</w:t>
            </w:r>
          </w:p>
        </w:tc>
      </w:tr>
      <w:tr w:rsidR="00E5148A" w:rsidRPr="00E5148A" w:rsidTr="00DB2BB4">
        <w:tblPrEx>
          <w:tblLook w:val="0680" w:firstRow="0"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1209" w:type="pct"/>
            <w:vAlign w:val="center"/>
          </w:tcPr>
          <w:p w:rsidR="00DE4113" w:rsidRPr="00DB2BB4" w:rsidRDefault="00DE4113">
            <w:pPr>
              <w:pStyle w:val="TableText"/>
              <w:keepNext/>
              <w:widowControl w:val="0"/>
              <w:tabs>
                <w:tab w:val="left" w:pos="9356"/>
              </w:tabs>
              <w:spacing w:line="240" w:lineRule="auto"/>
              <w:ind w:left="-57" w:right="-57"/>
              <w:rPr>
                <w:rFonts w:asciiTheme="minorHAnsi" w:hAnsiTheme="minorHAnsi"/>
                <w:b/>
                <w:sz w:val="16"/>
                <w:szCs w:val="16"/>
              </w:rPr>
            </w:pPr>
            <w:r w:rsidRPr="00DB2BB4">
              <w:rPr>
                <w:rFonts w:asciiTheme="minorHAnsi" w:hAnsiTheme="minorHAnsi"/>
                <w:b/>
                <w:sz w:val="16"/>
                <w:szCs w:val="16"/>
              </w:rPr>
              <w:t>Total – expenses</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12,110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13,110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14,110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15,110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15,110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16,110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17,110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18,110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19,100</w:t>
            </w:r>
          </w:p>
        </w:tc>
        <w:tc>
          <w:tcPr>
            <w:tcW w:w="28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19,100</w:t>
            </w:r>
          </w:p>
        </w:tc>
        <w:tc>
          <w:tcPr>
            <w:tcW w:w="34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38,240</w:t>
            </w:r>
          </w:p>
        </w:tc>
        <w:tc>
          <w:tcPr>
            <w:tcW w:w="342" w:type="pct"/>
            <w:vAlign w:val="center"/>
          </w:tcPr>
          <w:p w:rsidR="00DE4113" w:rsidRPr="00DB2BB4" w:rsidRDefault="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155,000</w:t>
            </w:r>
          </w:p>
        </w:tc>
      </w:tr>
      <w:tr w:rsidR="00465F92" w:rsidRPr="00E5148A" w:rsidTr="00E5148A">
        <w:tblPrEx>
          <w:tblLook w:val="0680" w:firstRow="0"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1209" w:type="pct"/>
            <w:shd w:val="clear" w:color="auto" w:fill="D7DDE9" w:themeFill="accent3"/>
            <w:vAlign w:val="center"/>
          </w:tcPr>
          <w:p w:rsidR="00FB3DC0" w:rsidRPr="00DB2BB4" w:rsidRDefault="00FB3DC0">
            <w:pPr>
              <w:pStyle w:val="TableText"/>
              <w:keepNext/>
              <w:widowControl w:val="0"/>
              <w:tabs>
                <w:tab w:val="left" w:pos="9356"/>
              </w:tabs>
              <w:spacing w:line="240" w:lineRule="auto"/>
              <w:ind w:left="-57" w:right="-57"/>
              <w:rPr>
                <w:rFonts w:asciiTheme="minorHAnsi" w:hAnsiTheme="minorHAnsi"/>
                <w:b/>
                <w:sz w:val="16"/>
                <w:szCs w:val="16"/>
              </w:rPr>
            </w:pPr>
            <w:r w:rsidRPr="00DB2BB4">
              <w:rPr>
                <w:rFonts w:asciiTheme="minorHAnsi" w:hAnsiTheme="minorHAnsi"/>
                <w:b/>
                <w:sz w:val="16"/>
                <w:szCs w:val="16"/>
              </w:rPr>
              <w:t xml:space="preserve">Total </w:t>
            </w:r>
          </w:p>
        </w:tc>
        <w:tc>
          <w:tcPr>
            <w:tcW w:w="282" w:type="pct"/>
            <w:shd w:val="clear" w:color="auto" w:fill="D7DDE9" w:themeFill="accent3"/>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-100</w:t>
            </w:r>
          </w:p>
        </w:tc>
        <w:tc>
          <w:tcPr>
            <w:tcW w:w="282" w:type="pct"/>
            <w:shd w:val="clear" w:color="auto" w:fill="D7DDE9" w:themeFill="accent3"/>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-186,890</w:t>
            </w:r>
          </w:p>
        </w:tc>
        <w:tc>
          <w:tcPr>
            <w:tcW w:w="282" w:type="pct"/>
            <w:shd w:val="clear" w:color="auto" w:fill="D7DDE9" w:themeFill="accent3"/>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-214,890</w:t>
            </w:r>
          </w:p>
        </w:tc>
        <w:tc>
          <w:tcPr>
            <w:tcW w:w="282" w:type="pct"/>
            <w:shd w:val="clear" w:color="auto" w:fill="D7DDE9" w:themeFill="accent3"/>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-221,890</w:t>
            </w:r>
          </w:p>
        </w:tc>
        <w:tc>
          <w:tcPr>
            <w:tcW w:w="282" w:type="pct"/>
            <w:shd w:val="clear" w:color="auto" w:fill="D7DDE9" w:themeFill="accent3"/>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-221,890</w:t>
            </w:r>
          </w:p>
        </w:tc>
        <w:tc>
          <w:tcPr>
            <w:tcW w:w="282" w:type="pct"/>
            <w:shd w:val="clear" w:color="auto" w:fill="D7DDE9" w:themeFill="accent3"/>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-231,890</w:t>
            </w:r>
          </w:p>
        </w:tc>
        <w:tc>
          <w:tcPr>
            <w:tcW w:w="282" w:type="pct"/>
            <w:shd w:val="clear" w:color="auto" w:fill="D7DDE9" w:themeFill="accent3"/>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-237,890</w:t>
            </w:r>
          </w:p>
        </w:tc>
        <w:tc>
          <w:tcPr>
            <w:tcW w:w="282" w:type="pct"/>
            <w:shd w:val="clear" w:color="auto" w:fill="D7DDE9" w:themeFill="accent3"/>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-244,890</w:t>
            </w:r>
          </w:p>
        </w:tc>
        <w:tc>
          <w:tcPr>
            <w:tcW w:w="282" w:type="pct"/>
            <w:shd w:val="clear" w:color="auto" w:fill="D7DDE9" w:themeFill="accent3"/>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-254,890</w:t>
            </w:r>
          </w:p>
        </w:tc>
        <w:tc>
          <w:tcPr>
            <w:tcW w:w="282" w:type="pct"/>
            <w:shd w:val="clear" w:color="auto" w:fill="D7DDE9" w:themeFill="accent3"/>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-269,900</w:t>
            </w:r>
          </w:p>
        </w:tc>
        <w:tc>
          <w:tcPr>
            <w:tcW w:w="282" w:type="pct"/>
            <w:shd w:val="clear" w:color="auto" w:fill="D7DDE9" w:themeFill="accent3"/>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-286,900</w:t>
            </w:r>
          </w:p>
        </w:tc>
        <w:tc>
          <w:tcPr>
            <w:tcW w:w="342" w:type="pct"/>
            <w:shd w:val="clear" w:color="auto" w:fill="D7DDE9" w:themeFill="accent3"/>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-622,760</w:t>
            </w:r>
          </w:p>
        </w:tc>
        <w:tc>
          <w:tcPr>
            <w:tcW w:w="342" w:type="pct"/>
            <w:shd w:val="clear" w:color="auto" w:fill="D7DDE9" w:themeFill="accent3"/>
            <w:vAlign w:val="center"/>
          </w:tcPr>
          <w:p w:rsidR="00FB3DC0" w:rsidRPr="00DB2BB4" w:rsidRDefault="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-2,374,000</w:t>
            </w:r>
          </w:p>
        </w:tc>
      </w:tr>
    </w:tbl>
    <w:p w:rsidR="00D83267" w:rsidRPr="00E5148A" w:rsidRDefault="00D83267" w:rsidP="00D83267">
      <w:pPr>
        <w:keepNext/>
        <w:widowControl w:val="0"/>
        <w:tabs>
          <w:tab w:val="left" w:pos="9356"/>
        </w:tabs>
        <w:spacing w:line="260" w:lineRule="atLeast"/>
        <w:ind w:left="284" w:hanging="284"/>
        <w:rPr>
          <w:sz w:val="16"/>
          <w:szCs w:val="16"/>
        </w:rPr>
      </w:pPr>
      <w:r w:rsidRPr="00E5148A">
        <w:rPr>
          <w:sz w:val="16"/>
          <w:szCs w:val="16"/>
        </w:rPr>
        <w:t>(a)</w:t>
      </w:r>
      <w:r w:rsidRPr="00E5148A">
        <w:rPr>
          <w:sz w:val="16"/>
          <w:szCs w:val="16"/>
        </w:rPr>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w:t>
      </w:r>
    </w:p>
    <w:p w:rsidR="00D83267" w:rsidRPr="00E5148A" w:rsidRDefault="00D83267" w:rsidP="00D83267">
      <w:pPr>
        <w:keepNext/>
        <w:widowControl w:val="0"/>
        <w:tabs>
          <w:tab w:val="left" w:pos="9356"/>
        </w:tabs>
        <w:spacing w:line="260" w:lineRule="atLeast"/>
        <w:ind w:left="284" w:hanging="284"/>
        <w:rPr>
          <w:sz w:val="16"/>
          <w:szCs w:val="16"/>
        </w:rPr>
      </w:pPr>
      <w:r w:rsidRPr="00E5148A">
        <w:rPr>
          <w:sz w:val="16"/>
          <w:szCs w:val="16"/>
        </w:rPr>
        <w:t>(b)</w:t>
      </w:r>
      <w:r w:rsidRPr="00E5148A">
        <w:rPr>
          <w:sz w:val="16"/>
          <w:szCs w:val="16"/>
        </w:rPr>
        <w:tab/>
        <w:t>Figures may not sum to totals due to rounding.</w:t>
      </w:r>
    </w:p>
    <w:p w:rsidR="00D83267" w:rsidRPr="00E5148A" w:rsidRDefault="00D83267" w:rsidP="00D83267">
      <w:pPr>
        <w:pStyle w:val="TableFootnotes"/>
        <w:keepLines w:val="0"/>
        <w:numPr>
          <w:ilvl w:val="0"/>
          <w:numId w:val="11"/>
        </w:numPr>
        <w:tabs>
          <w:tab w:val="left" w:pos="9356"/>
        </w:tabs>
        <w:ind w:left="284" w:hanging="284"/>
        <w:rPr>
          <w:sz w:val="16"/>
          <w:szCs w:val="16"/>
        </w:rPr>
      </w:pPr>
      <w:r w:rsidRPr="00E5148A">
        <w:rPr>
          <w:sz w:val="16"/>
          <w:szCs w:val="16"/>
        </w:rPr>
        <w:t>Indicates nil.</w:t>
      </w:r>
    </w:p>
    <w:p w:rsidR="00D83267" w:rsidRDefault="00D83267" w:rsidP="00D83267">
      <w:pPr>
        <w:pStyle w:val="Caption"/>
        <w:widowControl w:val="0"/>
        <w:tabs>
          <w:tab w:val="left" w:pos="9356"/>
        </w:tabs>
        <w:rPr>
          <w:vertAlign w:val="superscript"/>
        </w:rPr>
      </w:pPr>
      <w:r w:rsidRPr="002D239A">
        <w:lastRenderedPageBreak/>
        <w:t xml:space="preserve">Table </w:t>
      </w:r>
      <w:r w:rsidR="00DE28A2">
        <w:fldChar w:fldCharType="begin"/>
      </w:r>
      <w:r w:rsidR="00DE28A2">
        <w:instrText xml:space="preserve"> STYLEREF 8 \s </w:instrText>
      </w:r>
      <w:r w:rsidR="00DE28A2">
        <w:fldChar w:fldCharType="separate"/>
      </w:r>
      <w:r w:rsidR="00910A52">
        <w:rPr>
          <w:noProof/>
        </w:rPr>
        <w:t>A</w:t>
      </w:r>
      <w:r w:rsidR="00DE28A2">
        <w:rPr>
          <w:noProof/>
        </w:rPr>
        <w:fldChar w:fldCharType="end"/>
      </w:r>
      <w:r w:rsidR="00DE28A2">
        <w:fldChar w:fldCharType="begin"/>
      </w:r>
      <w:r w:rsidR="00DE28A2">
        <w:instrText xml:space="preserve"> SEQ AppendixTable\s 8 </w:instrText>
      </w:r>
      <w:r w:rsidR="00DE28A2">
        <w:fldChar w:fldCharType="separate"/>
      </w:r>
      <w:r w:rsidR="00910A52">
        <w:rPr>
          <w:noProof/>
        </w:rPr>
        <w:t>2</w:t>
      </w:r>
      <w:r w:rsidR="00DE28A2">
        <w:rPr>
          <w:noProof/>
        </w:rPr>
        <w:fldChar w:fldCharType="end"/>
      </w:r>
      <w:r w:rsidRPr="002D239A">
        <w:t xml:space="preserve">: </w:t>
      </w:r>
      <w:r w:rsidR="00DE28A2">
        <w:fldChar w:fldCharType="begin"/>
      </w:r>
      <w:r w:rsidR="00DE28A2">
        <w:instrText xml:space="preserve"> STYLEREF  "Name of proposal"  \* MERGEFORMAT </w:instrText>
      </w:r>
      <w:r w:rsidR="00DE28A2">
        <w:fldChar w:fldCharType="separate"/>
      </w:r>
      <w:r w:rsidR="00910A52">
        <w:rPr>
          <w:noProof/>
        </w:rPr>
        <w:t>Liberal Democrats’ tax policy</w:t>
      </w:r>
      <w:r w:rsidR="00DE28A2">
        <w:rPr>
          <w:noProof/>
        </w:rPr>
        <w:fldChar w:fldCharType="end"/>
      </w:r>
      <w:r>
        <w:t xml:space="preserve"> – Underlying cash balance ($m)</w:t>
      </w:r>
      <w:r w:rsidRPr="002D239A">
        <w:rPr>
          <w:vertAlign w:val="superscript"/>
        </w:rPr>
        <w:t>(a)(b)</w:t>
      </w:r>
    </w:p>
    <w:tbl>
      <w:tblPr>
        <w:tblStyle w:val="LightGrid-Accent6"/>
        <w:tblW w:w="4756" w:type="pct"/>
        <w:tblLayout w:type="fixed"/>
        <w:tblLook w:val="0680" w:firstRow="0" w:lastRow="0" w:firstColumn="1" w:lastColumn="0" w:noHBand="1" w:noVBand="1"/>
      </w:tblPr>
      <w:tblGrid>
        <w:gridCol w:w="3405"/>
        <w:gridCol w:w="797"/>
        <w:gridCol w:w="794"/>
        <w:gridCol w:w="794"/>
        <w:gridCol w:w="794"/>
        <w:gridCol w:w="793"/>
        <w:gridCol w:w="793"/>
        <w:gridCol w:w="793"/>
        <w:gridCol w:w="793"/>
        <w:gridCol w:w="793"/>
        <w:gridCol w:w="793"/>
        <w:gridCol w:w="793"/>
        <w:gridCol w:w="965"/>
        <w:gridCol w:w="965"/>
      </w:tblGrid>
      <w:tr w:rsidR="00E5148A" w:rsidRPr="00E5148A" w:rsidTr="00E5148A">
        <w:tc>
          <w:tcPr>
            <w:cnfStyle w:val="001000000000" w:firstRow="0" w:lastRow="0" w:firstColumn="1" w:lastColumn="0" w:oddVBand="0" w:evenVBand="0" w:oddHBand="0" w:evenHBand="0" w:firstRowFirstColumn="0" w:firstRowLastColumn="0" w:lastRowFirstColumn="0" w:lastRowLastColumn="0"/>
            <w:tcW w:w="1210" w:type="pct"/>
            <w:shd w:val="clear" w:color="auto" w:fill="D7DDE9" w:themeFill="accent3"/>
            <w:vAlign w:val="center"/>
          </w:tcPr>
          <w:p w:rsidR="00D83267" w:rsidRPr="00E5148A" w:rsidRDefault="00D83267" w:rsidP="00D83267">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D7DDE9" w:themeFill="accent3"/>
            <w:vAlign w:val="center"/>
          </w:tcPr>
          <w:p w:rsidR="00D83267" w:rsidRPr="00E5148A" w:rsidRDefault="00D83267" w:rsidP="00D8326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5148A">
              <w:rPr>
                <w:rFonts w:asciiTheme="minorHAnsi" w:hAnsiTheme="minorHAnsi"/>
                <w:b w:val="0"/>
                <w:sz w:val="16"/>
                <w:szCs w:val="16"/>
              </w:rPr>
              <w:t>2018–</w:t>
            </w:r>
          </w:p>
          <w:p w:rsidR="00D83267" w:rsidRPr="00E5148A" w:rsidRDefault="00D83267" w:rsidP="00D8326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5148A">
              <w:rPr>
                <w:rFonts w:asciiTheme="minorHAnsi" w:hAnsiTheme="minorHAnsi"/>
                <w:b w:val="0"/>
                <w:sz w:val="16"/>
                <w:szCs w:val="16"/>
              </w:rPr>
              <w:t>19</w:t>
            </w:r>
          </w:p>
        </w:tc>
        <w:tc>
          <w:tcPr>
            <w:tcW w:w="282" w:type="pct"/>
            <w:shd w:val="clear" w:color="auto" w:fill="D7DDE9" w:themeFill="accent3"/>
            <w:vAlign w:val="center"/>
          </w:tcPr>
          <w:p w:rsidR="00D83267" w:rsidRPr="00E5148A" w:rsidRDefault="00D83267" w:rsidP="00D8326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5148A">
              <w:rPr>
                <w:rFonts w:asciiTheme="minorHAnsi" w:hAnsiTheme="minorHAnsi"/>
                <w:b w:val="0"/>
                <w:sz w:val="16"/>
                <w:szCs w:val="16"/>
              </w:rPr>
              <w:t>2019–</w:t>
            </w:r>
          </w:p>
          <w:p w:rsidR="00D83267" w:rsidRPr="00E5148A" w:rsidRDefault="00D83267" w:rsidP="00D8326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5148A">
              <w:rPr>
                <w:rFonts w:asciiTheme="minorHAnsi" w:hAnsiTheme="minorHAnsi"/>
                <w:b w:val="0"/>
                <w:sz w:val="16"/>
                <w:szCs w:val="16"/>
              </w:rPr>
              <w:t>20</w:t>
            </w:r>
          </w:p>
        </w:tc>
        <w:tc>
          <w:tcPr>
            <w:tcW w:w="282" w:type="pct"/>
            <w:shd w:val="clear" w:color="auto" w:fill="D7DDE9" w:themeFill="accent3"/>
            <w:vAlign w:val="center"/>
          </w:tcPr>
          <w:p w:rsidR="00D83267" w:rsidRPr="00E5148A" w:rsidRDefault="00D83267" w:rsidP="00D8326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5148A">
              <w:rPr>
                <w:rFonts w:asciiTheme="minorHAnsi" w:hAnsiTheme="minorHAnsi"/>
                <w:b w:val="0"/>
                <w:sz w:val="16"/>
                <w:szCs w:val="16"/>
              </w:rPr>
              <w:t>2020–</w:t>
            </w:r>
          </w:p>
          <w:p w:rsidR="00D83267" w:rsidRPr="00E5148A" w:rsidRDefault="00D83267" w:rsidP="00D8326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5148A">
              <w:rPr>
                <w:rFonts w:asciiTheme="minorHAnsi" w:hAnsiTheme="minorHAnsi"/>
                <w:b w:val="0"/>
                <w:sz w:val="16"/>
                <w:szCs w:val="16"/>
              </w:rPr>
              <w:t>21</w:t>
            </w:r>
          </w:p>
        </w:tc>
        <w:tc>
          <w:tcPr>
            <w:tcW w:w="282" w:type="pct"/>
            <w:shd w:val="clear" w:color="auto" w:fill="D7DDE9" w:themeFill="accent3"/>
            <w:vAlign w:val="center"/>
          </w:tcPr>
          <w:p w:rsidR="00D83267" w:rsidRPr="00E5148A" w:rsidRDefault="00D83267" w:rsidP="00D8326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5148A">
              <w:rPr>
                <w:rFonts w:asciiTheme="minorHAnsi" w:hAnsiTheme="minorHAnsi"/>
                <w:b w:val="0"/>
                <w:sz w:val="16"/>
                <w:szCs w:val="16"/>
              </w:rPr>
              <w:t>2021–</w:t>
            </w:r>
          </w:p>
          <w:p w:rsidR="00D83267" w:rsidRPr="00E5148A" w:rsidRDefault="00D83267" w:rsidP="00D8326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5148A">
              <w:rPr>
                <w:rFonts w:asciiTheme="minorHAnsi" w:hAnsiTheme="minorHAnsi"/>
                <w:b w:val="0"/>
                <w:sz w:val="16"/>
                <w:szCs w:val="16"/>
              </w:rPr>
              <w:t>22</w:t>
            </w:r>
          </w:p>
        </w:tc>
        <w:tc>
          <w:tcPr>
            <w:tcW w:w="282" w:type="pct"/>
            <w:shd w:val="clear" w:color="auto" w:fill="D7DDE9" w:themeFill="accent3"/>
            <w:vAlign w:val="center"/>
          </w:tcPr>
          <w:p w:rsidR="00D83267" w:rsidRPr="00E5148A" w:rsidRDefault="00D83267" w:rsidP="00D8326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5148A">
              <w:rPr>
                <w:rFonts w:asciiTheme="minorHAnsi" w:hAnsiTheme="minorHAnsi"/>
                <w:b w:val="0"/>
                <w:sz w:val="16"/>
                <w:szCs w:val="16"/>
              </w:rPr>
              <w:t>2022–</w:t>
            </w:r>
          </w:p>
          <w:p w:rsidR="00D83267" w:rsidRPr="00E5148A" w:rsidRDefault="00D83267" w:rsidP="00D8326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5148A">
              <w:rPr>
                <w:rFonts w:asciiTheme="minorHAnsi" w:hAnsiTheme="minorHAnsi"/>
                <w:b w:val="0"/>
                <w:sz w:val="16"/>
                <w:szCs w:val="16"/>
              </w:rPr>
              <w:t>23</w:t>
            </w:r>
          </w:p>
        </w:tc>
        <w:tc>
          <w:tcPr>
            <w:tcW w:w="282" w:type="pct"/>
            <w:shd w:val="clear" w:color="auto" w:fill="D7DDE9" w:themeFill="accent3"/>
            <w:vAlign w:val="center"/>
          </w:tcPr>
          <w:p w:rsidR="00D83267" w:rsidRPr="00E5148A" w:rsidRDefault="00D83267" w:rsidP="00D8326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5148A">
              <w:rPr>
                <w:rFonts w:asciiTheme="minorHAnsi" w:hAnsiTheme="minorHAnsi"/>
                <w:b w:val="0"/>
                <w:sz w:val="16"/>
                <w:szCs w:val="16"/>
              </w:rPr>
              <w:t>2023–</w:t>
            </w:r>
          </w:p>
          <w:p w:rsidR="00D83267" w:rsidRPr="00E5148A" w:rsidRDefault="00D83267" w:rsidP="00D8326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5148A">
              <w:rPr>
                <w:rFonts w:asciiTheme="minorHAnsi" w:hAnsiTheme="minorHAnsi"/>
                <w:b w:val="0"/>
                <w:sz w:val="16"/>
                <w:szCs w:val="16"/>
              </w:rPr>
              <w:t>24</w:t>
            </w:r>
          </w:p>
        </w:tc>
        <w:tc>
          <w:tcPr>
            <w:tcW w:w="282" w:type="pct"/>
            <w:shd w:val="clear" w:color="auto" w:fill="D7DDE9" w:themeFill="accent3"/>
            <w:vAlign w:val="center"/>
          </w:tcPr>
          <w:p w:rsidR="00D83267" w:rsidRPr="00E5148A" w:rsidRDefault="00D83267" w:rsidP="00D8326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5148A">
              <w:rPr>
                <w:rFonts w:asciiTheme="minorHAnsi" w:hAnsiTheme="minorHAnsi"/>
                <w:b w:val="0"/>
                <w:sz w:val="16"/>
                <w:szCs w:val="16"/>
              </w:rPr>
              <w:t>2024–</w:t>
            </w:r>
          </w:p>
          <w:p w:rsidR="00D83267" w:rsidRPr="00E5148A" w:rsidRDefault="00D83267" w:rsidP="00D8326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5148A">
              <w:rPr>
                <w:rFonts w:asciiTheme="minorHAnsi" w:hAnsiTheme="minorHAnsi"/>
                <w:b w:val="0"/>
                <w:sz w:val="16"/>
                <w:szCs w:val="16"/>
              </w:rPr>
              <w:t>25</w:t>
            </w:r>
          </w:p>
        </w:tc>
        <w:tc>
          <w:tcPr>
            <w:tcW w:w="282" w:type="pct"/>
            <w:shd w:val="clear" w:color="auto" w:fill="D7DDE9" w:themeFill="accent3"/>
            <w:vAlign w:val="center"/>
          </w:tcPr>
          <w:p w:rsidR="00D83267" w:rsidRPr="00E5148A" w:rsidRDefault="00D83267" w:rsidP="00D8326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5148A">
              <w:rPr>
                <w:rFonts w:asciiTheme="minorHAnsi" w:hAnsiTheme="minorHAnsi"/>
                <w:b w:val="0"/>
                <w:sz w:val="16"/>
                <w:szCs w:val="16"/>
              </w:rPr>
              <w:t>2025–</w:t>
            </w:r>
          </w:p>
          <w:p w:rsidR="00D83267" w:rsidRPr="00E5148A" w:rsidRDefault="00D83267" w:rsidP="00D8326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5148A">
              <w:rPr>
                <w:rFonts w:asciiTheme="minorHAnsi" w:hAnsiTheme="minorHAnsi"/>
                <w:b w:val="0"/>
                <w:sz w:val="16"/>
                <w:szCs w:val="16"/>
              </w:rPr>
              <w:t>26</w:t>
            </w:r>
          </w:p>
        </w:tc>
        <w:tc>
          <w:tcPr>
            <w:tcW w:w="282" w:type="pct"/>
            <w:shd w:val="clear" w:color="auto" w:fill="D7DDE9" w:themeFill="accent3"/>
            <w:vAlign w:val="center"/>
          </w:tcPr>
          <w:p w:rsidR="00D83267" w:rsidRPr="00E5148A" w:rsidRDefault="00D83267" w:rsidP="00D8326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5148A">
              <w:rPr>
                <w:rFonts w:asciiTheme="minorHAnsi" w:hAnsiTheme="minorHAnsi"/>
                <w:b w:val="0"/>
                <w:sz w:val="16"/>
                <w:szCs w:val="16"/>
              </w:rPr>
              <w:t>2026–</w:t>
            </w:r>
          </w:p>
          <w:p w:rsidR="00D83267" w:rsidRPr="00E5148A" w:rsidRDefault="00D83267" w:rsidP="00D8326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5148A">
              <w:rPr>
                <w:rFonts w:asciiTheme="minorHAnsi" w:hAnsiTheme="minorHAnsi"/>
                <w:b w:val="0"/>
                <w:sz w:val="16"/>
                <w:szCs w:val="16"/>
              </w:rPr>
              <w:t>27</w:t>
            </w:r>
          </w:p>
        </w:tc>
        <w:tc>
          <w:tcPr>
            <w:tcW w:w="282" w:type="pct"/>
            <w:shd w:val="clear" w:color="auto" w:fill="D7DDE9" w:themeFill="accent3"/>
            <w:vAlign w:val="center"/>
          </w:tcPr>
          <w:p w:rsidR="00D83267" w:rsidRPr="00E5148A" w:rsidRDefault="00D83267" w:rsidP="00D8326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5148A">
              <w:rPr>
                <w:rFonts w:asciiTheme="minorHAnsi" w:hAnsiTheme="minorHAnsi"/>
                <w:b w:val="0"/>
                <w:sz w:val="16"/>
                <w:szCs w:val="16"/>
              </w:rPr>
              <w:t>2027–</w:t>
            </w:r>
          </w:p>
          <w:p w:rsidR="00D83267" w:rsidRPr="00E5148A" w:rsidRDefault="00D83267" w:rsidP="00D8326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5148A">
              <w:rPr>
                <w:rFonts w:asciiTheme="minorHAnsi" w:hAnsiTheme="minorHAnsi"/>
                <w:b w:val="0"/>
                <w:sz w:val="16"/>
                <w:szCs w:val="16"/>
              </w:rPr>
              <w:t>28</w:t>
            </w:r>
          </w:p>
        </w:tc>
        <w:tc>
          <w:tcPr>
            <w:tcW w:w="282" w:type="pct"/>
            <w:shd w:val="clear" w:color="auto" w:fill="D7DDE9" w:themeFill="accent3"/>
            <w:vAlign w:val="center"/>
          </w:tcPr>
          <w:p w:rsidR="00D83267" w:rsidRPr="00E5148A" w:rsidRDefault="00D83267" w:rsidP="00D8326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5148A">
              <w:rPr>
                <w:rFonts w:asciiTheme="minorHAnsi" w:hAnsiTheme="minorHAnsi"/>
                <w:b w:val="0"/>
                <w:sz w:val="16"/>
                <w:szCs w:val="16"/>
              </w:rPr>
              <w:t>2028–</w:t>
            </w:r>
          </w:p>
          <w:p w:rsidR="00D83267" w:rsidRPr="00E5148A" w:rsidRDefault="00D83267" w:rsidP="00D8326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5148A">
              <w:rPr>
                <w:rFonts w:asciiTheme="minorHAnsi" w:hAnsiTheme="minorHAnsi"/>
                <w:b w:val="0"/>
                <w:sz w:val="16"/>
                <w:szCs w:val="16"/>
              </w:rPr>
              <w:t>29</w:t>
            </w:r>
          </w:p>
        </w:tc>
        <w:tc>
          <w:tcPr>
            <w:tcW w:w="343" w:type="pct"/>
            <w:shd w:val="clear" w:color="auto" w:fill="D7DDE9" w:themeFill="accent3"/>
            <w:vAlign w:val="center"/>
          </w:tcPr>
          <w:p w:rsidR="00D83267" w:rsidRPr="00E5148A" w:rsidRDefault="00D83267" w:rsidP="00D83267">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5148A">
              <w:rPr>
                <w:rFonts w:asciiTheme="minorHAnsi" w:hAnsiTheme="minorHAnsi"/>
                <w:sz w:val="16"/>
                <w:szCs w:val="16"/>
              </w:rPr>
              <w:t>Total to 2021–22</w:t>
            </w:r>
          </w:p>
        </w:tc>
        <w:tc>
          <w:tcPr>
            <w:tcW w:w="343" w:type="pct"/>
            <w:shd w:val="clear" w:color="auto" w:fill="D7DDE9" w:themeFill="accent3"/>
            <w:vAlign w:val="center"/>
          </w:tcPr>
          <w:p w:rsidR="00D83267" w:rsidRPr="00E5148A" w:rsidRDefault="00D83267" w:rsidP="00D83267">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5148A">
              <w:rPr>
                <w:rFonts w:asciiTheme="minorHAnsi" w:hAnsiTheme="minorHAnsi"/>
                <w:sz w:val="16"/>
                <w:szCs w:val="16"/>
              </w:rPr>
              <w:t>Total to 2028–29</w:t>
            </w:r>
          </w:p>
        </w:tc>
      </w:tr>
      <w:tr w:rsidR="00465F92" w:rsidRPr="00E5148A" w:rsidTr="00E5148A">
        <w:tc>
          <w:tcPr>
            <w:cnfStyle w:val="001000000000" w:firstRow="0" w:lastRow="0" w:firstColumn="1" w:lastColumn="0" w:oddVBand="0" w:evenVBand="0" w:oddHBand="0" w:evenHBand="0" w:firstRowFirstColumn="0" w:firstRowLastColumn="0" w:lastRowFirstColumn="0" w:lastRowLastColumn="0"/>
            <w:tcW w:w="1210" w:type="pct"/>
            <w:tcBorders>
              <w:right w:val="nil"/>
            </w:tcBorders>
            <w:shd w:val="clear" w:color="auto" w:fill="E9ECF3" w:themeFill="accent2" w:themeFillTint="33"/>
            <w:vAlign w:val="center"/>
          </w:tcPr>
          <w:p w:rsidR="00D83267" w:rsidRPr="00DB2BB4" w:rsidRDefault="00D83267" w:rsidP="00D83267">
            <w:pPr>
              <w:pStyle w:val="TableText"/>
              <w:keepNext/>
              <w:widowControl w:val="0"/>
              <w:tabs>
                <w:tab w:val="left" w:pos="9356"/>
              </w:tabs>
              <w:spacing w:line="240" w:lineRule="auto"/>
              <w:ind w:left="-57" w:right="-57"/>
              <w:rPr>
                <w:rFonts w:asciiTheme="minorHAnsi" w:hAnsiTheme="minorHAnsi"/>
                <w:b/>
                <w:sz w:val="16"/>
                <w:szCs w:val="16"/>
              </w:rPr>
            </w:pPr>
            <w:r w:rsidRPr="00DB2BB4">
              <w:rPr>
                <w:rFonts w:asciiTheme="minorHAnsi" w:hAnsiTheme="minorHAnsi"/>
                <w:b/>
                <w:sz w:val="16"/>
                <w:szCs w:val="16"/>
              </w:rPr>
              <w:t>Receipts</w:t>
            </w:r>
          </w:p>
        </w:tc>
        <w:tc>
          <w:tcPr>
            <w:tcW w:w="283" w:type="pct"/>
            <w:tcBorders>
              <w:left w:val="nil"/>
              <w:right w:val="nil"/>
            </w:tcBorders>
            <w:shd w:val="clear" w:color="auto" w:fill="E9ECF3" w:themeFill="accent2" w:themeFillTint="33"/>
            <w:vAlign w:val="center"/>
          </w:tcPr>
          <w:p w:rsidR="00D83267" w:rsidRPr="00E5148A" w:rsidRDefault="00D83267" w:rsidP="00D8326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left w:val="nil"/>
              <w:right w:val="nil"/>
            </w:tcBorders>
            <w:shd w:val="clear" w:color="auto" w:fill="E9ECF3" w:themeFill="accent2" w:themeFillTint="33"/>
            <w:vAlign w:val="center"/>
          </w:tcPr>
          <w:p w:rsidR="00D83267" w:rsidRPr="00E5148A" w:rsidRDefault="00D83267" w:rsidP="00D8326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left w:val="nil"/>
              <w:right w:val="nil"/>
            </w:tcBorders>
            <w:shd w:val="clear" w:color="auto" w:fill="E9ECF3" w:themeFill="accent2" w:themeFillTint="33"/>
            <w:vAlign w:val="center"/>
          </w:tcPr>
          <w:p w:rsidR="00D83267" w:rsidRPr="00E5148A" w:rsidRDefault="00D83267" w:rsidP="00D8326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left w:val="nil"/>
              <w:right w:val="nil"/>
            </w:tcBorders>
            <w:shd w:val="clear" w:color="auto" w:fill="E9ECF3" w:themeFill="accent2" w:themeFillTint="33"/>
            <w:vAlign w:val="center"/>
          </w:tcPr>
          <w:p w:rsidR="00D83267" w:rsidRPr="00E5148A" w:rsidRDefault="00D83267" w:rsidP="00D8326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left w:val="nil"/>
              <w:right w:val="nil"/>
            </w:tcBorders>
            <w:shd w:val="clear" w:color="auto" w:fill="E9ECF3" w:themeFill="accent2" w:themeFillTint="33"/>
            <w:vAlign w:val="center"/>
          </w:tcPr>
          <w:p w:rsidR="00D83267" w:rsidRPr="00E5148A" w:rsidRDefault="00D83267" w:rsidP="00D8326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left w:val="nil"/>
              <w:right w:val="nil"/>
            </w:tcBorders>
            <w:shd w:val="clear" w:color="auto" w:fill="E9ECF3" w:themeFill="accent2" w:themeFillTint="33"/>
            <w:vAlign w:val="center"/>
          </w:tcPr>
          <w:p w:rsidR="00D83267" w:rsidRPr="00E5148A" w:rsidRDefault="00D83267" w:rsidP="00D8326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left w:val="nil"/>
              <w:right w:val="nil"/>
            </w:tcBorders>
            <w:shd w:val="clear" w:color="auto" w:fill="E9ECF3" w:themeFill="accent2" w:themeFillTint="33"/>
            <w:vAlign w:val="center"/>
          </w:tcPr>
          <w:p w:rsidR="00D83267" w:rsidRPr="00E5148A" w:rsidRDefault="00D83267" w:rsidP="00D8326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left w:val="nil"/>
              <w:right w:val="nil"/>
            </w:tcBorders>
            <w:shd w:val="clear" w:color="auto" w:fill="E9ECF3" w:themeFill="accent2" w:themeFillTint="33"/>
            <w:vAlign w:val="center"/>
          </w:tcPr>
          <w:p w:rsidR="00D83267" w:rsidRPr="00E5148A" w:rsidRDefault="00D83267" w:rsidP="00D8326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left w:val="nil"/>
              <w:right w:val="nil"/>
            </w:tcBorders>
            <w:shd w:val="clear" w:color="auto" w:fill="E9ECF3" w:themeFill="accent2" w:themeFillTint="33"/>
            <w:vAlign w:val="center"/>
          </w:tcPr>
          <w:p w:rsidR="00D83267" w:rsidRPr="00E5148A" w:rsidRDefault="00D83267" w:rsidP="00D8326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left w:val="nil"/>
              <w:right w:val="nil"/>
            </w:tcBorders>
            <w:shd w:val="clear" w:color="auto" w:fill="E9ECF3" w:themeFill="accent2" w:themeFillTint="33"/>
            <w:vAlign w:val="center"/>
          </w:tcPr>
          <w:p w:rsidR="00D83267" w:rsidRPr="00E5148A" w:rsidRDefault="00D83267" w:rsidP="00D8326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left w:val="nil"/>
              <w:right w:val="nil"/>
            </w:tcBorders>
            <w:shd w:val="clear" w:color="auto" w:fill="E9ECF3" w:themeFill="accent2" w:themeFillTint="33"/>
            <w:vAlign w:val="center"/>
          </w:tcPr>
          <w:p w:rsidR="00D83267" w:rsidRPr="00E5148A" w:rsidRDefault="00D83267" w:rsidP="00D8326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43" w:type="pct"/>
            <w:tcBorders>
              <w:left w:val="nil"/>
              <w:right w:val="nil"/>
            </w:tcBorders>
            <w:shd w:val="clear" w:color="auto" w:fill="E9ECF3" w:themeFill="accent2" w:themeFillTint="33"/>
            <w:vAlign w:val="center"/>
          </w:tcPr>
          <w:p w:rsidR="00D83267" w:rsidRPr="00E5148A" w:rsidRDefault="00D83267" w:rsidP="00D8326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43" w:type="pct"/>
            <w:tcBorders>
              <w:left w:val="nil"/>
            </w:tcBorders>
            <w:shd w:val="clear" w:color="auto" w:fill="E9ECF3" w:themeFill="accent2" w:themeFillTint="33"/>
            <w:vAlign w:val="center"/>
          </w:tcPr>
          <w:p w:rsidR="00D83267" w:rsidRPr="00E5148A" w:rsidRDefault="00D83267" w:rsidP="00D8326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E5148A" w:rsidRPr="00E5148A" w:rsidTr="00DB2BB4">
        <w:tc>
          <w:tcPr>
            <w:cnfStyle w:val="001000000000" w:firstRow="0" w:lastRow="0" w:firstColumn="1" w:lastColumn="0" w:oddVBand="0" w:evenVBand="0" w:oddHBand="0" w:evenHBand="0" w:firstRowFirstColumn="0" w:firstRowLastColumn="0" w:lastRowFirstColumn="0" w:lastRowLastColumn="0"/>
            <w:tcW w:w="1210" w:type="pct"/>
            <w:vAlign w:val="center"/>
          </w:tcPr>
          <w:p w:rsidR="00FB3DC0" w:rsidRPr="00DB2BB4" w:rsidRDefault="00FB3DC0" w:rsidP="00D83267">
            <w:pPr>
              <w:pStyle w:val="TableText"/>
              <w:keepNext/>
              <w:widowControl w:val="0"/>
              <w:tabs>
                <w:tab w:val="left" w:pos="9356"/>
              </w:tabs>
              <w:spacing w:line="240" w:lineRule="auto"/>
              <w:ind w:left="-57" w:right="-57"/>
              <w:rPr>
                <w:rFonts w:asciiTheme="minorHAnsi" w:hAnsiTheme="minorHAnsi"/>
                <w:i/>
                <w:noProof/>
                <w:sz w:val="16"/>
                <w:szCs w:val="16"/>
              </w:rPr>
            </w:pPr>
            <w:r w:rsidRPr="00DB2BB4">
              <w:rPr>
                <w:rFonts w:asciiTheme="minorHAnsi" w:hAnsiTheme="minorHAnsi"/>
                <w:i/>
                <w:sz w:val="16"/>
                <w:szCs w:val="16"/>
              </w:rPr>
              <w:t>Personal income taxes</w:t>
            </w:r>
          </w:p>
        </w:tc>
        <w:tc>
          <w:tcPr>
            <w:tcW w:w="283" w:type="pct"/>
            <w:vAlign w:val="center"/>
          </w:tcPr>
          <w:p w:rsidR="00FB3DC0" w:rsidRPr="00DB2BB4" w:rsidRDefault="00FB3DC0"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-128,000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-147,000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-152,000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-151,000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-160,000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-164,000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-171,000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-181,000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-193,000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-205,000</w:t>
            </w:r>
          </w:p>
        </w:tc>
        <w:tc>
          <w:tcPr>
            <w:tcW w:w="343"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
                <w:bCs/>
                <w:i/>
                <w:noProof/>
                <w:sz w:val="16"/>
                <w:szCs w:val="16"/>
              </w:rPr>
            </w:pPr>
            <w:r w:rsidRPr="00DB2BB4">
              <w:rPr>
                <w:rFonts w:eastAsiaTheme="majorEastAsia" w:cs="Times New Roman"/>
                <w:b/>
                <w:bCs/>
                <w:i/>
                <w:noProof/>
                <w:sz w:val="16"/>
                <w:szCs w:val="16"/>
              </w:rPr>
              <w:t>-426,000</w:t>
            </w:r>
          </w:p>
        </w:tc>
        <w:tc>
          <w:tcPr>
            <w:tcW w:w="343"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
                <w:bCs/>
                <w:i/>
                <w:noProof/>
                <w:sz w:val="16"/>
                <w:szCs w:val="16"/>
              </w:rPr>
            </w:pPr>
            <w:r w:rsidRPr="00DB2BB4">
              <w:rPr>
                <w:rFonts w:eastAsiaTheme="majorEastAsia" w:cs="Times New Roman"/>
                <w:b/>
                <w:bCs/>
                <w:i/>
                <w:noProof/>
                <w:sz w:val="16"/>
                <w:szCs w:val="16"/>
              </w:rPr>
              <w:t>-1,651,000</w:t>
            </w:r>
          </w:p>
        </w:tc>
      </w:tr>
      <w:tr w:rsidR="00E5148A" w:rsidRPr="00E5148A" w:rsidTr="00DB2BB4">
        <w:tc>
          <w:tcPr>
            <w:cnfStyle w:val="001000000000" w:firstRow="0" w:lastRow="0" w:firstColumn="1" w:lastColumn="0" w:oddVBand="0" w:evenVBand="0" w:oddHBand="0" w:evenHBand="0" w:firstRowFirstColumn="0" w:firstRowLastColumn="0" w:lastRowFirstColumn="0" w:lastRowLastColumn="0"/>
            <w:tcW w:w="1210" w:type="pct"/>
            <w:vAlign w:val="center"/>
          </w:tcPr>
          <w:p w:rsidR="00FB3DC0" w:rsidRPr="00DB2BB4" w:rsidRDefault="00FB3DC0" w:rsidP="00D83267">
            <w:pPr>
              <w:pStyle w:val="TableText"/>
              <w:keepNext/>
              <w:widowControl w:val="0"/>
              <w:tabs>
                <w:tab w:val="left" w:pos="9356"/>
              </w:tabs>
              <w:spacing w:line="240" w:lineRule="auto"/>
              <w:ind w:left="-57" w:right="-57"/>
              <w:rPr>
                <w:rFonts w:asciiTheme="minorHAnsi" w:hAnsiTheme="minorHAnsi"/>
                <w:i/>
                <w:sz w:val="16"/>
                <w:szCs w:val="16"/>
              </w:rPr>
            </w:pPr>
            <w:r w:rsidRPr="00DB2BB4">
              <w:rPr>
                <w:rFonts w:asciiTheme="minorHAnsi" w:hAnsiTheme="minorHAnsi"/>
                <w:i/>
                <w:sz w:val="16"/>
                <w:szCs w:val="16"/>
              </w:rPr>
              <w:t>Company tax</w:t>
            </w:r>
          </w:p>
        </w:tc>
        <w:tc>
          <w:tcPr>
            <w:tcW w:w="283" w:type="pct"/>
            <w:vAlign w:val="center"/>
          </w:tcPr>
          <w:p w:rsidR="00FB3DC0" w:rsidRPr="00DB2BB4" w:rsidRDefault="00FB3DC0"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-18,000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-30,000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-31,000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-31,000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-30,000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-30,000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-28,000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-26,000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-27,000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-29,000</w:t>
            </w:r>
          </w:p>
        </w:tc>
        <w:tc>
          <w:tcPr>
            <w:tcW w:w="343"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
                <w:bCs/>
                <w:i/>
                <w:noProof/>
                <w:sz w:val="16"/>
                <w:szCs w:val="16"/>
              </w:rPr>
            </w:pPr>
            <w:r w:rsidRPr="00DB2BB4">
              <w:rPr>
                <w:rFonts w:eastAsiaTheme="majorEastAsia" w:cs="Times New Roman"/>
                <w:b/>
                <w:bCs/>
                <w:i/>
                <w:noProof/>
                <w:sz w:val="16"/>
                <w:szCs w:val="16"/>
              </w:rPr>
              <w:t>-79,000</w:t>
            </w:r>
          </w:p>
        </w:tc>
        <w:tc>
          <w:tcPr>
            <w:tcW w:w="343"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
                <w:bCs/>
                <w:i/>
                <w:noProof/>
                <w:sz w:val="16"/>
                <w:szCs w:val="16"/>
              </w:rPr>
            </w:pPr>
            <w:r w:rsidRPr="00DB2BB4">
              <w:rPr>
                <w:rFonts w:eastAsiaTheme="majorEastAsia" w:cs="Times New Roman"/>
                <w:b/>
                <w:bCs/>
                <w:i/>
                <w:noProof/>
                <w:sz w:val="16"/>
                <w:szCs w:val="16"/>
              </w:rPr>
              <w:t>-280,000</w:t>
            </w:r>
          </w:p>
        </w:tc>
      </w:tr>
      <w:tr w:rsidR="00E5148A" w:rsidRPr="00E5148A" w:rsidTr="00DB2BB4">
        <w:tc>
          <w:tcPr>
            <w:cnfStyle w:val="001000000000" w:firstRow="0" w:lastRow="0" w:firstColumn="1" w:lastColumn="0" w:oddVBand="0" w:evenVBand="0" w:oddHBand="0" w:evenHBand="0" w:firstRowFirstColumn="0" w:firstRowLastColumn="0" w:lastRowFirstColumn="0" w:lastRowLastColumn="0"/>
            <w:tcW w:w="1210" w:type="pct"/>
            <w:vAlign w:val="center"/>
          </w:tcPr>
          <w:p w:rsidR="00FB3DC0" w:rsidRPr="00DB2BB4" w:rsidRDefault="00FB3DC0" w:rsidP="00D83267">
            <w:pPr>
              <w:pStyle w:val="TableText"/>
              <w:keepNext/>
              <w:widowControl w:val="0"/>
              <w:tabs>
                <w:tab w:val="left" w:pos="9356"/>
              </w:tabs>
              <w:spacing w:line="240" w:lineRule="auto"/>
              <w:ind w:left="-57" w:right="-57"/>
              <w:rPr>
                <w:rFonts w:asciiTheme="minorHAnsi" w:hAnsiTheme="minorHAnsi"/>
                <w:i/>
                <w:sz w:val="16"/>
                <w:szCs w:val="16"/>
              </w:rPr>
            </w:pPr>
            <w:r w:rsidRPr="00DB2BB4">
              <w:rPr>
                <w:rFonts w:asciiTheme="minorHAnsi" w:hAnsiTheme="minorHAnsi"/>
                <w:i/>
                <w:sz w:val="16"/>
                <w:szCs w:val="16"/>
              </w:rPr>
              <w:t>GST receipts</w:t>
            </w:r>
          </w:p>
        </w:tc>
        <w:tc>
          <w:tcPr>
            <w:tcW w:w="283" w:type="pct"/>
            <w:vAlign w:val="center"/>
          </w:tcPr>
          <w:p w:rsidR="00FB3DC0" w:rsidRPr="00DB2BB4" w:rsidRDefault="00FB3DC0"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-4,000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-4,000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-5,000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-5,000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-5,000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-5,000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-6,000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-6,000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-6,000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-6,000</w:t>
            </w:r>
          </w:p>
        </w:tc>
        <w:tc>
          <w:tcPr>
            <w:tcW w:w="343"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
                <w:bCs/>
                <w:i/>
                <w:noProof/>
                <w:sz w:val="16"/>
                <w:szCs w:val="16"/>
              </w:rPr>
            </w:pPr>
            <w:r w:rsidRPr="00DB2BB4">
              <w:rPr>
                <w:rFonts w:eastAsiaTheme="majorEastAsia" w:cs="Times New Roman"/>
                <w:b/>
                <w:bCs/>
                <w:i/>
                <w:noProof/>
                <w:sz w:val="16"/>
                <w:szCs w:val="16"/>
              </w:rPr>
              <w:t>-13,000</w:t>
            </w:r>
          </w:p>
        </w:tc>
        <w:tc>
          <w:tcPr>
            <w:tcW w:w="343"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
                <w:bCs/>
                <w:i/>
                <w:noProof/>
                <w:sz w:val="16"/>
                <w:szCs w:val="16"/>
              </w:rPr>
            </w:pPr>
            <w:r w:rsidRPr="00DB2BB4">
              <w:rPr>
                <w:rFonts w:eastAsiaTheme="majorEastAsia" w:cs="Times New Roman"/>
                <w:b/>
                <w:bCs/>
                <w:i/>
                <w:noProof/>
                <w:sz w:val="16"/>
                <w:szCs w:val="16"/>
              </w:rPr>
              <w:t>-52,000</w:t>
            </w:r>
          </w:p>
        </w:tc>
      </w:tr>
      <w:tr w:rsidR="00E5148A" w:rsidRPr="00E5148A" w:rsidTr="00DB2BB4">
        <w:tc>
          <w:tcPr>
            <w:cnfStyle w:val="001000000000" w:firstRow="0" w:lastRow="0" w:firstColumn="1" w:lastColumn="0" w:oddVBand="0" w:evenVBand="0" w:oddHBand="0" w:evenHBand="0" w:firstRowFirstColumn="0" w:firstRowLastColumn="0" w:lastRowFirstColumn="0" w:lastRowLastColumn="0"/>
            <w:tcW w:w="1210" w:type="pct"/>
            <w:vAlign w:val="center"/>
          </w:tcPr>
          <w:p w:rsidR="00FB3DC0" w:rsidRPr="00DB2BB4" w:rsidRDefault="00FB3DC0" w:rsidP="00D83267">
            <w:pPr>
              <w:pStyle w:val="TableText"/>
              <w:keepNext/>
              <w:widowControl w:val="0"/>
              <w:tabs>
                <w:tab w:val="left" w:pos="9356"/>
              </w:tabs>
              <w:spacing w:line="240" w:lineRule="auto"/>
              <w:ind w:left="-57" w:right="-57"/>
              <w:rPr>
                <w:rFonts w:asciiTheme="minorHAnsi" w:hAnsiTheme="minorHAnsi"/>
                <w:i/>
                <w:noProof/>
                <w:sz w:val="16"/>
                <w:szCs w:val="16"/>
              </w:rPr>
            </w:pPr>
            <w:r w:rsidRPr="00DB2BB4">
              <w:rPr>
                <w:rFonts w:asciiTheme="minorHAnsi" w:hAnsiTheme="minorHAnsi"/>
                <w:i/>
                <w:sz w:val="16"/>
                <w:szCs w:val="16"/>
              </w:rPr>
              <w:t>Other indirect tax</w:t>
            </w:r>
          </w:p>
        </w:tc>
        <w:tc>
          <w:tcPr>
            <w:tcW w:w="283" w:type="pct"/>
            <w:vAlign w:val="center"/>
          </w:tcPr>
          <w:p w:rsidR="00FB3DC0" w:rsidRPr="00DB2BB4" w:rsidRDefault="00FB3DC0"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-48,000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-48,000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-49,000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-52,000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-54,000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-57,000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-59,000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-62,000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-65,000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-68,000</w:t>
            </w:r>
          </w:p>
        </w:tc>
        <w:tc>
          <w:tcPr>
            <w:tcW w:w="343"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
                <w:bCs/>
                <w:i/>
                <w:noProof/>
                <w:sz w:val="16"/>
                <w:szCs w:val="16"/>
              </w:rPr>
            </w:pPr>
            <w:r w:rsidRPr="00DB2BB4">
              <w:rPr>
                <w:rFonts w:eastAsiaTheme="majorEastAsia" w:cs="Times New Roman"/>
                <w:b/>
                <w:bCs/>
                <w:i/>
                <w:noProof/>
                <w:sz w:val="16"/>
                <w:szCs w:val="16"/>
              </w:rPr>
              <w:t>-145,000</w:t>
            </w:r>
          </w:p>
        </w:tc>
        <w:tc>
          <w:tcPr>
            <w:tcW w:w="343"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
                <w:bCs/>
                <w:i/>
                <w:noProof/>
                <w:sz w:val="16"/>
                <w:szCs w:val="16"/>
              </w:rPr>
            </w:pPr>
            <w:r w:rsidRPr="00DB2BB4">
              <w:rPr>
                <w:rFonts w:eastAsiaTheme="majorEastAsia" w:cs="Times New Roman"/>
                <w:b/>
                <w:bCs/>
                <w:i/>
                <w:noProof/>
                <w:sz w:val="16"/>
                <w:szCs w:val="16"/>
              </w:rPr>
              <w:t>-562,000</w:t>
            </w:r>
          </w:p>
        </w:tc>
      </w:tr>
      <w:tr w:rsidR="00E5148A" w:rsidRPr="00E5148A" w:rsidTr="00DB2BB4">
        <w:tc>
          <w:tcPr>
            <w:cnfStyle w:val="001000000000" w:firstRow="0" w:lastRow="0" w:firstColumn="1" w:lastColumn="0" w:oddVBand="0" w:evenVBand="0" w:oddHBand="0" w:evenHBand="0" w:firstRowFirstColumn="0" w:firstRowLastColumn="0" w:lastRowFirstColumn="0" w:lastRowLastColumn="0"/>
            <w:tcW w:w="1210" w:type="pct"/>
            <w:vAlign w:val="center"/>
          </w:tcPr>
          <w:p w:rsidR="00FB3DC0" w:rsidRPr="00DB2BB4" w:rsidRDefault="00FB3DC0" w:rsidP="00DE4113">
            <w:pPr>
              <w:pStyle w:val="TableText"/>
              <w:keepNext/>
              <w:widowControl w:val="0"/>
              <w:tabs>
                <w:tab w:val="left" w:pos="9356"/>
              </w:tabs>
              <w:spacing w:line="240" w:lineRule="auto"/>
              <w:ind w:left="-57" w:right="-57"/>
              <w:rPr>
                <w:rFonts w:asciiTheme="minorHAnsi" w:hAnsiTheme="minorHAnsi"/>
                <w:i/>
                <w:sz w:val="16"/>
                <w:szCs w:val="16"/>
              </w:rPr>
            </w:pPr>
            <w:r w:rsidRPr="00DB2BB4">
              <w:rPr>
                <w:rFonts w:asciiTheme="minorHAnsi" w:hAnsiTheme="minorHAnsi"/>
                <w:i/>
                <w:sz w:val="16"/>
                <w:szCs w:val="16"/>
              </w:rPr>
              <w:t>Superannuation fund taxes</w:t>
            </w:r>
          </w:p>
        </w:tc>
        <w:tc>
          <w:tcPr>
            <w:tcW w:w="283" w:type="pct"/>
            <w:vAlign w:val="center"/>
          </w:tcPr>
          <w:p w:rsidR="00FB3DC0" w:rsidRPr="00DB2BB4" w:rsidRDefault="00FB3DC0"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1,000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2,000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2,000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2,000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2,000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2,000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2,000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2,000</w:t>
            </w:r>
          </w:p>
        </w:tc>
        <w:tc>
          <w:tcPr>
            <w:tcW w:w="282"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Cs/>
                <w:i/>
                <w:noProof/>
                <w:sz w:val="16"/>
                <w:szCs w:val="16"/>
              </w:rPr>
            </w:pPr>
            <w:r w:rsidRPr="00DB2BB4">
              <w:rPr>
                <w:rFonts w:eastAsiaTheme="majorEastAsia" w:cs="Times New Roman"/>
                <w:bCs/>
                <w:i/>
                <w:noProof/>
                <w:sz w:val="16"/>
                <w:szCs w:val="16"/>
              </w:rPr>
              <w:t>2,000</w:t>
            </w:r>
          </w:p>
        </w:tc>
        <w:tc>
          <w:tcPr>
            <w:tcW w:w="343"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
                <w:bCs/>
                <w:i/>
                <w:noProof/>
                <w:sz w:val="16"/>
                <w:szCs w:val="16"/>
              </w:rPr>
            </w:pPr>
            <w:r w:rsidRPr="00DB2BB4">
              <w:rPr>
                <w:rFonts w:eastAsiaTheme="majorEastAsia" w:cs="Times New Roman"/>
                <w:b/>
                <w:bCs/>
                <w:i/>
                <w:noProof/>
                <w:sz w:val="16"/>
                <w:szCs w:val="16"/>
              </w:rPr>
              <w:t>4,000</w:t>
            </w:r>
          </w:p>
        </w:tc>
        <w:tc>
          <w:tcPr>
            <w:tcW w:w="343" w:type="pct"/>
            <w:vAlign w:val="center"/>
          </w:tcPr>
          <w:p w:rsidR="00FB3DC0" w:rsidRPr="00DB2BB4" w:rsidRDefault="00FB3DC0" w:rsidP="00FB3DC0">
            <w:pPr>
              <w:ind w:left="-57" w:right="-57"/>
              <w:jc w:val="right"/>
              <w:cnfStyle w:val="000000000000" w:firstRow="0" w:lastRow="0" w:firstColumn="0" w:lastColumn="0" w:oddVBand="0" w:evenVBand="0" w:oddHBand="0" w:evenHBand="0" w:firstRowFirstColumn="0" w:firstRowLastColumn="0" w:lastRowFirstColumn="0" w:lastRowLastColumn="0"/>
              <w:rPr>
                <w:rFonts w:eastAsiaTheme="majorEastAsia" w:cs="Times New Roman"/>
                <w:b/>
                <w:bCs/>
                <w:i/>
                <w:noProof/>
                <w:sz w:val="16"/>
                <w:szCs w:val="16"/>
              </w:rPr>
            </w:pPr>
            <w:r w:rsidRPr="00DB2BB4">
              <w:rPr>
                <w:rFonts w:eastAsiaTheme="majorEastAsia" w:cs="Times New Roman"/>
                <w:b/>
                <w:bCs/>
                <w:i/>
                <w:noProof/>
                <w:sz w:val="16"/>
                <w:szCs w:val="16"/>
              </w:rPr>
              <w:t>18,000</w:t>
            </w:r>
          </w:p>
        </w:tc>
      </w:tr>
      <w:tr w:rsidR="00E5148A" w:rsidRPr="00E5148A" w:rsidTr="00DB2BB4">
        <w:tc>
          <w:tcPr>
            <w:cnfStyle w:val="001000000000" w:firstRow="0" w:lastRow="0" w:firstColumn="1" w:lastColumn="0" w:oddVBand="0" w:evenVBand="0" w:oddHBand="0" w:evenHBand="0" w:firstRowFirstColumn="0" w:firstRowLastColumn="0" w:lastRowFirstColumn="0" w:lastRowLastColumn="0"/>
            <w:tcW w:w="1210" w:type="pct"/>
            <w:vAlign w:val="center"/>
          </w:tcPr>
          <w:p w:rsidR="00FB3DC0" w:rsidRPr="00DB2BB4" w:rsidRDefault="00FB3DC0" w:rsidP="00D83267">
            <w:pPr>
              <w:pStyle w:val="TableText"/>
              <w:keepNext/>
              <w:widowControl w:val="0"/>
              <w:tabs>
                <w:tab w:val="left" w:pos="9356"/>
              </w:tabs>
              <w:spacing w:line="240" w:lineRule="auto"/>
              <w:ind w:left="-57" w:right="-57"/>
              <w:rPr>
                <w:rFonts w:asciiTheme="minorHAnsi" w:hAnsiTheme="minorHAnsi"/>
                <w:b/>
                <w:sz w:val="16"/>
                <w:szCs w:val="16"/>
              </w:rPr>
            </w:pPr>
            <w:r w:rsidRPr="00DB2BB4">
              <w:rPr>
                <w:rFonts w:asciiTheme="minorHAnsi" w:hAnsiTheme="minorHAnsi"/>
                <w:b/>
                <w:sz w:val="16"/>
                <w:szCs w:val="16"/>
              </w:rPr>
              <w:t>Total – receipts</w:t>
            </w:r>
          </w:p>
        </w:tc>
        <w:tc>
          <w:tcPr>
            <w:tcW w:w="283" w:type="pct"/>
            <w:vAlign w:val="center"/>
          </w:tcPr>
          <w:p w:rsidR="00FB3DC0" w:rsidRPr="00DB2BB4" w:rsidRDefault="00FB3DC0"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w:t>
            </w:r>
          </w:p>
        </w:tc>
        <w:tc>
          <w:tcPr>
            <w:tcW w:w="282" w:type="pct"/>
            <w:vAlign w:val="center"/>
          </w:tcPr>
          <w:p w:rsidR="00FB3DC0" w:rsidRPr="00DB2BB4" w:rsidRDefault="00FB3DC0" w:rsidP="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-198,000</w:t>
            </w:r>
          </w:p>
        </w:tc>
        <w:tc>
          <w:tcPr>
            <w:tcW w:w="282" w:type="pct"/>
            <w:vAlign w:val="center"/>
          </w:tcPr>
          <w:p w:rsidR="00FB3DC0" w:rsidRPr="00DB2BB4" w:rsidRDefault="00FB3DC0" w:rsidP="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-228,000</w:t>
            </w:r>
          </w:p>
        </w:tc>
        <w:tc>
          <w:tcPr>
            <w:tcW w:w="282" w:type="pct"/>
            <w:vAlign w:val="center"/>
          </w:tcPr>
          <w:p w:rsidR="00FB3DC0" w:rsidRPr="00DB2BB4" w:rsidRDefault="00FB3DC0" w:rsidP="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-235,000</w:t>
            </w:r>
          </w:p>
        </w:tc>
        <w:tc>
          <w:tcPr>
            <w:tcW w:w="282" w:type="pct"/>
            <w:vAlign w:val="center"/>
          </w:tcPr>
          <w:p w:rsidR="00FB3DC0" w:rsidRPr="00DB2BB4" w:rsidRDefault="00FB3DC0" w:rsidP="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-237,000</w:t>
            </w:r>
          </w:p>
        </w:tc>
        <w:tc>
          <w:tcPr>
            <w:tcW w:w="282" w:type="pct"/>
            <w:vAlign w:val="center"/>
          </w:tcPr>
          <w:p w:rsidR="00FB3DC0" w:rsidRPr="00DB2BB4" w:rsidRDefault="00FB3DC0" w:rsidP="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-247,000</w:t>
            </w:r>
          </w:p>
        </w:tc>
        <w:tc>
          <w:tcPr>
            <w:tcW w:w="282" w:type="pct"/>
            <w:vAlign w:val="center"/>
          </w:tcPr>
          <w:p w:rsidR="00FB3DC0" w:rsidRPr="00DB2BB4" w:rsidRDefault="00FB3DC0" w:rsidP="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-254,000</w:t>
            </w:r>
          </w:p>
        </w:tc>
        <w:tc>
          <w:tcPr>
            <w:tcW w:w="282" w:type="pct"/>
            <w:vAlign w:val="center"/>
          </w:tcPr>
          <w:p w:rsidR="00FB3DC0" w:rsidRPr="00DB2BB4" w:rsidRDefault="00FB3DC0" w:rsidP="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-262,000</w:t>
            </w:r>
          </w:p>
        </w:tc>
        <w:tc>
          <w:tcPr>
            <w:tcW w:w="282" w:type="pct"/>
            <w:vAlign w:val="center"/>
          </w:tcPr>
          <w:p w:rsidR="00FB3DC0" w:rsidRPr="00DB2BB4" w:rsidRDefault="00FB3DC0" w:rsidP="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-273,000</w:t>
            </w:r>
          </w:p>
        </w:tc>
        <w:tc>
          <w:tcPr>
            <w:tcW w:w="282" w:type="pct"/>
            <w:vAlign w:val="center"/>
          </w:tcPr>
          <w:p w:rsidR="00FB3DC0" w:rsidRPr="00DB2BB4" w:rsidRDefault="00FB3DC0" w:rsidP="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-289,000</w:t>
            </w:r>
          </w:p>
        </w:tc>
        <w:tc>
          <w:tcPr>
            <w:tcW w:w="282" w:type="pct"/>
            <w:vAlign w:val="center"/>
          </w:tcPr>
          <w:p w:rsidR="00FB3DC0" w:rsidRPr="00DB2BB4" w:rsidRDefault="00FB3DC0" w:rsidP="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-306,000</w:t>
            </w:r>
          </w:p>
        </w:tc>
        <w:tc>
          <w:tcPr>
            <w:tcW w:w="343" w:type="pct"/>
            <w:vAlign w:val="center"/>
          </w:tcPr>
          <w:p w:rsidR="00FB3DC0" w:rsidRPr="00DB2BB4" w:rsidRDefault="00FB3DC0" w:rsidP="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-659,000</w:t>
            </w:r>
          </w:p>
        </w:tc>
        <w:tc>
          <w:tcPr>
            <w:tcW w:w="343" w:type="pct"/>
            <w:vAlign w:val="center"/>
          </w:tcPr>
          <w:p w:rsidR="00FB3DC0" w:rsidRPr="00DB2BB4" w:rsidRDefault="00FB3DC0" w:rsidP="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-2,527,000</w:t>
            </w:r>
          </w:p>
        </w:tc>
      </w:tr>
      <w:tr w:rsidR="00465F92" w:rsidRPr="00E5148A" w:rsidTr="00E5148A">
        <w:tc>
          <w:tcPr>
            <w:cnfStyle w:val="001000000000" w:firstRow="0" w:lastRow="0" w:firstColumn="1" w:lastColumn="0" w:oddVBand="0" w:evenVBand="0" w:oddHBand="0" w:evenHBand="0" w:firstRowFirstColumn="0" w:firstRowLastColumn="0" w:lastRowFirstColumn="0" w:lastRowLastColumn="0"/>
            <w:tcW w:w="1210" w:type="pct"/>
            <w:tcBorders>
              <w:bottom w:val="single" w:sz="8" w:space="0" w:color="788184" w:themeColor="accent6"/>
              <w:right w:val="nil"/>
            </w:tcBorders>
            <w:shd w:val="clear" w:color="auto" w:fill="E9ECF3" w:themeFill="accent2" w:themeFillTint="33"/>
            <w:vAlign w:val="center"/>
          </w:tcPr>
          <w:p w:rsidR="00DE4113" w:rsidRPr="00DB2BB4" w:rsidRDefault="00DE4113" w:rsidP="00D83267">
            <w:pPr>
              <w:pStyle w:val="TableText"/>
              <w:keepNext/>
              <w:widowControl w:val="0"/>
              <w:tabs>
                <w:tab w:val="left" w:pos="9356"/>
              </w:tabs>
              <w:spacing w:line="240" w:lineRule="auto"/>
              <w:ind w:left="-57" w:right="-57"/>
              <w:rPr>
                <w:rFonts w:asciiTheme="minorHAnsi" w:hAnsiTheme="minorHAnsi"/>
                <w:b/>
                <w:sz w:val="16"/>
                <w:szCs w:val="16"/>
              </w:rPr>
            </w:pPr>
            <w:r w:rsidRPr="00DB2BB4">
              <w:rPr>
                <w:rFonts w:asciiTheme="minorHAnsi" w:hAnsiTheme="minorHAnsi"/>
                <w:b/>
                <w:sz w:val="16"/>
                <w:szCs w:val="16"/>
              </w:rPr>
              <w:t>Payments</w:t>
            </w:r>
          </w:p>
        </w:tc>
        <w:tc>
          <w:tcPr>
            <w:tcW w:w="283" w:type="pct"/>
            <w:tcBorders>
              <w:left w:val="nil"/>
              <w:bottom w:val="single" w:sz="8" w:space="0" w:color="788184" w:themeColor="accent6"/>
              <w:right w:val="nil"/>
            </w:tcBorders>
            <w:shd w:val="clear" w:color="auto" w:fill="E9ECF3" w:themeFill="accent2" w:themeFillTint="33"/>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bottom w:val="single" w:sz="8" w:space="0" w:color="788184" w:themeColor="accent6"/>
              <w:right w:val="nil"/>
            </w:tcBorders>
            <w:shd w:val="clear" w:color="auto" w:fill="E9ECF3" w:themeFill="accent2" w:themeFillTint="33"/>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bottom w:val="single" w:sz="8" w:space="0" w:color="788184" w:themeColor="accent6"/>
              <w:right w:val="nil"/>
            </w:tcBorders>
            <w:shd w:val="clear" w:color="auto" w:fill="E9ECF3" w:themeFill="accent2" w:themeFillTint="33"/>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bottom w:val="single" w:sz="8" w:space="0" w:color="788184" w:themeColor="accent6"/>
              <w:right w:val="nil"/>
            </w:tcBorders>
            <w:shd w:val="clear" w:color="auto" w:fill="E9ECF3" w:themeFill="accent2" w:themeFillTint="33"/>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bottom w:val="single" w:sz="8" w:space="0" w:color="788184" w:themeColor="accent6"/>
              <w:right w:val="nil"/>
            </w:tcBorders>
            <w:shd w:val="clear" w:color="auto" w:fill="E9ECF3" w:themeFill="accent2" w:themeFillTint="33"/>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bottom w:val="single" w:sz="8" w:space="0" w:color="788184" w:themeColor="accent6"/>
              <w:right w:val="nil"/>
            </w:tcBorders>
            <w:shd w:val="clear" w:color="auto" w:fill="E9ECF3" w:themeFill="accent2" w:themeFillTint="33"/>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bottom w:val="single" w:sz="8" w:space="0" w:color="788184" w:themeColor="accent6"/>
              <w:right w:val="nil"/>
            </w:tcBorders>
            <w:shd w:val="clear" w:color="auto" w:fill="E9ECF3" w:themeFill="accent2" w:themeFillTint="33"/>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bottom w:val="single" w:sz="8" w:space="0" w:color="788184" w:themeColor="accent6"/>
              <w:right w:val="nil"/>
            </w:tcBorders>
            <w:shd w:val="clear" w:color="auto" w:fill="E9ECF3" w:themeFill="accent2" w:themeFillTint="33"/>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bottom w:val="single" w:sz="8" w:space="0" w:color="788184" w:themeColor="accent6"/>
              <w:right w:val="nil"/>
            </w:tcBorders>
            <w:shd w:val="clear" w:color="auto" w:fill="E9ECF3" w:themeFill="accent2" w:themeFillTint="33"/>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bottom w:val="single" w:sz="8" w:space="0" w:color="788184" w:themeColor="accent6"/>
              <w:right w:val="nil"/>
            </w:tcBorders>
            <w:shd w:val="clear" w:color="auto" w:fill="E9ECF3" w:themeFill="accent2" w:themeFillTint="33"/>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bottom w:val="single" w:sz="8" w:space="0" w:color="788184" w:themeColor="accent6"/>
              <w:right w:val="nil"/>
            </w:tcBorders>
            <w:shd w:val="clear" w:color="auto" w:fill="E9ECF3" w:themeFill="accent2" w:themeFillTint="33"/>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343" w:type="pct"/>
            <w:tcBorders>
              <w:left w:val="nil"/>
              <w:bottom w:val="single" w:sz="8" w:space="0" w:color="788184" w:themeColor="accent6"/>
              <w:right w:val="nil"/>
            </w:tcBorders>
            <w:shd w:val="clear" w:color="auto" w:fill="E9ECF3" w:themeFill="accent2" w:themeFillTint="33"/>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 </w:t>
            </w:r>
          </w:p>
        </w:tc>
        <w:tc>
          <w:tcPr>
            <w:tcW w:w="343" w:type="pct"/>
            <w:tcBorders>
              <w:left w:val="nil"/>
            </w:tcBorders>
            <w:shd w:val="clear" w:color="auto" w:fill="E9ECF3" w:themeFill="accent2" w:themeFillTint="33"/>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 </w:t>
            </w:r>
          </w:p>
        </w:tc>
      </w:tr>
      <w:tr w:rsidR="00E5148A" w:rsidRPr="00E5148A" w:rsidTr="00DB2BB4">
        <w:tc>
          <w:tcPr>
            <w:cnfStyle w:val="001000000000" w:firstRow="0" w:lastRow="0" w:firstColumn="1" w:lastColumn="0" w:oddVBand="0" w:evenVBand="0" w:oddHBand="0" w:evenHBand="0" w:firstRowFirstColumn="0" w:firstRowLastColumn="0" w:lastRowFirstColumn="0" w:lastRowLastColumn="0"/>
            <w:tcW w:w="1210" w:type="pct"/>
            <w:tcBorders>
              <w:right w:val="nil"/>
            </w:tcBorders>
            <w:vAlign w:val="center"/>
          </w:tcPr>
          <w:p w:rsidR="00DE4113" w:rsidRPr="00DB2BB4" w:rsidRDefault="00DE4113" w:rsidP="00D83267">
            <w:pPr>
              <w:pStyle w:val="TableText"/>
              <w:keepNext/>
              <w:widowControl w:val="0"/>
              <w:tabs>
                <w:tab w:val="left" w:pos="9356"/>
              </w:tabs>
              <w:spacing w:line="240" w:lineRule="auto"/>
              <w:ind w:left="-57" w:right="-57"/>
              <w:rPr>
                <w:rFonts w:asciiTheme="minorHAnsi" w:hAnsiTheme="minorHAnsi"/>
                <w:i/>
                <w:sz w:val="16"/>
                <w:szCs w:val="16"/>
              </w:rPr>
            </w:pPr>
            <w:r w:rsidRPr="00DB2BB4">
              <w:rPr>
                <w:rFonts w:asciiTheme="minorHAnsi" w:hAnsiTheme="minorHAnsi"/>
                <w:i/>
                <w:sz w:val="16"/>
                <w:szCs w:val="16"/>
              </w:rPr>
              <w:t>Administered</w:t>
            </w:r>
          </w:p>
        </w:tc>
        <w:tc>
          <w:tcPr>
            <w:tcW w:w="283" w:type="pct"/>
            <w:tcBorders>
              <w:left w:val="nil"/>
              <w:right w:val="nil"/>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bottom w:val="single" w:sz="4" w:space="0" w:color="788184" w:themeColor="accent6"/>
              <w:right w:val="nil"/>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343" w:type="pct"/>
            <w:tcBorders>
              <w:left w:val="nil"/>
              <w:right w:val="nil"/>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 </w:t>
            </w:r>
          </w:p>
        </w:tc>
        <w:tc>
          <w:tcPr>
            <w:tcW w:w="343" w:type="pct"/>
            <w:tcBorders>
              <w:left w:val="nil"/>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 </w:t>
            </w:r>
          </w:p>
        </w:tc>
      </w:tr>
      <w:tr w:rsidR="00E5148A" w:rsidRPr="00E5148A" w:rsidTr="00DB2BB4">
        <w:tc>
          <w:tcPr>
            <w:cnfStyle w:val="001000000000" w:firstRow="0" w:lastRow="0" w:firstColumn="1" w:lastColumn="0" w:oddVBand="0" w:evenVBand="0" w:oddHBand="0" w:evenHBand="0" w:firstRowFirstColumn="0" w:firstRowLastColumn="0" w:lastRowFirstColumn="0" w:lastRowLastColumn="0"/>
            <w:tcW w:w="1210" w:type="pct"/>
            <w:vAlign w:val="center"/>
          </w:tcPr>
          <w:p w:rsidR="00DE4113" w:rsidRPr="00DB2BB4" w:rsidRDefault="00DE4113" w:rsidP="00D83267">
            <w:pPr>
              <w:pStyle w:val="TableText"/>
              <w:keepNext/>
              <w:widowControl w:val="0"/>
              <w:tabs>
                <w:tab w:val="left" w:pos="9356"/>
              </w:tabs>
              <w:spacing w:line="240" w:lineRule="auto"/>
              <w:ind w:left="-57" w:right="-57"/>
              <w:rPr>
                <w:rFonts w:asciiTheme="minorHAnsi" w:hAnsiTheme="minorHAnsi"/>
                <w:i/>
                <w:noProof/>
                <w:sz w:val="16"/>
                <w:szCs w:val="16"/>
              </w:rPr>
            </w:pPr>
            <w:r w:rsidRPr="00DB2BB4">
              <w:rPr>
                <w:rFonts w:asciiTheme="minorHAnsi" w:hAnsiTheme="minorHAnsi"/>
                <w:i/>
                <w:sz w:val="16"/>
                <w:szCs w:val="16"/>
              </w:rPr>
              <w:t>GST expense</w:t>
            </w:r>
          </w:p>
        </w:tc>
        <w:tc>
          <w:tcPr>
            <w:tcW w:w="283"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w:t>
            </w:r>
          </w:p>
        </w:tc>
        <w:tc>
          <w:tcPr>
            <w:tcW w:w="282" w:type="pct"/>
            <w:tcBorders>
              <w:top w:val="single" w:sz="4" w:space="0" w:color="788184" w:themeColor="accent6"/>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4,000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4,000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6,000</w:t>
            </w:r>
          </w:p>
        </w:tc>
        <w:tc>
          <w:tcPr>
            <w:tcW w:w="343"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13,000</w:t>
            </w:r>
          </w:p>
        </w:tc>
        <w:tc>
          <w:tcPr>
            <w:tcW w:w="343"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52,000</w:t>
            </w:r>
          </w:p>
        </w:tc>
      </w:tr>
      <w:tr w:rsidR="00E5148A" w:rsidRPr="00E5148A" w:rsidTr="00DB2BB4">
        <w:tc>
          <w:tcPr>
            <w:cnfStyle w:val="001000000000" w:firstRow="0" w:lastRow="0" w:firstColumn="1" w:lastColumn="0" w:oddVBand="0" w:evenVBand="0" w:oddHBand="0" w:evenHBand="0" w:firstRowFirstColumn="0" w:firstRowLastColumn="0" w:lastRowFirstColumn="0" w:lastRowLastColumn="0"/>
            <w:tcW w:w="1210" w:type="pct"/>
            <w:vAlign w:val="center"/>
          </w:tcPr>
          <w:p w:rsidR="00DE4113" w:rsidRPr="00DB2BB4" w:rsidRDefault="00DE4113" w:rsidP="00D83267">
            <w:pPr>
              <w:pStyle w:val="TableText"/>
              <w:keepNext/>
              <w:widowControl w:val="0"/>
              <w:tabs>
                <w:tab w:val="left" w:pos="9356"/>
              </w:tabs>
              <w:spacing w:line="240" w:lineRule="auto"/>
              <w:ind w:left="-57" w:right="-57"/>
              <w:rPr>
                <w:rFonts w:asciiTheme="minorHAnsi" w:hAnsiTheme="minorHAnsi"/>
                <w:i/>
                <w:sz w:val="16"/>
                <w:szCs w:val="16"/>
              </w:rPr>
            </w:pPr>
            <w:r w:rsidRPr="00DB2BB4">
              <w:rPr>
                <w:rFonts w:asciiTheme="minorHAnsi" w:hAnsiTheme="minorHAnsi"/>
                <w:i/>
                <w:sz w:val="16"/>
                <w:szCs w:val="16"/>
              </w:rPr>
              <w:t xml:space="preserve">Fuel tax credit </w:t>
            </w:r>
          </w:p>
        </w:tc>
        <w:tc>
          <w:tcPr>
            <w:tcW w:w="283"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8,000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8,000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9,000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9,000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10,000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10,000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11,000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12,000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12,000</w:t>
            </w:r>
          </w:p>
        </w:tc>
        <w:tc>
          <w:tcPr>
            <w:tcW w:w="343"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22,000</w:t>
            </w:r>
          </w:p>
        </w:tc>
        <w:tc>
          <w:tcPr>
            <w:tcW w:w="343"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94,000</w:t>
            </w:r>
          </w:p>
        </w:tc>
      </w:tr>
      <w:tr w:rsidR="00E5148A" w:rsidRPr="00E5148A" w:rsidTr="00DB2BB4">
        <w:tc>
          <w:tcPr>
            <w:cnfStyle w:val="001000000000" w:firstRow="0" w:lastRow="0" w:firstColumn="1" w:lastColumn="0" w:oddVBand="0" w:evenVBand="0" w:oddHBand="0" w:evenHBand="0" w:firstRowFirstColumn="0" w:firstRowLastColumn="0" w:lastRowFirstColumn="0" w:lastRowLastColumn="0"/>
            <w:tcW w:w="1210" w:type="pct"/>
            <w:vAlign w:val="center"/>
          </w:tcPr>
          <w:p w:rsidR="00DE4113" w:rsidRPr="00DB2BB4" w:rsidRDefault="00DE4113" w:rsidP="00D83267">
            <w:pPr>
              <w:pStyle w:val="TableText"/>
              <w:keepNext/>
              <w:widowControl w:val="0"/>
              <w:tabs>
                <w:tab w:val="left" w:pos="9356"/>
              </w:tabs>
              <w:spacing w:line="240" w:lineRule="auto"/>
              <w:ind w:left="-57" w:right="-57"/>
              <w:rPr>
                <w:rFonts w:asciiTheme="minorHAnsi" w:hAnsiTheme="minorHAnsi"/>
                <w:i/>
                <w:noProof/>
                <w:sz w:val="16"/>
                <w:szCs w:val="16"/>
              </w:rPr>
            </w:pPr>
            <w:r w:rsidRPr="00DB2BB4">
              <w:rPr>
                <w:rFonts w:asciiTheme="minorHAnsi" w:hAnsiTheme="minorHAnsi"/>
                <w:i/>
                <w:sz w:val="16"/>
                <w:szCs w:val="16"/>
              </w:rPr>
              <w:t xml:space="preserve">Research and development refundable tax offset </w:t>
            </w:r>
          </w:p>
        </w:tc>
        <w:tc>
          <w:tcPr>
            <w:tcW w:w="283"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xml:space="preserve"> .. </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1,000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1,000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1,000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1,000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1,000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1,000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1,000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1,000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1,000</w:t>
            </w:r>
          </w:p>
        </w:tc>
        <w:tc>
          <w:tcPr>
            <w:tcW w:w="343"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1,000</w:t>
            </w:r>
          </w:p>
        </w:tc>
        <w:tc>
          <w:tcPr>
            <w:tcW w:w="343"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6,000</w:t>
            </w:r>
          </w:p>
        </w:tc>
      </w:tr>
      <w:tr w:rsidR="00E5148A" w:rsidRPr="00E5148A" w:rsidTr="00DB2BB4">
        <w:tc>
          <w:tcPr>
            <w:cnfStyle w:val="001000000000" w:firstRow="0" w:lastRow="0" w:firstColumn="1" w:lastColumn="0" w:oddVBand="0" w:evenVBand="0" w:oddHBand="0" w:evenHBand="0" w:firstRowFirstColumn="0" w:firstRowLastColumn="0" w:lastRowFirstColumn="0" w:lastRowLastColumn="0"/>
            <w:tcW w:w="1210" w:type="pct"/>
            <w:tcBorders>
              <w:bottom w:val="single" w:sz="8" w:space="0" w:color="788184" w:themeColor="accent6"/>
            </w:tcBorders>
            <w:vAlign w:val="center"/>
          </w:tcPr>
          <w:p w:rsidR="00DE4113" w:rsidRPr="00DB2BB4" w:rsidRDefault="00DE4113" w:rsidP="00D83267">
            <w:pPr>
              <w:pStyle w:val="TableText"/>
              <w:keepNext/>
              <w:widowControl w:val="0"/>
              <w:tabs>
                <w:tab w:val="left" w:pos="9356"/>
              </w:tabs>
              <w:spacing w:line="240" w:lineRule="auto"/>
              <w:ind w:left="-57" w:right="-57"/>
              <w:rPr>
                <w:rFonts w:asciiTheme="minorHAnsi" w:hAnsiTheme="minorHAnsi"/>
                <w:b/>
                <w:i/>
                <w:sz w:val="16"/>
                <w:szCs w:val="16"/>
              </w:rPr>
            </w:pPr>
            <w:r w:rsidRPr="00DB2BB4">
              <w:rPr>
                <w:rFonts w:asciiTheme="minorHAnsi" w:hAnsiTheme="minorHAnsi"/>
                <w:b/>
                <w:i/>
                <w:sz w:val="16"/>
                <w:szCs w:val="16"/>
              </w:rPr>
              <w:t>Total – administered</w:t>
            </w:r>
          </w:p>
        </w:tc>
        <w:tc>
          <w:tcPr>
            <w:tcW w:w="283" w:type="pct"/>
            <w:tcBorders>
              <w:bottom w:val="single" w:sz="8" w:space="0" w:color="788184" w:themeColor="accent6"/>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w:t>
            </w:r>
          </w:p>
        </w:tc>
        <w:tc>
          <w:tcPr>
            <w:tcW w:w="282" w:type="pct"/>
            <w:tcBorders>
              <w:bottom w:val="single" w:sz="8" w:space="0" w:color="788184" w:themeColor="accent6"/>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10,000</w:t>
            </w:r>
          </w:p>
        </w:tc>
        <w:tc>
          <w:tcPr>
            <w:tcW w:w="282" w:type="pct"/>
            <w:tcBorders>
              <w:bottom w:val="single" w:sz="8" w:space="0" w:color="788184" w:themeColor="accent6"/>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13,000</w:t>
            </w:r>
          </w:p>
        </w:tc>
        <w:tc>
          <w:tcPr>
            <w:tcW w:w="282" w:type="pct"/>
            <w:tcBorders>
              <w:bottom w:val="single" w:sz="8" w:space="0" w:color="788184" w:themeColor="accent6"/>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14,000</w:t>
            </w:r>
          </w:p>
        </w:tc>
        <w:tc>
          <w:tcPr>
            <w:tcW w:w="282" w:type="pct"/>
            <w:tcBorders>
              <w:bottom w:val="single" w:sz="8" w:space="0" w:color="788184" w:themeColor="accent6"/>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15,000</w:t>
            </w:r>
          </w:p>
        </w:tc>
        <w:tc>
          <w:tcPr>
            <w:tcW w:w="282" w:type="pct"/>
            <w:tcBorders>
              <w:bottom w:val="single" w:sz="8" w:space="0" w:color="788184" w:themeColor="accent6"/>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15,000</w:t>
            </w:r>
          </w:p>
        </w:tc>
        <w:tc>
          <w:tcPr>
            <w:tcW w:w="282" w:type="pct"/>
            <w:tcBorders>
              <w:bottom w:val="single" w:sz="8" w:space="0" w:color="788184" w:themeColor="accent6"/>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16,000</w:t>
            </w:r>
          </w:p>
        </w:tc>
        <w:tc>
          <w:tcPr>
            <w:tcW w:w="282" w:type="pct"/>
            <w:tcBorders>
              <w:bottom w:val="single" w:sz="8" w:space="0" w:color="788184" w:themeColor="accent6"/>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17,000</w:t>
            </w:r>
          </w:p>
        </w:tc>
        <w:tc>
          <w:tcPr>
            <w:tcW w:w="282" w:type="pct"/>
            <w:tcBorders>
              <w:bottom w:val="single" w:sz="8" w:space="0" w:color="788184" w:themeColor="accent6"/>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18,000</w:t>
            </w:r>
          </w:p>
        </w:tc>
        <w:tc>
          <w:tcPr>
            <w:tcW w:w="282" w:type="pct"/>
            <w:tcBorders>
              <w:bottom w:val="single" w:sz="8" w:space="0" w:color="788184" w:themeColor="accent6"/>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19,000</w:t>
            </w:r>
          </w:p>
        </w:tc>
        <w:tc>
          <w:tcPr>
            <w:tcW w:w="282" w:type="pct"/>
            <w:tcBorders>
              <w:bottom w:val="single" w:sz="8" w:space="0" w:color="788184" w:themeColor="accent6"/>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19,000</w:t>
            </w:r>
          </w:p>
        </w:tc>
        <w:tc>
          <w:tcPr>
            <w:tcW w:w="343" w:type="pct"/>
            <w:tcBorders>
              <w:bottom w:val="single" w:sz="8" w:space="0" w:color="788184" w:themeColor="accent6"/>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36,000</w:t>
            </w:r>
          </w:p>
        </w:tc>
        <w:tc>
          <w:tcPr>
            <w:tcW w:w="343"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152,000</w:t>
            </w:r>
          </w:p>
        </w:tc>
      </w:tr>
      <w:tr w:rsidR="00E5148A" w:rsidRPr="00E5148A" w:rsidTr="00DB2BB4">
        <w:tc>
          <w:tcPr>
            <w:cnfStyle w:val="001000000000" w:firstRow="0" w:lastRow="0" w:firstColumn="1" w:lastColumn="0" w:oddVBand="0" w:evenVBand="0" w:oddHBand="0" w:evenHBand="0" w:firstRowFirstColumn="0" w:firstRowLastColumn="0" w:lastRowFirstColumn="0" w:lastRowLastColumn="0"/>
            <w:tcW w:w="1210" w:type="pct"/>
            <w:tcBorders>
              <w:right w:val="nil"/>
            </w:tcBorders>
            <w:vAlign w:val="center"/>
          </w:tcPr>
          <w:p w:rsidR="00DE4113" w:rsidRPr="00DB2BB4" w:rsidRDefault="00DE4113" w:rsidP="00D83267">
            <w:pPr>
              <w:pStyle w:val="TableText"/>
              <w:keepNext/>
              <w:widowControl w:val="0"/>
              <w:tabs>
                <w:tab w:val="left" w:pos="9356"/>
              </w:tabs>
              <w:spacing w:line="240" w:lineRule="auto"/>
              <w:ind w:left="-57" w:right="-57"/>
              <w:rPr>
                <w:rFonts w:asciiTheme="minorHAnsi" w:hAnsiTheme="minorHAnsi"/>
                <w:i/>
                <w:sz w:val="16"/>
                <w:szCs w:val="16"/>
              </w:rPr>
            </w:pPr>
            <w:r w:rsidRPr="00DB2BB4">
              <w:rPr>
                <w:rFonts w:asciiTheme="minorHAnsi" w:hAnsiTheme="minorHAnsi"/>
                <w:i/>
                <w:sz w:val="16"/>
                <w:szCs w:val="16"/>
              </w:rPr>
              <w:t>Departmental</w:t>
            </w:r>
          </w:p>
        </w:tc>
        <w:tc>
          <w:tcPr>
            <w:tcW w:w="283" w:type="pct"/>
            <w:tcBorders>
              <w:left w:val="nil"/>
              <w:right w:val="nil"/>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282" w:type="pct"/>
            <w:tcBorders>
              <w:left w:val="nil"/>
              <w:right w:val="nil"/>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 </w:t>
            </w:r>
          </w:p>
        </w:tc>
        <w:tc>
          <w:tcPr>
            <w:tcW w:w="343" w:type="pct"/>
            <w:tcBorders>
              <w:left w:val="nil"/>
              <w:right w:val="nil"/>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 </w:t>
            </w:r>
          </w:p>
        </w:tc>
        <w:tc>
          <w:tcPr>
            <w:tcW w:w="343" w:type="pct"/>
            <w:tcBorders>
              <w:left w:val="nil"/>
            </w:tcBorders>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 </w:t>
            </w:r>
          </w:p>
        </w:tc>
      </w:tr>
      <w:tr w:rsidR="00E5148A" w:rsidRPr="00E5148A" w:rsidTr="00DB2BB4">
        <w:tc>
          <w:tcPr>
            <w:cnfStyle w:val="001000000000" w:firstRow="0" w:lastRow="0" w:firstColumn="1" w:lastColumn="0" w:oddVBand="0" w:evenVBand="0" w:oddHBand="0" w:evenHBand="0" w:firstRowFirstColumn="0" w:firstRowLastColumn="0" w:lastRowFirstColumn="0" w:lastRowLastColumn="0"/>
            <w:tcW w:w="1210" w:type="pct"/>
            <w:vAlign w:val="center"/>
          </w:tcPr>
          <w:p w:rsidR="00DE4113" w:rsidRPr="00DB2BB4" w:rsidRDefault="00DE4113" w:rsidP="00D83267">
            <w:pPr>
              <w:pStyle w:val="TableText"/>
              <w:keepNext/>
              <w:widowControl w:val="0"/>
              <w:tabs>
                <w:tab w:val="left" w:pos="9356"/>
              </w:tabs>
              <w:spacing w:line="240" w:lineRule="auto"/>
              <w:ind w:left="-57" w:right="-57"/>
              <w:rPr>
                <w:rFonts w:asciiTheme="minorHAnsi" w:hAnsiTheme="minorHAnsi"/>
                <w:i/>
                <w:noProof/>
                <w:sz w:val="16"/>
                <w:szCs w:val="16"/>
              </w:rPr>
            </w:pPr>
            <w:r w:rsidRPr="00DB2BB4">
              <w:rPr>
                <w:rFonts w:asciiTheme="minorHAnsi" w:hAnsiTheme="minorHAnsi"/>
                <w:i/>
                <w:sz w:val="16"/>
                <w:szCs w:val="16"/>
              </w:rPr>
              <w:t>Australian Taxation Office</w:t>
            </w:r>
          </w:p>
        </w:tc>
        <w:tc>
          <w:tcPr>
            <w:tcW w:w="283"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60</w:t>
            </w:r>
          </w:p>
        </w:tc>
        <w:tc>
          <w:tcPr>
            <w:tcW w:w="343"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130</w:t>
            </w:r>
          </w:p>
        </w:tc>
        <w:tc>
          <w:tcPr>
            <w:tcW w:w="343"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570</w:t>
            </w:r>
          </w:p>
        </w:tc>
      </w:tr>
      <w:tr w:rsidR="00E5148A" w:rsidRPr="00E5148A" w:rsidTr="00DB2BB4">
        <w:tc>
          <w:tcPr>
            <w:cnfStyle w:val="001000000000" w:firstRow="0" w:lastRow="0" w:firstColumn="1" w:lastColumn="0" w:oddVBand="0" w:evenVBand="0" w:oddHBand="0" w:evenHBand="0" w:firstRowFirstColumn="0" w:firstRowLastColumn="0" w:lastRowFirstColumn="0" w:lastRowLastColumn="0"/>
            <w:tcW w:w="1210" w:type="pct"/>
            <w:vAlign w:val="center"/>
          </w:tcPr>
          <w:p w:rsidR="00DE4113" w:rsidRPr="00DB2BB4" w:rsidRDefault="00DE4113" w:rsidP="00D83267">
            <w:pPr>
              <w:pStyle w:val="TableText"/>
              <w:keepNext/>
              <w:widowControl w:val="0"/>
              <w:tabs>
                <w:tab w:val="left" w:pos="9356"/>
              </w:tabs>
              <w:spacing w:line="240" w:lineRule="auto"/>
              <w:ind w:left="-57" w:right="-57"/>
              <w:rPr>
                <w:rFonts w:asciiTheme="minorHAnsi" w:hAnsiTheme="minorHAnsi"/>
                <w:i/>
                <w:noProof/>
                <w:sz w:val="16"/>
                <w:szCs w:val="16"/>
              </w:rPr>
            </w:pPr>
            <w:r w:rsidRPr="00DB2BB4">
              <w:rPr>
                <w:rFonts w:asciiTheme="minorHAnsi" w:hAnsiTheme="minorHAnsi"/>
                <w:i/>
                <w:sz w:val="16"/>
                <w:szCs w:val="16"/>
              </w:rPr>
              <w:t>Department of Home Affairs</w:t>
            </w:r>
          </w:p>
        </w:tc>
        <w:tc>
          <w:tcPr>
            <w:tcW w:w="283"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-40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50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40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DB2BB4">
              <w:rPr>
                <w:rFonts w:asciiTheme="minorHAnsi" w:eastAsiaTheme="majorEastAsia" w:hAnsiTheme="minorHAnsi"/>
                <w:bCs/>
                <w:noProof/>
                <w:sz w:val="16"/>
                <w:szCs w:val="16"/>
              </w:rPr>
              <w:t>40</w:t>
            </w:r>
          </w:p>
        </w:tc>
        <w:tc>
          <w:tcPr>
            <w:tcW w:w="343"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110</w:t>
            </w:r>
          </w:p>
        </w:tc>
        <w:tc>
          <w:tcPr>
            <w:tcW w:w="343"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430</w:t>
            </w:r>
          </w:p>
        </w:tc>
      </w:tr>
      <w:tr w:rsidR="00E5148A" w:rsidRPr="00E5148A" w:rsidTr="00DB2BB4">
        <w:tc>
          <w:tcPr>
            <w:cnfStyle w:val="001000000000" w:firstRow="0" w:lastRow="0" w:firstColumn="1" w:lastColumn="0" w:oddVBand="0" w:evenVBand="0" w:oddHBand="0" w:evenHBand="0" w:firstRowFirstColumn="0" w:firstRowLastColumn="0" w:lastRowFirstColumn="0" w:lastRowLastColumn="0"/>
            <w:tcW w:w="1210" w:type="pct"/>
            <w:vAlign w:val="center"/>
          </w:tcPr>
          <w:p w:rsidR="00DE4113" w:rsidRPr="00DB2BB4" w:rsidRDefault="00DE4113" w:rsidP="00D83267">
            <w:pPr>
              <w:pStyle w:val="TableText"/>
              <w:keepNext/>
              <w:widowControl w:val="0"/>
              <w:tabs>
                <w:tab w:val="left" w:pos="9356"/>
              </w:tabs>
              <w:spacing w:line="240" w:lineRule="auto"/>
              <w:ind w:left="-57" w:right="-57"/>
              <w:rPr>
                <w:rFonts w:asciiTheme="minorHAnsi" w:hAnsiTheme="minorHAnsi"/>
                <w:i/>
                <w:sz w:val="16"/>
                <w:szCs w:val="16"/>
              </w:rPr>
            </w:pPr>
            <w:r w:rsidRPr="00DB2BB4">
              <w:rPr>
                <w:rFonts w:asciiTheme="minorHAnsi" w:hAnsiTheme="minorHAnsi"/>
                <w:b/>
                <w:i/>
                <w:sz w:val="16"/>
                <w:szCs w:val="16"/>
              </w:rPr>
              <w:t>Total – departmental</w:t>
            </w:r>
          </w:p>
        </w:tc>
        <w:tc>
          <w:tcPr>
            <w:tcW w:w="283"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110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110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110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110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110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110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110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110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100</w:t>
            </w:r>
          </w:p>
        </w:tc>
        <w:tc>
          <w:tcPr>
            <w:tcW w:w="343"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240</w:t>
            </w:r>
          </w:p>
        </w:tc>
        <w:tc>
          <w:tcPr>
            <w:tcW w:w="343"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DB2BB4">
              <w:rPr>
                <w:rFonts w:asciiTheme="minorHAnsi" w:eastAsiaTheme="majorEastAsia" w:hAnsiTheme="minorHAnsi"/>
                <w:b/>
                <w:bCs/>
                <w:noProof/>
                <w:sz w:val="16"/>
                <w:szCs w:val="16"/>
              </w:rPr>
              <w:t>1,000</w:t>
            </w:r>
          </w:p>
        </w:tc>
      </w:tr>
      <w:tr w:rsidR="00E5148A" w:rsidRPr="00E5148A" w:rsidTr="00DB2BB4">
        <w:tc>
          <w:tcPr>
            <w:cnfStyle w:val="001000000000" w:firstRow="0" w:lastRow="0" w:firstColumn="1" w:lastColumn="0" w:oddVBand="0" w:evenVBand="0" w:oddHBand="0" w:evenHBand="0" w:firstRowFirstColumn="0" w:firstRowLastColumn="0" w:lastRowFirstColumn="0" w:lastRowLastColumn="0"/>
            <w:tcW w:w="1210" w:type="pct"/>
            <w:vAlign w:val="center"/>
          </w:tcPr>
          <w:p w:rsidR="00DE4113" w:rsidRPr="00DB2BB4" w:rsidRDefault="00DE4113" w:rsidP="00D83267">
            <w:pPr>
              <w:pStyle w:val="TableText"/>
              <w:keepNext/>
              <w:widowControl w:val="0"/>
              <w:tabs>
                <w:tab w:val="left" w:pos="9356"/>
              </w:tabs>
              <w:spacing w:line="240" w:lineRule="auto"/>
              <w:ind w:left="-57" w:right="-57"/>
              <w:rPr>
                <w:rFonts w:asciiTheme="minorHAnsi" w:hAnsiTheme="minorHAnsi"/>
                <w:b/>
                <w:sz w:val="16"/>
                <w:szCs w:val="16"/>
              </w:rPr>
            </w:pPr>
            <w:r w:rsidRPr="00DB2BB4">
              <w:rPr>
                <w:rFonts w:asciiTheme="minorHAnsi" w:hAnsiTheme="minorHAnsi"/>
                <w:b/>
                <w:sz w:val="16"/>
                <w:szCs w:val="16"/>
              </w:rPr>
              <w:t>Total – payments</w:t>
            </w:r>
          </w:p>
        </w:tc>
        <w:tc>
          <w:tcPr>
            <w:tcW w:w="283"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10,110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13,110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14,110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15,110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15,110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16,110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17,110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18,110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19,100</w:t>
            </w:r>
          </w:p>
        </w:tc>
        <w:tc>
          <w:tcPr>
            <w:tcW w:w="282"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19,100</w:t>
            </w:r>
          </w:p>
        </w:tc>
        <w:tc>
          <w:tcPr>
            <w:tcW w:w="343"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36,240</w:t>
            </w:r>
          </w:p>
        </w:tc>
        <w:tc>
          <w:tcPr>
            <w:tcW w:w="343" w:type="pct"/>
            <w:vAlign w:val="center"/>
          </w:tcPr>
          <w:p w:rsidR="00DE4113" w:rsidRPr="00DB2BB4" w:rsidRDefault="00DE4113"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153,000</w:t>
            </w:r>
          </w:p>
        </w:tc>
      </w:tr>
      <w:tr w:rsidR="00E5148A" w:rsidRPr="00E5148A" w:rsidTr="00E5148A">
        <w:tc>
          <w:tcPr>
            <w:cnfStyle w:val="001000000000" w:firstRow="0" w:lastRow="0" w:firstColumn="1" w:lastColumn="0" w:oddVBand="0" w:evenVBand="0" w:oddHBand="0" w:evenHBand="0" w:firstRowFirstColumn="0" w:firstRowLastColumn="0" w:lastRowFirstColumn="0" w:lastRowLastColumn="0"/>
            <w:tcW w:w="1210" w:type="pct"/>
            <w:shd w:val="clear" w:color="auto" w:fill="D7DDE9" w:themeFill="accent3"/>
            <w:vAlign w:val="center"/>
          </w:tcPr>
          <w:p w:rsidR="00FB3DC0" w:rsidRPr="00DB2BB4" w:rsidRDefault="00FB3DC0" w:rsidP="00D83267">
            <w:pPr>
              <w:pStyle w:val="TableText"/>
              <w:keepNext/>
              <w:widowControl w:val="0"/>
              <w:tabs>
                <w:tab w:val="left" w:pos="9356"/>
              </w:tabs>
              <w:spacing w:line="240" w:lineRule="auto"/>
              <w:ind w:left="-57" w:right="-57"/>
              <w:rPr>
                <w:rFonts w:asciiTheme="minorHAnsi" w:hAnsiTheme="minorHAnsi"/>
                <w:b/>
                <w:sz w:val="16"/>
                <w:szCs w:val="16"/>
              </w:rPr>
            </w:pPr>
            <w:r w:rsidRPr="00DB2BB4">
              <w:rPr>
                <w:rFonts w:asciiTheme="minorHAnsi" w:hAnsiTheme="minorHAnsi"/>
                <w:b/>
                <w:sz w:val="16"/>
                <w:szCs w:val="16"/>
              </w:rPr>
              <w:t xml:space="preserve">Total </w:t>
            </w:r>
          </w:p>
        </w:tc>
        <w:tc>
          <w:tcPr>
            <w:tcW w:w="283" w:type="pct"/>
            <w:shd w:val="clear" w:color="auto" w:fill="D7DDE9" w:themeFill="accent3"/>
            <w:vAlign w:val="center"/>
          </w:tcPr>
          <w:p w:rsidR="00FB3DC0" w:rsidRPr="00DB2BB4" w:rsidRDefault="00FB3DC0" w:rsidP="00DE411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-100</w:t>
            </w:r>
          </w:p>
        </w:tc>
        <w:tc>
          <w:tcPr>
            <w:tcW w:w="282" w:type="pct"/>
            <w:shd w:val="clear" w:color="auto" w:fill="D7DDE9" w:themeFill="accent3"/>
            <w:vAlign w:val="center"/>
          </w:tcPr>
          <w:p w:rsidR="00FB3DC0" w:rsidRPr="00DB2BB4" w:rsidRDefault="00FB3DC0" w:rsidP="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-187,890</w:t>
            </w:r>
          </w:p>
        </w:tc>
        <w:tc>
          <w:tcPr>
            <w:tcW w:w="282" w:type="pct"/>
            <w:shd w:val="clear" w:color="auto" w:fill="D7DDE9" w:themeFill="accent3"/>
            <w:vAlign w:val="center"/>
          </w:tcPr>
          <w:p w:rsidR="00FB3DC0" w:rsidRPr="00DB2BB4" w:rsidRDefault="00FB3DC0" w:rsidP="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-214,890</w:t>
            </w:r>
          </w:p>
        </w:tc>
        <w:tc>
          <w:tcPr>
            <w:tcW w:w="282" w:type="pct"/>
            <w:shd w:val="clear" w:color="auto" w:fill="D7DDE9" w:themeFill="accent3"/>
            <w:vAlign w:val="center"/>
          </w:tcPr>
          <w:p w:rsidR="00FB3DC0" w:rsidRPr="00DB2BB4" w:rsidRDefault="00FB3DC0" w:rsidP="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-220,890</w:t>
            </w:r>
          </w:p>
        </w:tc>
        <w:tc>
          <w:tcPr>
            <w:tcW w:w="282" w:type="pct"/>
            <w:shd w:val="clear" w:color="auto" w:fill="D7DDE9" w:themeFill="accent3"/>
            <w:vAlign w:val="center"/>
          </w:tcPr>
          <w:p w:rsidR="00FB3DC0" w:rsidRPr="00DB2BB4" w:rsidRDefault="00FB3DC0" w:rsidP="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-221,890</w:t>
            </w:r>
          </w:p>
        </w:tc>
        <w:tc>
          <w:tcPr>
            <w:tcW w:w="282" w:type="pct"/>
            <w:shd w:val="clear" w:color="auto" w:fill="D7DDE9" w:themeFill="accent3"/>
            <w:vAlign w:val="center"/>
          </w:tcPr>
          <w:p w:rsidR="00FB3DC0" w:rsidRPr="00DB2BB4" w:rsidRDefault="00FB3DC0" w:rsidP="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-231,890</w:t>
            </w:r>
          </w:p>
        </w:tc>
        <w:tc>
          <w:tcPr>
            <w:tcW w:w="282" w:type="pct"/>
            <w:shd w:val="clear" w:color="auto" w:fill="D7DDE9" w:themeFill="accent3"/>
            <w:vAlign w:val="center"/>
          </w:tcPr>
          <w:p w:rsidR="00FB3DC0" w:rsidRPr="00DB2BB4" w:rsidRDefault="00FB3DC0" w:rsidP="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-237,890</w:t>
            </w:r>
          </w:p>
        </w:tc>
        <w:tc>
          <w:tcPr>
            <w:tcW w:w="282" w:type="pct"/>
            <w:shd w:val="clear" w:color="auto" w:fill="D7DDE9" w:themeFill="accent3"/>
            <w:vAlign w:val="center"/>
          </w:tcPr>
          <w:p w:rsidR="00FB3DC0" w:rsidRPr="00DB2BB4" w:rsidRDefault="00FB3DC0" w:rsidP="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-244,890</w:t>
            </w:r>
          </w:p>
        </w:tc>
        <w:tc>
          <w:tcPr>
            <w:tcW w:w="282" w:type="pct"/>
            <w:shd w:val="clear" w:color="auto" w:fill="D7DDE9" w:themeFill="accent3"/>
            <w:vAlign w:val="center"/>
          </w:tcPr>
          <w:p w:rsidR="00FB3DC0" w:rsidRPr="00DB2BB4" w:rsidRDefault="00FB3DC0" w:rsidP="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-254,890</w:t>
            </w:r>
          </w:p>
        </w:tc>
        <w:tc>
          <w:tcPr>
            <w:tcW w:w="282" w:type="pct"/>
            <w:shd w:val="clear" w:color="auto" w:fill="D7DDE9" w:themeFill="accent3"/>
            <w:vAlign w:val="center"/>
          </w:tcPr>
          <w:p w:rsidR="00FB3DC0" w:rsidRPr="00DB2BB4" w:rsidRDefault="00FB3DC0" w:rsidP="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-269,900</w:t>
            </w:r>
          </w:p>
        </w:tc>
        <w:tc>
          <w:tcPr>
            <w:tcW w:w="282" w:type="pct"/>
            <w:shd w:val="clear" w:color="auto" w:fill="D7DDE9" w:themeFill="accent3"/>
            <w:vAlign w:val="center"/>
          </w:tcPr>
          <w:p w:rsidR="00FB3DC0" w:rsidRPr="00DB2BB4" w:rsidRDefault="00FB3DC0" w:rsidP="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-286,900</w:t>
            </w:r>
          </w:p>
        </w:tc>
        <w:tc>
          <w:tcPr>
            <w:tcW w:w="343" w:type="pct"/>
            <w:shd w:val="clear" w:color="auto" w:fill="D7DDE9" w:themeFill="accent3"/>
            <w:vAlign w:val="center"/>
          </w:tcPr>
          <w:p w:rsidR="00FB3DC0" w:rsidRPr="00DB2BB4" w:rsidRDefault="00FB3DC0" w:rsidP="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-622,760</w:t>
            </w:r>
          </w:p>
        </w:tc>
        <w:tc>
          <w:tcPr>
            <w:tcW w:w="343" w:type="pct"/>
            <w:shd w:val="clear" w:color="auto" w:fill="D7DDE9" w:themeFill="accent3"/>
            <w:vAlign w:val="center"/>
          </w:tcPr>
          <w:p w:rsidR="00FB3DC0" w:rsidRPr="00DB2BB4" w:rsidRDefault="00FB3DC0" w:rsidP="00FB3DC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B2BB4">
              <w:rPr>
                <w:rFonts w:asciiTheme="minorHAnsi" w:eastAsiaTheme="majorEastAsia" w:hAnsiTheme="minorHAnsi"/>
                <w:b/>
                <w:bCs/>
                <w:i w:val="0"/>
                <w:noProof/>
                <w:sz w:val="16"/>
                <w:szCs w:val="16"/>
              </w:rPr>
              <w:t>-2,374,000</w:t>
            </w:r>
          </w:p>
        </w:tc>
      </w:tr>
    </w:tbl>
    <w:p w:rsidR="00D83267" w:rsidRPr="00E5148A" w:rsidRDefault="00D83267" w:rsidP="00D83267">
      <w:pPr>
        <w:keepNext/>
        <w:widowControl w:val="0"/>
        <w:tabs>
          <w:tab w:val="left" w:pos="9356"/>
        </w:tabs>
        <w:spacing w:line="260" w:lineRule="atLeast"/>
        <w:ind w:left="284" w:hanging="284"/>
        <w:rPr>
          <w:sz w:val="16"/>
          <w:szCs w:val="16"/>
        </w:rPr>
      </w:pPr>
      <w:r w:rsidRPr="00E5148A">
        <w:rPr>
          <w:sz w:val="16"/>
          <w:szCs w:val="16"/>
        </w:rPr>
        <w:t>(a)</w:t>
      </w:r>
      <w:r w:rsidRPr="00E5148A">
        <w:rPr>
          <w:sz w:val="16"/>
          <w:szCs w:val="16"/>
        </w:rPr>
        <w:tab/>
        <w:t xml:space="preserve">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rsidR="00D83267" w:rsidRPr="00E5148A" w:rsidRDefault="00D83267" w:rsidP="00D83267">
      <w:pPr>
        <w:keepNext/>
        <w:widowControl w:val="0"/>
        <w:tabs>
          <w:tab w:val="left" w:pos="9356"/>
        </w:tabs>
        <w:spacing w:line="260" w:lineRule="atLeast"/>
        <w:ind w:left="284" w:hanging="284"/>
        <w:rPr>
          <w:sz w:val="16"/>
          <w:szCs w:val="16"/>
        </w:rPr>
      </w:pPr>
      <w:r w:rsidRPr="00E5148A">
        <w:rPr>
          <w:sz w:val="16"/>
          <w:szCs w:val="16"/>
        </w:rPr>
        <w:t>(b)</w:t>
      </w:r>
      <w:r w:rsidRPr="00E5148A">
        <w:rPr>
          <w:sz w:val="16"/>
          <w:szCs w:val="16"/>
        </w:rPr>
        <w:tab/>
        <w:t>Figures may not sum to totals due to rounding.</w:t>
      </w:r>
    </w:p>
    <w:p w:rsidR="00D83267" w:rsidRPr="00E5148A" w:rsidRDefault="00D83267" w:rsidP="00D83267">
      <w:pPr>
        <w:pStyle w:val="TableFootnotes"/>
        <w:keepNext/>
        <w:keepLines w:val="0"/>
        <w:widowControl w:val="0"/>
        <w:numPr>
          <w:ilvl w:val="0"/>
          <w:numId w:val="0"/>
        </w:numPr>
        <w:tabs>
          <w:tab w:val="left" w:pos="9356"/>
        </w:tabs>
        <w:ind w:left="284" w:hanging="284"/>
        <w:rPr>
          <w:sz w:val="16"/>
          <w:szCs w:val="16"/>
        </w:rPr>
      </w:pPr>
      <w:r w:rsidRPr="00E5148A">
        <w:rPr>
          <w:sz w:val="16"/>
          <w:szCs w:val="16"/>
        </w:rPr>
        <w:t>..</w:t>
      </w:r>
      <w:r w:rsidRPr="00E5148A">
        <w:rPr>
          <w:sz w:val="16"/>
          <w:szCs w:val="16"/>
        </w:rPr>
        <w:tab/>
        <w:t>Not zero but rounded to zero.</w:t>
      </w:r>
    </w:p>
    <w:p w:rsidR="00D83267" w:rsidRPr="00E5148A" w:rsidRDefault="00D83267" w:rsidP="00D83267">
      <w:pPr>
        <w:pStyle w:val="TableFootnotes"/>
        <w:keepLines w:val="0"/>
        <w:numPr>
          <w:ilvl w:val="0"/>
          <w:numId w:val="11"/>
        </w:numPr>
        <w:tabs>
          <w:tab w:val="left" w:pos="9356"/>
        </w:tabs>
        <w:ind w:left="284" w:hanging="284"/>
        <w:rPr>
          <w:sz w:val="16"/>
          <w:szCs w:val="16"/>
        </w:rPr>
      </w:pPr>
      <w:r w:rsidRPr="00E5148A">
        <w:rPr>
          <w:sz w:val="16"/>
          <w:szCs w:val="16"/>
        </w:rPr>
        <w:t>Indicates nil.</w:t>
      </w:r>
    </w:p>
    <w:p w:rsidR="00F44B74" w:rsidRDefault="00F44B74" w:rsidP="00D83267">
      <w:pPr>
        <w:pStyle w:val="Heading8"/>
        <w:widowControl w:val="0"/>
        <w:numPr>
          <w:ilvl w:val="0"/>
          <w:numId w:val="0"/>
        </w:numPr>
        <w:tabs>
          <w:tab w:val="clear" w:pos="4536"/>
          <w:tab w:val="left" w:pos="9356"/>
        </w:tabs>
        <w:spacing w:before="360" w:after="120"/>
        <w:rPr>
          <w:sz w:val="16"/>
          <w:szCs w:val="16"/>
        </w:rPr>
      </w:pPr>
    </w:p>
    <w:sectPr w:rsidR="00F44B74" w:rsidSect="00DB2BB4">
      <w:footerReference w:type="default" r:id="rId13"/>
      <w:pgSz w:w="16839" w:h="11907" w:orient="landscape" w:code="9"/>
      <w:pgMar w:top="992" w:right="1134" w:bottom="992" w:left="1134" w:header="284" w:footer="45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74F" w:rsidRDefault="00DC474F" w:rsidP="00A20802">
      <w:pPr>
        <w:spacing w:line="240" w:lineRule="auto"/>
      </w:pPr>
      <w:r>
        <w:separator/>
      </w:r>
    </w:p>
    <w:p w:rsidR="00DC474F" w:rsidRDefault="00DC474F"/>
    <w:p w:rsidR="00DC474F" w:rsidRDefault="00DC474F"/>
  </w:endnote>
  <w:endnote w:type="continuationSeparator" w:id="0">
    <w:p w:rsidR="00DC474F" w:rsidRDefault="00DC474F" w:rsidP="00A20802">
      <w:pPr>
        <w:spacing w:line="240" w:lineRule="auto"/>
      </w:pPr>
      <w:r>
        <w:continuationSeparator/>
      </w:r>
    </w:p>
    <w:p w:rsidR="00DC474F" w:rsidRDefault="00DC474F"/>
    <w:p w:rsidR="00DC474F" w:rsidRDefault="00DC4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74F" w:rsidRPr="00015E04" w:rsidRDefault="00DC474F" w:rsidP="00425534">
    <w:pPr>
      <w:pStyle w:val="Footer"/>
      <w:tabs>
        <w:tab w:val="center" w:pos="4536"/>
        <w:tab w:val="right" w:pos="9072"/>
      </w:tabs>
      <w:spacing w:before="120"/>
      <w:rPr>
        <w:rFonts w:ascii="Calibri" w:hAnsi="Calibri" w:cs="Arial"/>
        <w:color w:val="FF0000"/>
        <w:sz w:val="40"/>
        <w:szCs w:val="40"/>
      </w:rPr>
    </w:pPr>
    <w:r>
      <w:rPr>
        <w:rStyle w:val="FooterChar"/>
        <w:rFonts w:ascii="Calibri" w:hAnsi="Calibri" w:cs="Arial"/>
        <w:b/>
        <w:color w:val="FF0000"/>
        <w:sz w:val="40"/>
        <w:szCs w:val="40"/>
      </w:rPr>
      <w:tab/>
    </w:r>
    <w:r w:rsidRPr="00A710F1">
      <w:rPr>
        <w:rStyle w:val="FooterChar"/>
        <w:rFonts w:ascii="Calibri" w:hAnsi="Calibri" w:cs="Arial"/>
        <w:b/>
        <w:strike/>
        <w:color w:val="FF0000"/>
        <w:sz w:val="40"/>
        <w:szCs w:val="40"/>
      </w:rPr>
      <w:t>Sensitive</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DE28A2">
      <w:rPr>
        <w:rStyle w:val="FooterChar"/>
        <w:b/>
        <w:noProof/>
      </w:rPr>
      <w:t>5</w:t>
    </w:r>
    <w:r w:rsidRPr="002C4DA6">
      <w:rPr>
        <w:rStyle w:val="FooterChar"/>
        <w:b/>
      </w:rPr>
      <w:fldChar w:fldCharType="end"/>
    </w:r>
    <w:r w:rsidRPr="002C4DA6">
      <w:rPr>
        <w:rStyle w:val="FooterChar"/>
        <w:b/>
      </w:rPr>
      <w:t xml:space="preserve"> of </w:t>
    </w:r>
    <w:r w:rsidR="00A710F1">
      <w:rPr>
        <w:rStyle w:val="FooterChar"/>
        <w:b/>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74F" w:rsidRPr="007A47D0" w:rsidRDefault="00DC474F" w:rsidP="00015E04">
    <w:pPr>
      <w:pStyle w:val="Footer"/>
      <w:tabs>
        <w:tab w:val="center" w:pos="4536"/>
        <w:tab w:val="right" w:pos="9072"/>
      </w:tabs>
      <w:spacing w:before="120"/>
      <w:rPr>
        <w:rFonts w:ascii="Calibri" w:hAnsi="Calibri" w:cs="Arial"/>
        <w:color w:val="FF0000"/>
        <w:sz w:val="40"/>
        <w:szCs w:val="40"/>
      </w:rPr>
    </w:pPr>
    <w:r w:rsidRPr="00DD281D">
      <w:rPr>
        <w:rStyle w:val="FooterChar"/>
        <w:rFonts w:ascii="Calibri" w:hAnsi="Calibri" w:cs="Arial"/>
        <w:b/>
      </w:rPr>
      <w:t>PBO</w:t>
    </w:r>
    <w:r>
      <w:rPr>
        <w:rStyle w:val="FooterChar"/>
        <w:rFonts w:ascii="Calibri" w:hAnsi="Calibri" w:cs="Arial"/>
        <w:b/>
      </w:rPr>
      <w:t xml:space="preserve"> reference </w:t>
    </w:r>
    <w:r w:rsidRPr="003E41B2">
      <w:rPr>
        <w:rStyle w:val="FooterChar"/>
        <w:rFonts w:ascii="Calibri" w:hAnsi="Calibri" w:cs="Arial"/>
        <w:b/>
      </w:rPr>
      <w:t>PR1</w:t>
    </w:r>
    <w:r>
      <w:rPr>
        <w:rStyle w:val="FooterChar"/>
        <w:rFonts w:ascii="Calibri" w:hAnsi="Calibri" w:cs="Arial"/>
        <w:b/>
      </w:rPr>
      <w:t>8</w:t>
    </w:r>
    <w:r w:rsidRPr="003E41B2">
      <w:rPr>
        <w:rStyle w:val="FooterChar"/>
        <w:rFonts w:ascii="Calibri" w:hAnsi="Calibri" w:cs="Arial"/>
        <w:b/>
      </w:rPr>
      <w:t>/00</w:t>
    </w:r>
    <w:r>
      <w:rPr>
        <w:rStyle w:val="FooterChar"/>
        <w:rFonts w:ascii="Calibri" w:hAnsi="Calibri" w:cs="Arial"/>
        <w:b/>
      </w:rPr>
      <w:t>436</w:t>
    </w:r>
    <w:r w:rsidRPr="009B70E6">
      <w:rPr>
        <w:rStyle w:val="FooterChar"/>
        <w:rFonts w:ascii="Calibri" w:hAnsi="Calibri" w:cs="Arial"/>
        <w:b/>
        <w:sz w:val="20"/>
        <w:szCs w:val="20"/>
      </w:rPr>
      <w:tab/>
    </w:r>
    <w:r w:rsidRPr="00A710F1">
      <w:rPr>
        <w:rStyle w:val="FooterChar"/>
        <w:rFonts w:ascii="Calibri" w:hAnsi="Calibri" w:cs="Arial"/>
        <w:b/>
        <w:strike/>
        <w:color w:val="FF0000"/>
        <w:sz w:val="40"/>
        <w:szCs w:val="40"/>
      </w:rPr>
      <w:t>Sensitive</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DE28A2">
      <w:rPr>
        <w:rStyle w:val="FooterChar"/>
        <w:b/>
        <w:noProof/>
      </w:rPr>
      <w:t>1</w:t>
    </w:r>
    <w:r w:rsidRPr="002C4DA6">
      <w:rPr>
        <w:rStyle w:val="FooterChar"/>
        <w:b/>
      </w:rPr>
      <w:fldChar w:fldCharType="end"/>
    </w:r>
    <w:r w:rsidRPr="002C4DA6">
      <w:rPr>
        <w:rStyle w:val="FooterChar"/>
        <w:b/>
      </w:rPr>
      <w:t xml:space="preserve"> of </w:t>
    </w:r>
    <w:r w:rsidR="00A710F1">
      <w:rPr>
        <w:rStyle w:val="FooterChar"/>
        <w:b/>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74F" w:rsidRPr="00015E04" w:rsidRDefault="00DC474F" w:rsidP="00DB2BB4">
    <w:pPr>
      <w:pStyle w:val="Footer"/>
      <w:tabs>
        <w:tab w:val="center" w:pos="7230"/>
        <w:tab w:val="right" w:pos="14601"/>
      </w:tabs>
      <w:spacing w:before="120"/>
      <w:rPr>
        <w:rFonts w:ascii="Calibri" w:hAnsi="Calibri" w:cs="Arial"/>
        <w:color w:val="FF0000"/>
        <w:sz w:val="40"/>
        <w:szCs w:val="40"/>
      </w:rPr>
    </w:pPr>
    <w:r>
      <w:rPr>
        <w:rStyle w:val="FooterChar"/>
        <w:rFonts w:ascii="Calibri" w:hAnsi="Calibri" w:cs="Arial"/>
        <w:b/>
        <w:color w:val="FF0000"/>
        <w:sz w:val="40"/>
        <w:szCs w:val="40"/>
      </w:rPr>
      <w:tab/>
    </w:r>
    <w:r w:rsidRPr="00A710F1">
      <w:rPr>
        <w:rStyle w:val="FooterChar"/>
        <w:rFonts w:ascii="Calibri" w:hAnsi="Calibri" w:cs="Arial"/>
        <w:b/>
        <w:strike/>
        <w:color w:val="FF0000"/>
        <w:sz w:val="40"/>
        <w:szCs w:val="40"/>
      </w:rPr>
      <w:t>Sensitive</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DE28A2">
      <w:rPr>
        <w:rStyle w:val="FooterChar"/>
        <w:b/>
        <w:noProof/>
      </w:rPr>
      <w:t>7</w:t>
    </w:r>
    <w:r w:rsidRPr="002C4DA6">
      <w:rPr>
        <w:rStyle w:val="FooterChar"/>
        <w:b/>
      </w:rPr>
      <w:fldChar w:fldCharType="end"/>
    </w:r>
    <w:r w:rsidRPr="002C4DA6">
      <w:rPr>
        <w:rStyle w:val="FooterChar"/>
        <w:b/>
      </w:rPr>
      <w:t xml:space="preserve"> of </w:t>
    </w:r>
    <w:r w:rsidR="00A710F1">
      <w:rPr>
        <w:rStyle w:val="FooterChar"/>
        <w:b/>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74F" w:rsidRPr="000557A7" w:rsidRDefault="00DC474F" w:rsidP="008D5A11">
      <w:pPr>
        <w:pBdr>
          <w:top w:val="single" w:sz="4" w:space="1" w:color="auto"/>
        </w:pBdr>
        <w:spacing w:before="240" w:line="60" w:lineRule="exact"/>
        <w:rPr>
          <w:sz w:val="16"/>
          <w:szCs w:val="16"/>
        </w:rPr>
      </w:pPr>
    </w:p>
  </w:footnote>
  <w:footnote w:type="continuationSeparator" w:id="0">
    <w:p w:rsidR="00DC474F" w:rsidRDefault="00DC474F" w:rsidP="00A20802">
      <w:pPr>
        <w:spacing w:line="240" w:lineRule="auto"/>
      </w:pPr>
      <w:r>
        <w:continuationSeparator/>
      </w:r>
    </w:p>
    <w:p w:rsidR="00DC474F" w:rsidRDefault="00DC474F"/>
    <w:p w:rsidR="00DC474F" w:rsidRDefault="00DC474F"/>
  </w:footnote>
  <w:footnote w:id="1">
    <w:p w:rsidR="00DC474F" w:rsidRDefault="00DC474F" w:rsidP="009A11AF">
      <w:pPr>
        <w:pStyle w:val="FootnoteText"/>
      </w:pPr>
      <w:r>
        <w:rPr>
          <w:rStyle w:val="FootnoteReference"/>
        </w:rPr>
        <w:footnoteRef/>
      </w:r>
      <w:r>
        <w:t xml:space="preserve"> </w:t>
      </w:r>
      <w:hyperlink r:id="rId1" w:history="1">
        <w:r w:rsidRPr="00A03F2E">
          <w:rPr>
            <w:rStyle w:val="Hyperlink"/>
          </w:rPr>
          <w:t>https://www.financeminister.gov.au/media-release/2018/08/22/labor-abandons-australian-businesses-and-workers</w:t>
        </w:r>
      </w:hyperlink>
      <w:r>
        <w:t xml:space="preserve"> </w:t>
      </w:r>
    </w:p>
  </w:footnote>
  <w:footnote w:id="2">
    <w:p w:rsidR="00DC474F" w:rsidRPr="00533F9F" w:rsidRDefault="00DC474F" w:rsidP="00533F9F">
      <w:pPr>
        <w:pStyle w:val="FootnoteText"/>
        <w:tabs>
          <w:tab w:val="clear" w:pos="425"/>
          <w:tab w:val="left" w:pos="0"/>
        </w:tabs>
        <w:ind w:left="0" w:firstLine="0"/>
        <w:rPr>
          <w:i/>
        </w:rPr>
      </w:pPr>
      <w:r>
        <w:rPr>
          <w:rStyle w:val="FootnoteReference"/>
        </w:rPr>
        <w:footnoteRef/>
      </w:r>
      <w:r>
        <w:t xml:space="preserve"> There are inherent uncertainties in all policy costings, regardless of who produces them.  For a more detailed discussion of the nature and sources of these uncertainties, see PBO information paper no. 01/2017, </w:t>
      </w:r>
      <w:r>
        <w:rPr>
          <w:i/>
        </w:rPr>
        <w:t xml:space="preserve">Factors influencing the reliability of policy proposal costings. </w:t>
      </w:r>
    </w:p>
  </w:footnote>
  <w:footnote w:id="3">
    <w:p w:rsidR="00DC474F" w:rsidRDefault="00DC474F" w:rsidP="00CD3005">
      <w:pPr>
        <w:pStyle w:val="FootnoteText"/>
        <w:tabs>
          <w:tab w:val="clear" w:pos="425"/>
          <w:tab w:val="left" w:pos="0"/>
        </w:tabs>
        <w:ind w:left="0" w:firstLine="0"/>
      </w:pPr>
      <w:r>
        <w:rPr>
          <w:rStyle w:val="FootnoteReference"/>
        </w:rPr>
        <w:footnoteRef/>
      </w:r>
      <w:r>
        <w:t xml:space="preserve"> A taxable income elasticity is a measure of the responsiveness of taxable income to changes in tax rates.  It measures the proportional change in declared taxable income resulting from a proportional change in the net</w:t>
      </w:r>
      <w:r>
        <w:noBreakHyphen/>
        <w:t>of</w:t>
      </w:r>
      <w:r>
        <w:noBreakHyphen/>
        <w:t xml:space="preserve">tax rate (one minus the marginal tax rate).  An elasticity of 0.2 means that if an increase in a marginal tax rate leads to a 1 per cent decrease in the net of tax rate, there will be a 0.2 per cent decrease in taxable income.  </w:t>
      </w:r>
    </w:p>
  </w:footnote>
  <w:footnote w:id="4">
    <w:p w:rsidR="00DC474F" w:rsidRPr="00F7339A" w:rsidRDefault="00DC474F" w:rsidP="00DB2BB4">
      <w:pPr>
        <w:pStyle w:val="FootnoteText"/>
        <w:keepLines/>
        <w:tabs>
          <w:tab w:val="clear" w:pos="425"/>
          <w:tab w:val="left" w:pos="0"/>
        </w:tabs>
        <w:ind w:left="0" w:firstLine="0"/>
      </w:pPr>
      <w:r>
        <w:rPr>
          <w:rStyle w:val="FootnoteReference"/>
        </w:rPr>
        <w:footnoteRef/>
      </w:r>
      <w:r>
        <w:t xml:space="preserve"> These elasticities are applied consistently across PBO personal income tax costings.  The values are consistent with the wider empirical literature across advanced economies, where the average estimate of taxable income elasticities is close to 0.2, with higher elasticities estimated for higher income earners; see for instance, Klemm, A, Liu, L, Mylonas, V. and Wingender, P., 2018, </w:t>
      </w:r>
      <w:r>
        <w:rPr>
          <w:i/>
        </w:rPr>
        <w:t>Are Elasticities of Taxable Income Rising?</w:t>
      </w:r>
      <w:r>
        <w:t>, International Monetary Fund.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0F1" w:rsidRPr="00A710F1" w:rsidRDefault="00A710F1" w:rsidP="00A710F1">
    <w:pPr>
      <w:pStyle w:val="Header"/>
      <w:jc w:val="center"/>
      <w:rPr>
        <w:rFonts w:ascii="Calibri" w:hAnsi="Calibri"/>
        <w:b/>
        <w:strike/>
        <w:color w:val="FF0000"/>
        <w:sz w:val="40"/>
        <w:szCs w:val="40"/>
      </w:rPr>
    </w:pPr>
    <w:r w:rsidRPr="00A710F1">
      <w:rPr>
        <w:rFonts w:ascii="Calibri" w:hAnsi="Calibri"/>
        <w:b/>
        <w:strike/>
        <w:color w:val="FF0000"/>
        <w:sz w:val="40"/>
        <w:szCs w:val="40"/>
      </w:rPr>
      <w:t>Sensitive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74F" w:rsidRPr="00A710F1" w:rsidRDefault="00DC474F" w:rsidP="002C4DA6">
    <w:pPr>
      <w:pStyle w:val="Header"/>
      <w:jc w:val="center"/>
      <w:rPr>
        <w:rFonts w:ascii="Calibri" w:hAnsi="Calibri"/>
        <w:b/>
        <w:strike/>
        <w:color w:val="FF0000"/>
        <w:sz w:val="40"/>
        <w:szCs w:val="40"/>
      </w:rPr>
    </w:pPr>
    <w:r w:rsidRPr="00A710F1">
      <w:rPr>
        <w:rFonts w:ascii="Calibri" w:hAnsi="Calibri"/>
        <w:b/>
        <w:strike/>
        <w:color w:val="FF0000"/>
        <w:sz w:val="40"/>
        <w:szCs w:val="40"/>
      </w:rPr>
      <w:t>Sensitive</w:t>
    </w:r>
  </w:p>
  <w:p w:rsidR="00DC474F" w:rsidRPr="0046444F" w:rsidRDefault="00DC474F" w:rsidP="0046444F">
    <w:pPr>
      <w:pStyle w:val="Header"/>
    </w:pPr>
    <w:r>
      <w:rPr>
        <w:noProof/>
        <w:lang w:eastAsia="en-AU"/>
      </w:rPr>
      <w:drawing>
        <wp:inline distT="0" distB="0" distL="0" distR="0" wp14:anchorId="00AD4042" wp14:editId="1186CB04">
          <wp:extent cx="2696845" cy="572135"/>
          <wp:effectExtent l="0" t="0" r="8255" b="0"/>
          <wp:docPr id="7" name="Picture 7" title="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7640"/>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8B37FE"/>
    <w:multiLevelType w:val="multilevel"/>
    <w:tmpl w:val="8FE029C2"/>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8D32963"/>
    <w:multiLevelType w:val="hybridMultilevel"/>
    <w:tmpl w:val="FB50BC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09AD6A00"/>
    <w:multiLevelType w:val="hybridMultilevel"/>
    <w:tmpl w:val="4B3A4D4E"/>
    <w:lvl w:ilvl="0" w:tplc="18CCC816">
      <w:start w:val="1"/>
      <w:numFmt w:val="lowerLetter"/>
      <w:lvlText w:val="(%1)"/>
      <w:lvlJc w:val="left"/>
      <w:pPr>
        <w:ind w:left="720" w:hanging="360"/>
      </w:pPr>
      <w:rPr>
        <w:rFonts w:ascii="Calibri" w:hAnsi="Calibri"/>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D745448"/>
    <w:multiLevelType w:val="multilevel"/>
    <w:tmpl w:val="B9B2787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5">
    <w:nsid w:val="0FB2573F"/>
    <w:multiLevelType w:val="multilevel"/>
    <w:tmpl w:val="CCB018EE"/>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6">
    <w:nsid w:val="147F785F"/>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8">
    <w:nsid w:val="1A154848"/>
    <w:multiLevelType w:val="hybridMultilevel"/>
    <w:tmpl w:val="09B261B0"/>
    <w:lvl w:ilvl="0" w:tplc="0652CEDE">
      <w:start w:val="1"/>
      <w:numFmt w:val="bullet"/>
      <w:pStyle w:val="Letter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D975442"/>
    <w:multiLevelType w:val="hybridMultilevel"/>
    <w:tmpl w:val="7E50674C"/>
    <w:lvl w:ilvl="0" w:tplc="535C60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DEE60DA"/>
    <w:multiLevelType w:val="hybridMultilevel"/>
    <w:tmpl w:val="8F4E44D6"/>
    <w:lvl w:ilvl="0" w:tplc="CABC4C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nsid w:val="32D14000"/>
    <w:multiLevelType w:val="hybridMultilevel"/>
    <w:tmpl w:val="7BEEEA2A"/>
    <w:lvl w:ilvl="0" w:tplc="FC10A6DC">
      <w:start w:val="1"/>
      <w:numFmt w:val="lowerLetter"/>
      <w:lvlText w:val="(%1)"/>
      <w:lvlJc w:val="left"/>
      <w:pPr>
        <w:ind w:left="720" w:hanging="360"/>
      </w:pPr>
      <w:rPr>
        <w:rFonts w:asciiTheme="minorHAnsi" w:eastAsiaTheme="minorHAnsi" w:hAnsiTheme="minorHAnsi" w:cstheme="minorBidi"/>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7CD034B"/>
    <w:multiLevelType w:val="hybridMultilevel"/>
    <w:tmpl w:val="AC467CF0"/>
    <w:lvl w:ilvl="0" w:tplc="E8FC92E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nsid w:val="38F13100"/>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9AB13AF"/>
    <w:multiLevelType w:val="hybridMultilevel"/>
    <w:tmpl w:val="947839AE"/>
    <w:lvl w:ilvl="0" w:tplc="2A5A4BF0">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2A568AF"/>
    <w:multiLevelType w:val="hybridMultilevel"/>
    <w:tmpl w:val="50BA43C4"/>
    <w:lvl w:ilvl="0" w:tplc="138EAD40">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36B2E15"/>
    <w:multiLevelType w:val="multilevel"/>
    <w:tmpl w:val="7BEEEA2A"/>
    <w:lvl w:ilvl="0">
      <w:start w:val="1"/>
      <w:numFmt w:val="lowerLetter"/>
      <w:lvlText w:val="(%1)"/>
      <w:lvlJc w:val="left"/>
      <w:pPr>
        <w:ind w:left="720" w:hanging="360"/>
      </w:pPr>
      <w:rPr>
        <w:rFonts w:asciiTheme="minorHAnsi" w:eastAsiaTheme="minorHAnsi" w:hAnsiTheme="minorHAnsi" w:cstheme="minorBidi"/>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3705370"/>
    <w:multiLevelType w:val="hybridMultilevel"/>
    <w:tmpl w:val="8BE68176"/>
    <w:name w:val="TableFootnote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50359A8"/>
    <w:multiLevelType w:val="hybridMultilevel"/>
    <w:tmpl w:val="D098FA50"/>
    <w:lvl w:ilvl="0" w:tplc="62C45750">
      <w:start w:val="1"/>
      <w:numFmt w:val="lowerLetter"/>
      <w:lvlText w:val="(%1)"/>
      <w:lvlJc w:val="left"/>
      <w:pPr>
        <w:ind w:left="720" w:hanging="360"/>
      </w:pPr>
      <w:rPr>
        <w:rFonts w:ascii="Calibri" w:hAnsi="Calibri" w:hint="default"/>
        <w:b w:val="0"/>
        <w:i w:val="0"/>
        <w:sz w:val="16"/>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80E7FD1"/>
    <w:multiLevelType w:val="hybridMultilevel"/>
    <w:tmpl w:val="947839AE"/>
    <w:lvl w:ilvl="0" w:tplc="2A5A4BF0">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20D7EE9"/>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27A4897"/>
    <w:multiLevelType w:val="hybridMultilevel"/>
    <w:tmpl w:val="17683AEC"/>
    <w:lvl w:ilvl="0" w:tplc="CEA06770">
      <w:start w:val="1"/>
      <w:numFmt w:val="lowerLetter"/>
      <w:lvlText w:val="(%1)"/>
      <w:lvlJc w:val="left"/>
      <w:pPr>
        <w:ind w:left="720" w:hanging="360"/>
      </w:pPr>
      <w:rPr>
        <w:rFonts w:ascii="Calibri" w:hAnsi="Calibri" w:hint="default"/>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D0540A9"/>
    <w:multiLevelType w:val="multilevel"/>
    <w:tmpl w:val="3E14D162"/>
    <w:name w:val="AppendicesNumbering"/>
    <w:lvl w:ilvl="0">
      <w:start w:val="1"/>
      <w:numFmt w:val="upperLetter"/>
      <w:lvlRestart w:val="0"/>
      <w:pStyle w:val="Heading8"/>
      <w:suff w:val="space"/>
      <w:lvlText w:val="Attachment %1"/>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9"/>
      <w:suff w:val="nothing"/>
      <w:lvlText w:val=""/>
      <w:lvlJc w:val="left"/>
      <w:pPr>
        <w:ind w:left="0" w:firstLine="0"/>
      </w:pPr>
      <w:rPr>
        <w:rFonts w:hint="default"/>
        <w:sz w:val="26"/>
      </w:rPr>
    </w:lvl>
    <w:lvl w:ilvl="2">
      <w:start w:val="1"/>
      <w:numFmt w:val="none"/>
      <w:pStyle w:val="AttachmentHeading2"/>
      <w:suff w:val="nothing"/>
      <w:lvlText w:val=""/>
      <w:lvlJc w:val="left"/>
      <w:pPr>
        <w:ind w:left="0" w:firstLine="0"/>
      </w:pPr>
      <w:rPr>
        <w:rFonts w:hint="default"/>
      </w:rPr>
    </w:lvl>
    <w:lvl w:ilvl="3">
      <w:start w:val="1"/>
      <w:numFmt w:val="none"/>
      <w:lvlRestart w:val="2"/>
      <w:pStyle w:val="AttachmentHeading3"/>
      <w:suff w:val="nothing"/>
      <w:lvlText w:val=""/>
      <w:lvlJc w:val="left"/>
      <w:pPr>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25">
    <w:nsid w:val="62A77F1C"/>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5DB45AC"/>
    <w:multiLevelType w:val="hybridMultilevel"/>
    <w:tmpl w:val="FDD6AE4E"/>
    <w:lvl w:ilvl="0" w:tplc="6CCC4AE4">
      <w:start w:val="1"/>
      <w:numFmt w:val="lowerLetter"/>
      <w:lvlText w:val="(%1)"/>
      <w:lvlJc w:val="left"/>
      <w:pPr>
        <w:ind w:left="720" w:hanging="360"/>
      </w:pPr>
      <w:rPr>
        <w:rFonts w:ascii="Calibri" w:hAnsi="Calibri" w:hint="default"/>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9CE4BDD"/>
    <w:multiLevelType w:val="hybridMultilevel"/>
    <w:tmpl w:val="B5D41A40"/>
    <w:lvl w:ilvl="0" w:tplc="497A32CA">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C1771C9"/>
    <w:multiLevelType w:val="hybridMultilevel"/>
    <w:tmpl w:val="1CC87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1">
    <w:nsid w:val="707C1A2E"/>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3">
    <w:nsid w:val="78A76270"/>
    <w:multiLevelType w:val="hybridMultilevel"/>
    <w:tmpl w:val="9ACE365C"/>
    <w:lvl w:ilvl="0" w:tplc="BB36BB8E">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F2804DF"/>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1"/>
  </w:num>
  <w:num w:numId="3">
    <w:abstractNumId w:val="32"/>
  </w:num>
  <w:num w:numId="4">
    <w:abstractNumId w:val="14"/>
  </w:num>
  <w:num w:numId="5">
    <w:abstractNumId w:val="11"/>
  </w:num>
  <w:num w:numId="6">
    <w:abstractNumId w:val="30"/>
  </w:num>
  <w:num w:numId="7">
    <w:abstractNumId w:val="5"/>
  </w:num>
  <w:num w:numId="8">
    <w:abstractNumId w:val="7"/>
  </w:num>
  <w:num w:numId="9">
    <w:abstractNumId w:val="29"/>
  </w:num>
  <w:num w:numId="10">
    <w:abstractNumId w:val="4"/>
  </w:num>
  <w:num w:numId="11">
    <w:abstractNumId w:val="9"/>
  </w:num>
  <w:num w:numId="12">
    <w:abstractNumId w:val="2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1"/>
  </w:num>
  <w:num w:numId="18">
    <w:abstractNumId w:val="34"/>
  </w:num>
  <w:num w:numId="19">
    <w:abstractNumId w:val="0"/>
  </w:num>
  <w:num w:numId="20">
    <w:abstractNumId w:val="20"/>
  </w:num>
  <w:num w:numId="21">
    <w:abstractNumId w:val="22"/>
  </w:num>
  <w:num w:numId="22">
    <w:abstractNumId w:val="16"/>
  </w:num>
  <w:num w:numId="23">
    <w:abstractNumId w:val="17"/>
  </w:num>
  <w:num w:numId="24">
    <w:abstractNumId w:val="26"/>
  </w:num>
  <w:num w:numId="25">
    <w:abstractNumId w:val="15"/>
  </w:num>
  <w:num w:numId="26">
    <w:abstractNumId w:val="6"/>
  </w:num>
  <w:num w:numId="27">
    <w:abstractNumId w:val="25"/>
  </w:num>
  <w:num w:numId="28">
    <w:abstractNumId w:val="23"/>
  </w:num>
  <w:num w:numId="29">
    <w:abstractNumId w:val="27"/>
  </w:num>
  <w:num w:numId="30">
    <w:abstractNumId w:val="33"/>
  </w:num>
  <w:num w:numId="31">
    <w:abstractNumId w:val="21"/>
  </w:num>
  <w:num w:numId="32">
    <w:abstractNumId w:val="12"/>
  </w:num>
  <w:num w:numId="33">
    <w:abstractNumId w:val="18"/>
  </w:num>
  <w:num w:numId="34">
    <w:abstractNumId w:val="10"/>
  </w:num>
  <w:num w:numId="35">
    <w:abstractNumId w:val="4"/>
  </w:num>
  <w:num w:numId="36">
    <w:abstractNumId w:val="1"/>
  </w:num>
  <w:num w:numId="37">
    <w:abstractNumId w:val="8"/>
  </w:num>
  <w:num w:numId="38">
    <w:abstractNumId w:val="5"/>
  </w:num>
  <w:num w:numId="39">
    <w:abstractNumId w:val="5"/>
  </w:num>
  <w:num w:numId="40">
    <w:abstractNumId w:val="13"/>
  </w:num>
  <w:num w:numId="41">
    <w:abstractNumId w:val="2"/>
  </w:num>
  <w:num w:numId="42">
    <w:abstractNumId w:val="2"/>
  </w:num>
  <w:num w:numId="43">
    <w:abstractNumId w:val="24"/>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5D1CE5"/>
    <w:rsid w:val="0000071C"/>
    <w:rsid w:val="00001595"/>
    <w:rsid w:val="0000322C"/>
    <w:rsid w:val="00003CDD"/>
    <w:rsid w:val="00012BDD"/>
    <w:rsid w:val="00013620"/>
    <w:rsid w:val="0001406F"/>
    <w:rsid w:val="00015E04"/>
    <w:rsid w:val="000168A7"/>
    <w:rsid w:val="00016D53"/>
    <w:rsid w:val="000278D0"/>
    <w:rsid w:val="00027E62"/>
    <w:rsid w:val="000307C8"/>
    <w:rsid w:val="00030F73"/>
    <w:rsid w:val="00033326"/>
    <w:rsid w:val="00035ADE"/>
    <w:rsid w:val="0004224B"/>
    <w:rsid w:val="00046226"/>
    <w:rsid w:val="000505FB"/>
    <w:rsid w:val="0005330D"/>
    <w:rsid w:val="000550BA"/>
    <w:rsid w:val="000557A7"/>
    <w:rsid w:val="00055805"/>
    <w:rsid w:val="00056CB3"/>
    <w:rsid w:val="000576ED"/>
    <w:rsid w:val="0005793B"/>
    <w:rsid w:val="00061758"/>
    <w:rsid w:val="00065125"/>
    <w:rsid w:val="00066D54"/>
    <w:rsid w:val="00067A28"/>
    <w:rsid w:val="0007260F"/>
    <w:rsid w:val="000739CB"/>
    <w:rsid w:val="00073C89"/>
    <w:rsid w:val="0007488E"/>
    <w:rsid w:val="000805D5"/>
    <w:rsid w:val="0008103B"/>
    <w:rsid w:val="0008174A"/>
    <w:rsid w:val="00085F97"/>
    <w:rsid w:val="000879B1"/>
    <w:rsid w:val="00092A33"/>
    <w:rsid w:val="000973F9"/>
    <w:rsid w:val="00097A23"/>
    <w:rsid w:val="000A0848"/>
    <w:rsid w:val="000A1F49"/>
    <w:rsid w:val="000A2FEC"/>
    <w:rsid w:val="000A348F"/>
    <w:rsid w:val="000B092A"/>
    <w:rsid w:val="000B1B0C"/>
    <w:rsid w:val="000B3A95"/>
    <w:rsid w:val="000B4345"/>
    <w:rsid w:val="000B5900"/>
    <w:rsid w:val="000B60AE"/>
    <w:rsid w:val="000B6942"/>
    <w:rsid w:val="000B6D00"/>
    <w:rsid w:val="000C09FA"/>
    <w:rsid w:val="000C17BB"/>
    <w:rsid w:val="000C1AB0"/>
    <w:rsid w:val="000C37A9"/>
    <w:rsid w:val="000C6728"/>
    <w:rsid w:val="000C702E"/>
    <w:rsid w:val="000D09F2"/>
    <w:rsid w:val="000D15E9"/>
    <w:rsid w:val="000D3182"/>
    <w:rsid w:val="000D45C4"/>
    <w:rsid w:val="000D46B3"/>
    <w:rsid w:val="000E18F3"/>
    <w:rsid w:val="000E19AC"/>
    <w:rsid w:val="000E266E"/>
    <w:rsid w:val="000E2C85"/>
    <w:rsid w:val="000E4C7B"/>
    <w:rsid w:val="000F1515"/>
    <w:rsid w:val="000F16B5"/>
    <w:rsid w:val="000F3C84"/>
    <w:rsid w:val="000F616E"/>
    <w:rsid w:val="000F6994"/>
    <w:rsid w:val="000F7D50"/>
    <w:rsid w:val="00110D43"/>
    <w:rsid w:val="00111F10"/>
    <w:rsid w:val="001159EA"/>
    <w:rsid w:val="00120A75"/>
    <w:rsid w:val="0012427F"/>
    <w:rsid w:val="00125410"/>
    <w:rsid w:val="00130858"/>
    <w:rsid w:val="00131861"/>
    <w:rsid w:val="00133248"/>
    <w:rsid w:val="00136C26"/>
    <w:rsid w:val="0014059F"/>
    <w:rsid w:val="00141551"/>
    <w:rsid w:val="001417CE"/>
    <w:rsid w:val="0014479F"/>
    <w:rsid w:val="00146B30"/>
    <w:rsid w:val="00146EAD"/>
    <w:rsid w:val="001541BF"/>
    <w:rsid w:val="00154DC5"/>
    <w:rsid w:val="0015548E"/>
    <w:rsid w:val="0016092E"/>
    <w:rsid w:val="00160C8D"/>
    <w:rsid w:val="001629C0"/>
    <w:rsid w:val="00165122"/>
    <w:rsid w:val="00165854"/>
    <w:rsid w:val="00165CB8"/>
    <w:rsid w:val="00166078"/>
    <w:rsid w:val="00166A15"/>
    <w:rsid w:val="001711BC"/>
    <w:rsid w:val="001738DB"/>
    <w:rsid w:val="001738F5"/>
    <w:rsid w:val="00173DFD"/>
    <w:rsid w:val="00180FF9"/>
    <w:rsid w:val="00183AF3"/>
    <w:rsid w:val="00184F85"/>
    <w:rsid w:val="00190DF4"/>
    <w:rsid w:val="0019204F"/>
    <w:rsid w:val="00195228"/>
    <w:rsid w:val="00195696"/>
    <w:rsid w:val="00196532"/>
    <w:rsid w:val="001A1EFC"/>
    <w:rsid w:val="001A48EF"/>
    <w:rsid w:val="001A49CC"/>
    <w:rsid w:val="001A5553"/>
    <w:rsid w:val="001A716E"/>
    <w:rsid w:val="001B18C6"/>
    <w:rsid w:val="001B2C65"/>
    <w:rsid w:val="001B4255"/>
    <w:rsid w:val="001B7058"/>
    <w:rsid w:val="001C3A4F"/>
    <w:rsid w:val="001C4121"/>
    <w:rsid w:val="001C48DE"/>
    <w:rsid w:val="001C7F8D"/>
    <w:rsid w:val="001D30C1"/>
    <w:rsid w:val="001D52E3"/>
    <w:rsid w:val="001D576F"/>
    <w:rsid w:val="001D7C29"/>
    <w:rsid w:val="001E0475"/>
    <w:rsid w:val="001E0D59"/>
    <w:rsid w:val="001E33C2"/>
    <w:rsid w:val="001E708A"/>
    <w:rsid w:val="001F2AAD"/>
    <w:rsid w:val="001F5C90"/>
    <w:rsid w:val="001F767C"/>
    <w:rsid w:val="001F7B10"/>
    <w:rsid w:val="00203A7B"/>
    <w:rsid w:val="002057EF"/>
    <w:rsid w:val="00205C6E"/>
    <w:rsid w:val="00210074"/>
    <w:rsid w:val="00210FCF"/>
    <w:rsid w:val="002179B6"/>
    <w:rsid w:val="00222EFF"/>
    <w:rsid w:val="002240D5"/>
    <w:rsid w:val="002261A7"/>
    <w:rsid w:val="00226AEC"/>
    <w:rsid w:val="00235C95"/>
    <w:rsid w:val="00246BC6"/>
    <w:rsid w:val="002545F3"/>
    <w:rsid w:val="00255E70"/>
    <w:rsid w:val="0026257E"/>
    <w:rsid w:val="0026344F"/>
    <w:rsid w:val="00266A17"/>
    <w:rsid w:val="00270372"/>
    <w:rsid w:val="0027519F"/>
    <w:rsid w:val="00275534"/>
    <w:rsid w:val="00277075"/>
    <w:rsid w:val="002775D2"/>
    <w:rsid w:val="00281ADD"/>
    <w:rsid w:val="0028563E"/>
    <w:rsid w:val="00287463"/>
    <w:rsid w:val="00287823"/>
    <w:rsid w:val="0028792D"/>
    <w:rsid w:val="00291567"/>
    <w:rsid w:val="00293E0D"/>
    <w:rsid w:val="00293E80"/>
    <w:rsid w:val="002973B0"/>
    <w:rsid w:val="00297C14"/>
    <w:rsid w:val="002A220F"/>
    <w:rsid w:val="002A24F1"/>
    <w:rsid w:val="002A43A0"/>
    <w:rsid w:val="002A5778"/>
    <w:rsid w:val="002A6E3B"/>
    <w:rsid w:val="002B0A90"/>
    <w:rsid w:val="002B1C24"/>
    <w:rsid w:val="002B1E84"/>
    <w:rsid w:val="002B2085"/>
    <w:rsid w:val="002B3EC4"/>
    <w:rsid w:val="002C37D5"/>
    <w:rsid w:val="002C4DA6"/>
    <w:rsid w:val="002C60A0"/>
    <w:rsid w:val="002D0BAB"/>
    <w:rsid w:val="002D18E1"/>
    <w:rsid w:val="002D239A"/>
    <w:rsid w:val="002D34DB"/>
    <w:rsid w:val="002D48BE"/>
    <w:rsid w:val="002D4B11"/>
    <w:rsid w:val="002E5633"/>
    <w:rsid w:val="002E5CE6"/>
    <w:rsid w:val="002F1963"/>
    <w:rsid w:val="002F5B6E"/>
    <w:rsid w:val="002F61B5"/>
    <w:rsid w:val="00300066"/>
    <w:rsid w:val="0030209B"/>
    <w:rsid w:val="00311208"/>
    <w:rsid w:val="003116DE"/>
    <w:rsid w:val="00312494"/>
    <w:rsid w:val="003127E4"/>
    <w:rsid w:val="00312C42"/>
    <w:rsid w:val="00313215"/>
    <w:rsid w:val="00313DA1"/>
    <w:rsid w:val="003174C3"/>
    <w:rsid w:val="00317CB3"/>
    <w:rsid w:val="003230D5"/>
    <w:rsid w:val="00323F84"/>
    <w:rsid w:val="0032557A"/>
    <w:rsid w:val="00326E3E"/>
    <w:rsid w:val="00327BCE"/>
    <w:rsid w:val="00327D92"/>
    <w:rsid w:val="003318BA"/>
    <w:rsid w:val="003326F7"/>
    <w:rsid w:val="0033773F"/>
    <w:rsid w:val="00340778"/>
    <w:rsid w:val="00343205"/>
    <w:rsid w:val="00344D2C"/>
    <w:rsid w:val="003458CE"/>
    <w:rsid w:val="00345A57"/>
    <w:rsid w:val="00346D90"/>
    <w:rsid w:val="00347CA3"/>
    <w:rsid w:val="00351F62"/>
    <w:rsid w:val="0035620D"/>
    <w:rsid w:val="0035792C"/>
    <w:rsid w:val="003601F4"/>
    <w:rsid w:val="00361150"/>
    <w:rsid w:val="003671E2"/>
    <w:rsid w:val="00370320"/>
    <w:rsid w:val="00372AE6"/>
    <w:rsid w:val="00376C3A"/>
    <w:rsid w:val="0038082C"/>
    <w:rsid w:val="003837E1"/>
    <w:rsid w:val="0038584D"/>
    <w:rsid w:val="0039257F"/>
    <w:rsid w:val="003931DE"/>
    <w:rsid w:val="00397D1A"/>
    <w:rsid w:val="003A163C"/>
    <w:rsid w:val="003A2B4E"/>
    <w:rsid w:val="003A2FBB"/>
    <w:rsid w:val="003A3799"/>
    <w:rsid w:val="003A4913"/>
    <w:rsid w:val="003A54A9"/>
    <w:rsid w:val="003A62A5"/>
    <w:rsid w:val="003A7083"/>
    <w:rsid w:val="003B2CF2"/>
    <w:rsid w:val="003B3103"/>
    <w:rsid w:val="003B38B3"/>
    <w:rsid w:val="003B3A97"/>
    <w:rsid w:val="003B3D44"/>
    <w:rsid w:val="003B47BC"/>
    <w:rsid w:val="003C2540"/>
    <w:rsid w:val="003C6BB5"/>
    <w:rsid w:val="003C7CC2"/>
    <w:rsid w:val="003D3379"/>
    <w:rsid w:val="003D50B6"/>
    <w:rsid w:val="003E05DF"/>
    <w:rsid w:val="003E0C7A"/>
    <w:rsid w:val="003E1562"/>
    <w:rsid w:val="003E3BB9"/>
    <w:rsid w:val="003E41B2"/>
    <w:rsid w:val="003E6085"/>
    <w:rsid w:val="003E6CA3"/>
    <w:rsid w:val="003F4C96"/>
    <w:rsid w:val="00401C49"/>
    <w:rsid w:val="0040254A"/>
    <w:rsid w:val="00404CFE"/>
    <w:rsid w:val="00406002"/>
    <w:rsid w:val="00406AD3"/>
    <w:rsid w:val="00410731"/>
    <w:rsid w:val="00412E42"/>
    <w:rsid w:val="00413EC1"/>
    <w:rsid w:val="004154B2"/>
    <w:rsid w:val="00415776"/>
    <w:rsid w:val="0042112A"/>
    <w:rsid w:val="00423CA8"/>
    <w:rsid w:val="00425534"/>
    <w:rsid w:val="00425C05"/>
    <w:rsid w:val="00426356"/>
    <w:rsid w:val="00426929"/>
    <w:rsid w:val="00433D11"/>
    <w:rsid w:val="00440108"/>
    <w:rsid w:val="00441A6D"/>
    <w:rsid w:val="004425BD"/>
    <w:rsid w:val="00442C16"/>
    <w:rsid w:val="00445410"/>
    <w:rsid w:val="00446439"/>
    <w:rsid w:val="00450BDA"/>
    <w:rsid w:val="00453A3E"/>
    <w:rsid w:val="0045452F"/>
    <w:rsid w:val="0045766B"/>
    <w:rsid w:val="00457EA9"/>
    <w:rsid w:val="004618A2"/>
    <w:rsid w:val="0046444F"/>
    <w:rsid w:val="00465F92"/>
    <w:rsid w:val="004716E3"/>
    <w:rsid w:val="00474BB7"/>
    <w:rsid w:val="00475AEE"/>
    <w:rsid w:val="00476133"/>
    <w:rsid w:val="00476800"/>
    <w:rsid w:val="004816D7"/>
    <w:rsid w:val="00482F63"/>
    <w:rsid w:val="0048342E"/>
    <w:rsid w:val="00487478"/>
    <w:rsid w:val="0048782D"/>
    <w:rsid w:val="00490873"/>
    <w:rsid w:val="00491703"/>
    <w:rsid w:val="00494DC1"/>
    <w:rsid w:val="004A3F56"/>
    <w:rsid w:val="004A4F1C"/>
    <w:rsid w:val="004A5A93"/>
    <w:rsid w:val="004A5E21"/>
    <w:rsid w:val="004A666A"/>
    <w:rsid w:val="004A7C9D"/>
    <w:rsid w:val="004B143F"/>
    <w:rsid w:val="004B3022"/>
    <w:rsid w:val="004B49A0"/>
    <w:rsid w:val="004C3BDA"/>
    <w:rsid w:val="004C6306"/>
    <w:rsid w:val="004C6F5E"/>
    <w:rsid w:val="004C7E94"/>
    <w:rsid w:val="004D4551"/>
    <w:rsid w:val="004D7CF8"/>
    <w:rsid w:val="004D7EDA"/>
    <w:rsid w:val="004E0E49"/>
    <w:rsid w:val="004E197A"/>
    <w:rsid w:val="004E5D52"/>
    <w:rsid w:val="004F07D7"/>
    <w:rsid w:val="004F1297"/>
    <w:rsid w:val="004F16DB"/>
    <w:rsid w:val="004F4D7E"/>
    <w:rsid w:val="004F57E8"/>
    <w:rsid w:val="004F5B16"/>
    <w:rsid w:val="004F5D9D"/>
    <w:rsid w:val="004F68E5"/>
    <w:rsid w:val="004F7037"/>
    <w:rsid w:val="004F741B"/>
    <w:rsid w:val="00500F08"/>
    <w:rsid w:val="0050132A"/>
    <w:rsid w:val="00503253"/>
    <w:rsid w:val="00503BB0"/>
    <w:rsid w:val="00503E03"/>
    <w:rsid w:val="00511F0B"/>
    <w:rsid w:val="00512226"/>
    <w:rsid w:val="00512B31"/>
    <w:rsid w:val="005147C6"/>
    <w:rsid w:val="005159B1"/>
    <w:rsid w:val="00522502"/>
    <w:rsid w:val="00522530"/>
    <w:rsid w:val="005255A1"/>
    <w:rsid w:val="00525825"/>
    <w:rsid w:val="0052641C"/>
    <w:rsid w:val="005311C2"/>
    <w:rsid w:val="00533F9F"/>
    <w:rsid w:val="0053795D"/>
    <w:rsid w:val="00544522"/>
    <w:rsid w:val="00545D37"/>
    <w:rsid w:val="005467E2"/>
    <w:rsid w:val="005468AB"/>
    <w:rsid w:val="005501A0"/>
    <w:rsid w:val="0055026B"/>
    <w:rsid w:val="00550831"/>
    <w:rsid w:val="005525B0"/>
    <w:rsid w:val="00554273"/>
    <w:rsid w:val="0056001A"/>
    <w:rsid w:val="005642B6"/>
    <w:rsid w:val="00566A97"/>
    <w:rsid w:val="00571D5E"/>
    <w:rsid w:val="005814CA"/>
    <w:rsid w:val="005823D0"/>
    <w:rsid w:val="00582D54"/>
    <w:rsid w:val="00583AAF"/>
    <w:rsid w:val="00587AF9"/>
    <w:rsid w:val="005962D5"/>
    <w:rsid w:val="005979D8"/>
    <w:rsid w:val="005A2748"/>
    <w:rsid w:val="005A2FE1"/>
    <w:rsid w:val="005A443F"/>
    <w:rsid w:val="005A5215"/>
    <w:rsid w:val="005A7C26"/>
    <w:rsid w:val="005B0970"/>
    <w:rsid w:val="005B0E43"/>
    <w:rsid w:val="005B1119"/>
    <w:rsid w:val="005B54F9"/>
    <w:rsid w:val="005B58D4"/>
    <w:rsid w:val="005B5B58"/>
    <w:rsid w:val="005B7DC9"/>
    <w:rsid w:val="005B7FF9"/>
    <w:rsid w:val="005C07B3"/>
    <w:rsid w:val="005C284E"/>
    <w:rsid w:val="005C47D4"/>
    <w:rsid w:val="005D1CE5"/>
    <w:rsid w:val="005D51D0"/>
    <w:rsid w:val="005D6F83"/>
    <w:rsid w:val="005D7877"/>
    <w:rsid w:val="005D7CCF"/>
    <w:rsid w:val="005E04CF"/>
    <w:rsid w:val="005E58C4"/>
    <w:rsid w:val="005E5D8F"/>
    <w:rsid w:val="005F5A5C"/>
    <w:rsid w:val="005F5CD9"/>
    <w:rsid w:val="005F7D05"/>
    <w:rsid w:val="00602664"/>
    <w:rsid w:val="00605488"/>
    <w:rsid w:val="0061135C"/>
    <w:rsid w:val="00612F9B"/>
    <w:rsid w:val="006136DD"/>
    <w:rsid w:val="00613910"/>
    <w:rsid w:val="006149F0"/>
    <w:rsid w:val="00620235"/>
    <w:rsid w:val="006218A1"/>
    <w:rsid w:val="006220A5"/>
    <w:rsid w:val="00622D86"/>
    <w:rsid w:val="00624AC8"/>
    <w:rsid w:val="006262CF"/>
    <w:rsid w:val="00633812"/>
    <w:rsid w:val="00633C60"/>
    <w:rsid w:val="0064126D"/>
    <w:rsid w:val="006451B8"/>
    <w:rsid w:val="00645722"/>
    <w:rsid w:val="006509C3"/>
    <w:rsid w:val="00652432"/>
    <w:rsid w:val="006559A0"/>
    <w:rsid w:val="00657840"/>
    <w:rsid w:val="0066003C"/>
    <w:rsid w:val="0066041E"/>
    <w:rsid w:val="006619BB"/>
    <w:rsid w:val="00670C25"/>
    <w:rsid w:val="00673CCC"/>
    <w:rsid w:val="00675C98"/>
    <w:rsid w:val="00681B8C"/>
    <w:rsid w:val="0069026B"/>
    <w:rsid w:val="006956EA"/>
    <w:rsid w:val="00696DCC"/>
    <w:rsid w:val="006A0153"/>
    <w:rsid w:val="006A0D82"/>
    <w:rsid w:val="006A31D6"/>
    <w:rsid w:val="006A490C"/>
    <w:rsid w:val="006A5881"/>
    <w:rsid w:val="006A766E"/>
    <w:rsid w:val="006B4F7D"/>
    <w:rsid w:val="006B63B1"/>
    <w:rsid w:val="006C114C"/>
    <w:rsid w:val="006C3063"/>
    <w:rsid w:val="006C3668"/>
    <w:rsid w:val="006C3864"/>
    <w:rsid w:val="006C5383"/>
    <w:rsid w:val="006C5E72"/>
    <w:rsid w:val="006D0725"/>
    <w:rsid w:val="006D2AEC"/>
    <w:rsid w:val="006D438F"/>
    <w:rsid w:val="006D4B1C"/>
    <w:rsid w:val="006D4C8E"/>
    <w:rsid w:val="006E19D1"/>
    <w:rsid w:val="006E1CBB"/>
    <w:rsid w:val="006E4B27"/>
    <w:rsid w:val="006E5E7E"/>
    <w:rsid w:val="006F100B"/>
    <w:rsid w:val="006F239A"/>
    <w:rsid w:val="006F2C9D"/>
    <w:rsid w:val="006F3203"/>
    <w:rsid w:val="006F4201"/>
    <w:rsid w:val="006F6B51"/>
    <w:rsid w:val="007048DB"/>
    <w:rsid w:val="0070637D"/>
    <w:rsid w:val="007071DD"/>
    <w:rsid w:val="0070771F"/>
    <w:rsid w:val="00712A14"/>
    <w:rsid w:val="00713208"/>
    <w:rsid w:val="00716C04"/>
    <w:rsid w:val="00717180"/>
    <w:rsid w:val="007179D2"/>
    <w:rsid w:val="00720750"/>
    <w:rsid w:val="0072549C"/>
    <w:rsid w:val="00725A80"/>
    <w:rsid w:val="00726E61"/>
    <w:rsid w:val="0073102A"/>
    <w:rsid w:val="00733970"/>
    <w:rsid w:val="007364B6"/>
    <w:rsid w:val="007375FE"/>
    <w:rsid w:val="0074064A"/>
    <w:rsid w:val="00741D0B"/>
    <w:rsid w:val="0075065B"/>
    <w:rsid w:val="00754C58"/>
    <w:rsid w:val="00767FEE"/>
    <w:rsid w:val="0077436E"/>
    <w:rsid w:val="007766AB"/>
    <w:rsid w:val="00776E78"/>
    <w:rsid w:val="0078138A"/>
    <w:rsid w:val="00783014"/>
    <w:rsid w:val="007834DC"/>
    <w:rsid w:val="007865BC"/>
    <w:rsid w:val="00790768"/>
    <w:rsid w:val="007959D8"/>
    <w:rsid w:val="0079630F"/>
    <w:rsid w:val="007A04C2"/>
    <w:rsid w:val="007A4188"/>
    <w:rsid w:val="007A4238"/>
    <w:rsid w:val="007A47D0"/>
    <w:rsid w:val="007B146A"/>
    <w:rsid w:val="007B57C9"/>
    <w:rsid w:val="007C0E7C"/>
    <w:rsid w:val="007C0EAA"/>
    <w:rsid w:val="007C19C3"/>
    <w:rsid w:val="007C44B2"/>
    <w:rsid w:val="007C54EE"/>
    <w:rsid w:val="007C570F"/>
    <w:rsid w:val="007C6496"/>
    <w:rsid w:val="007C745E"/>
    <w:rsid w:val="007D0ABE"/>
    <w:rsid w:val="007E0E53"/>
    <w:rsid w:val="007E319A"/>
    <w:rsid w:val="007E356F"/>
    <w:rsid w:val="007E3F8C"/>
    <w:rsid w:val="007E4569"/>
    <w:rsid w:val="007F2058"/>
    <w:rsid w:val="007F41A3"/>
    <w:rsid w:val="007F7685"/>
    <w:rsid w:val="0080011D"/>
    <w:rsid w:val="00800EA5"/>
    <w:rsid w:val="00801C01"/>
    <w:rsid w:val="008112CC"/>
    <w:rsid w:val="008130BB"/>
    <w:rsid w:val="00813D7D"/>
    <w:rsid w:val="008147C6"/>
    <w:rsid w:val="00817406"/>
    <w:rsid w:val="008208A7"/>
    <w:rsid w:val="008237FA"/>
    <w:rsid w:val="00825D37"/>
    <w:rsid w:val="008369B0"/>
    <w:rsid w:val="008372D1"/>
    <w:rsid w:val="00845C1E"/>
    <w:rsid w:val="00847973"/>
    <w:rsid w:val="00847DD1"/>
    <w:rsid w:val="008505D4"/>
    <w:rsid w:val="00852837"/>
    <w:rsid w:val="00852C80"/>
    <w:rsid w:val="0085732C"/>
    <w:rsid w:val="00857C91"/>
    <w:rsid w:val="00860B45"/>
    <w:rsid w:val="00861F68"/>
    <w:rsid w:val="00863860"/>
    <w:rsid w:val="008638B5"/>
    <w:rsid w:val="008645D4"/>
    <w:rsid w:val="00866B47"/>
    <w:rsid w:val="0087216A"/>
    <w:rsid w:val="008734DB"/>
    <w:rsid w:val="0087390B"/>
    <w:rsid w:val="00874035"/>
    <w:rsid w:val="008745A1"/>
    <w:rsid w:val="008768E9"/>
    <w:rsid w:val="0087751B"/>
    <w:rsid w:val="00881A32"/>
    <w:rsid w:val="00890995"/>
    <w:rsid w:val="008914FB"/>
    <w:rsid w:val="00892516"/>
    <w:rsid w:val="0089737A"/>
    <w:rsid w:val="00897E99"/>
    <w:rsid w:val="00897F60"/>
    <w:rsid w:val="008A4829"/>
    <w:rsid w:val="008B130B"/>
    <w:rsid w:val="008B2384"/>
    <w:rsid w:val="008B38D6"/>
    <w:rsid w:val="008B4802"/>
    <w:rsid w:val="008B69E3"/>
    <w:rsid w:val="008C1FD1"/>
    <w:rsid w:val="008C24A8"/>
    <w:rsid w:val="008C24FF"/>
    <w:rsid w:val="008C35EF"/>
    <w:rsid w:val="008C3664"/>
    <w:rsid w:val="008C5996"/>
    <w:rsid w:val="008D4FA9"/>
    <w:rsid w:val="008D5A11"/>
    <w:rsid w:val="008D5E23"/>
    <w:rsid w:val="008D77AF"/>
    <w:rsid w:val="008E6D59"/>
    <w:rsid w:val="008F30C7"/>
    <w:rsid w:val="008F4527"/>
    <w:rsid w:val="008F5D66"/>
    <w:rsid w:val="009028AA"/>
    <w:rsid w:val="00903E3F"/>
    <w:rsid w:val="009049C3"/>
    <w:rsid w:val="00904AB8"/>
    <w:rsid w:val="009057D9"/>
    <w:rsid w:val="0090774A"/>
    <w:rsid w:val="00907C97"/>
    <w:rsid w:val="00910A52"/>
    <w:rsid w:val="00910D07"/>
    <w:rsid w:val="00914B2F"/>
    <w:rsid w:val="009150E6"/>
    <w:rsid w:val="00916290"/>
    <w:rsid w:val="00916F37"/>
    <w:rsid w:val="00917F89"/>
    <w:rsid w:val="009223BE"/>
    <w:rsid w:val="0092499B"/>
    <w:rsid w:val="009255EE"/>
    <w:rsid w:val="00925603"/>
    <w:rsid w:val="00925F76"/>
    <w:rsid w:val="00925FCE"/>
    <w:rsid w:val="0092764D"/>
    <w:rsid w:val="00932E89"/>
    <w:rsid w:val="0093359D"/>
    <w:rsid w:val="00933F2B"/>
    <w:rsid w:val="00942EEB"/>
    <w:rsid w:val="0094468E"/>
    <w:rsid w:val="00944B6E"/>
    <w:rsid w:val="00945261"/>
    <w:rsid w:val="00947377"/>
    <w:rsid w:val="009506A5"/>
    <w:rsid w:val="00951452"/>
    <w:rsid w:val="009541CC"/>
    <w:rsid w:val="00956564"/>
    <w:rsid w:val="009567A6"/>
    <w:rsid w:val="00956D5A"/>
    <w:rsid w:val="00961B2C"/>
    <w:rsid w:val="00961DBB"/>
    <w:rsid w:val="009630F6"/>
    <w:rsid w:val="00963D2B"/>
    <w:rsid w:val="0096618E"/>
    <w:rsid w:val="009728C6"/>
    <w:rsid w:val="009758AE"/>
    <w:rsid w:val="00981433"/>
    <w:rsid w:val="0098222F"/>
    <w:rsid w:val="0098244F"/>
    <w:rsid w:val="00983122"/>
    <w:rsid w:val="00985C07"/>
    <w:rsid w:val="00995B4F"/>
    <w:rsid w:val="00995FA3"/>
    <w:rsid w:val="00997582"/>
    <w:rsid w:val="009A11AF"/>
    <w:rsid w:val="009A226B"/>
    <w:rsid w:val="009A22F8"/>
    <w:rsid w:val="009A2C21"/>
    <w:rsid w:val="009A3E58"/>
    <w:rsid w:val="009A5F02"/>
    <w:rsid w:val="009A7AB1"/>
    <w:rsid w:val="009B424D"/>
    <w:rsid w:val="009B6408"/>
    <w:rsid w:val="009B70E6"/>
    <w:rsid w:val="009C6DAA"/>
    <w:rsid w:val="009D0E74"/>
    <w:rsid w:val="009D1A96"/>
    <w:rsid w:val="009D370B"/>
    <w:rsid w:val="009D397F"/>
    <w:rsid w:val="009D7EE0"/>
    <w:rsid w:val="009E0B16"/>
    <w:rsid w:val="009E2087"/>
    <w:rsid w:val="009E252B"/>
    <w:rsid w:val="009E3265"/>
    <w:rsid w:val="009E3353"/>
    <w:rsid w:val="009E446D"/>
    <w:rsid w:val="009E614D"/>
    <w:rsid w:val="009E7C09"/>
    <w:rsid w:val="009F146D"/>
    <w:rsid w:val="009F4F1E"/>
    <w:rsid w:val="009F5D6A"/>
    <w:rsid w:val="00A015E4"/>
    <w:rsid w:val="00A0202A"/>
    <w:rsid w:val="00A06A8E"/>
    <w:rsid w:val="00A075BC"/>
    <w:rsid w:val="00A11222"/>
    <w:rsid w:val="00A12C39"/>
    <w:rsid w:val="00A134FB"/>
    <w:rsid w:val="00A162FE"/>
    <w:rsid w:val="00A20802"/>
    <w:rsid w:val="00A25B4F"/>
    <w:rsid w:val="00A2601A"/>
    <w:rsid w:val="00A261B3"/>
    <w:rsid w:val="00A27E8B"/>
    <w:rsid w:val="00A311CF"/>
    <w:rsid w:val="00A43EE9"/>
    <w:rsid w:val="00A442BF"/>
    <w:rsid w:val="00A44775"/>
    <w:rsid w:val="00A50BC1"/>
    <w:rsid w:val="00A517D0"/>
    <w:rsid w:val="00A51B96"/>
    <w:rsid w:val="00A53716"/>
    <w:rsid w:val="00A5629E"/>
    <w:rsid w:val="00A64832"/>
    <w:rsid w:val="00A710F1"/>
    <w:rsid w:val="00A732DB"/>
    <w:rsid w:val="00A75338"/>
    <w:rsid w:val="00A75B94"/>
    <w:rsid w:val="00A838D2"/>
    <w:rsid w:val="00A868A4"/>
    <w:rsid w:val="00A86F04"/>
    <w:rsid w:val="00A946C4"/>
    <w:rsid w:val="00A9509D"/>
    <w:rsid w:val="00AA478E"/>
    <w:rsid w:val="00AB137D"/>
    <w:rsid w:val="00AC01F8"/>
    <w:rsid w:val="00AC059A"/>
    <w:rsid w:val="00AC243A"/>
    <w:rsid w:val="00AC3BE3"/>
    <w:rsid w:val="00AC41CF"/>
    <w:rsid w:val="00AD013D"/>
    <w:rsid w:val="00AD0308"/>
    <w:rsid w:val="00AD25A8"/>
    <w:rsid w:val="00AD377A"/>
    <w:rsid w:val="00AD4494"/>
    <w:rsid w:val="00AD67BB"/>
    <w:rsid w:val="00AE1CC1"/>
    <w:rsid w:val="00AE3EA4"/>
    <w:rsid w:val="00AE51FE"/>
    <w:rsid w:val="00AF1B02"/>
    <w:rsid w:val="00AF41E4"/>
    <w:rsid w:val="00AF568A"/>
    <w:rsid w:val="00B05262"/>
    <w:rsid w:val="00B06A75"/>
    <w:rsid w:val="00B06BC3"/>
    <w:rsid w:val="00B15A0F"/>
    <w:rsid w:val="00B17FB2"/>
    <w:rsid w:val="00B20236"/>
    <w:rsid w:val="00B20937"/>
    <w:rsid w:val="00B220A0"/>
    <w:rsid w:val="00B22B64"/>
    <w:rsid w:val="00B22D72"/>
    <w:rsid w:val="00B22FEA"/>
    <w:rsid w:val="00B24321"/>
    <w:rsid w:val="00B30FEB"/>
    <w:rsid w:val="00B311BA"/>
    <w:rsid w:val="00B35B47"/>
    <w:rsid w:val="00B40AA3"/>
    <w:rsid w:val="00B43AF9"/>
    <w:rsid w:val="00B44478"/>
    <w:rsid w:val="00B4609C"/>
    <w:rsid w:val="00B508DA"/>
    <w:rsid w:val="00B538BA"/>
    <w:rsid w:val="00B6002C"/>
    <w:rsid w:val="00B620EE"/>
    <w:rsid w:val="00B63411"/>
    <w:rsid w:val="00B80FB4"/>
    <w:rsid w:val="00B85366"/>
    <w:rsid w:val="00B87F60"/>
    <w:rsid w:val="00B9079B"/>
    <w:rsid w:val="00B93B5E"/>
    <w:rsid w:val="00B93D3D"/>
    <w:rsid w:val="00B96341"/>
    <w:rsid w:val="00BA471F"/>
    <w:rsid w:val="00BB31CB"/>
    <w:rsid w:val="00BB5013"/>
    <w:rsid w:val="00BB528E"/>
    <w:rsid w:val="00BB615A"/>
    <w:rsid w:val="00BB78CD"/>
    <w:rsid w:val="00BC11EC"/>
    <w:rsid w:val="00BC2600"/>
    <w:rsid w:val="00BC36F0"/>
    <w:rsid w:val="00BC3E99"/>
    <w:rsid w:val="00BC4FA7"/>
    <w:rsid w:val="00BC5E30"/>
    <w:rsid w:val="00BD00ED"/>
    <w:rsid w:val="00BD02C5"/>
    <w:rsid w:val="00BD068D"/>
    <w:rsid w:val="00BE0D9A"/>
    <w:rsid w:val="00BE1A50"/>
    <w:rsid w:val="00BE2F0D"/>
    <w:rsid w:val="00BE56B4"/>
    <w:rsid w:val="00BE5E2E"/>
    <w:rsid w:val="00BF0BD5"/>
    <w:rsid w:val="00BF0D35"/>
    <w:rsid w:val="00BF55F8"/>
    <w:rsid w:val="00BF7E32"/>
    <w:rsid w:val="00C051FD"/>
    <w:rsid w:val="00C115F2"/>
    <w:rsid w:val="00C1744F"/>
    <w:rsid w:val="00C20C7D"/>
    <w:rsid w:val="00C20DEF"/>
    <w:rsid w:val="00C20FE3"/>
    <w:rsid w:val="00C24B25"/>
    <w:rsid w:val="00C24E89"/>
    <w:rsid w:val="00C2742A"/>
    <w:rsid w:val="00C32C2F"/>
    <w:rsid w:val="00C3738A"/>
    <w:rsid w:val="00C40859"/>
    <w:rsid w:val="00C41E80"/>
    <w:rsid w:val="00C4315A"/>
    <w:rsid w:val="00C43F5E"/>
    <w:rsid w:val="00C44074"/>
    <w:rsid w:val="00C45266"/>
    <w:rsid w:val="00C4651F"/>
    <w:rsid w:val="00C51D0B"/>
    <w:rsid w:val="00C52207"/>
    <w:rsid w:val="00C52A50"/>
    <w:rsid w:val="00C52BFE"/>
    <w:rsid w:val="00C642D4"/>
    <w:rsid w:val="00C66AF6"/>
    <w:rsid w:val="00C730F4"/>
    <w:rsid w:val="00C74311"/>
    <w:rsid w:val="00C7534D"/>
    <w:rsid w:val="00C80200"/>
    <w:rsid w:val="00C80E0A"/>
    <w:rsid w:val="00C8270B"/>
    <w:rsid w:val="00C841A9"/>
    <w:rsid w:val="00C8728F"/>
    <w:rsid w:val="00C91D48"/>
    <w:rsid w:val="00C97FBC"/>
    <w:rsid w:val="00CA06C8"/>
    <w:rsid w:val="00CA0B7E"/>
    <w:rsid w:val="00CA37B6"/>
    <w:rsid w:val="00CA4C28"/>
    <w:rsid w:val="00CA4E33"/>
    <w:rsid w:val="00CA5598"/>
    <w:rsid w:val="00CA5EF8"/>
    <w:rsid w:val="00CB03C2"/>
    <w:rsid w:val="00CB28A3"/>
    <w:rsid w:val="00CB73EC"/>
    <w:rsid w:val="00CC00A0"/>
    <w:rsid w:val="00CC0FED"/>
    <w:rsid w:val="00CC3C34"/>
    <w:rsid w:val="00CC5455"/>
    <w:rsid w:val="00CC6C06"/>
    <w:rsid w:val="00CD1526"/>
    <w:rsid w:val="00CD1546"/>
    <w:rsid w:val="00CD2807"/>
    <w:rsid w:val="00CD3005"/>
    <w:rsid w:val="00CD540A"/>
    <w:rsid w:val="00CD5509"/>
    <w:rsid w:val="00CE0215"/>
    <w:rsid w:val="00CE1EB0"/>
    <w:rsid w:val="00CE3DF2"/>
    <w:rsid w:val="00CF04D5"/>
    <w:rsid w:val="00CF0C0F"/>
    <w:rsid w:val="00CF1690"/>
    <w:rsid w:val="00CF1F2A"/>
    <w:rsid w:val="00CF5CE3"/>
    <w:rsid w:val="00CF7412"/>
    <w:rsid w:val="00D030F8"/>
    <w:rsid w:val="00D077B7"/>
    <w:rsid w:val="00D20297"/>
    <w:rsid w:val="00D21E43"/>
    <w:rsid w:val="00D21E6B"/>
    <w:rsid w:val="00D2336A"/>
    <w:rsid w:val="00D23634"/>
    <w:rsid w:val="00D34551"/>
    <w:rsid w:val="00D36D27"/>
    <w:rsid w:val="00D41664"/>
    <w:rsid w:val="00D43C70"/>
    <w:rsid w:val="00D4569D"/>
    <w:rsid w:val="00D457D6"/>
    <w:rsid w:val="00D525F2"/>
    <w:rsid w:val="00D55013"/>
    <w:rsid w:val="00D61990"/>
    <w:rsid w:val="00D64CE2"/>
    <w:rsid w:val="00D661D4"/>
    <w:rsid w:val="00D702E1"/>
    <w:rsid w:val="00D719B9"/>
    <w:rsid w:val="00D71C20"/>
    <w:rsid w:val="00D7270F"/>
    <w:rsid w:val="00D7596A"/>
    <w:rsid w:val="00D7751B"/>
    <w:rsid w:val="00D815DC"/>
    <w:rsid w:val="00D822B5"/>
    <w:rsid w:val="00D83267"/>
    <w:rsid w:val="00D8338B"/>
    <w:rsid w:val="00D83D3C"/>
    <w:rsid w:val="00D84451"/>
    <w:rsid w:val="00D867AE"/>
    <w:rsid w:val="00D87BBB"/>
    <w:rsid w:val="00D87C87"/>
    <w:rsid w:val="00D921C4"/>
    <w:rsid w:val="00D9296A"/>
    <w:rsid w:val="00D929B3"/>
    <w:rsid w:val="00D93C23"/>
    <w:rsid w:val="00D95638"/>
    <w:rsid w:val="00D9584C"/>
    <w:rsid w:val="00D969C7"/>
    <w:rsid w:val="00D97180"/>
    <w:rsid w:val="00D97C79"/>
    <w:rsid w:val="00DA14D9"/>
    <w:rsid w:val="00DB13AD"/>
    <w:rsid w:val="00DB23F9"/>
    <w:rsid w:val="00DB2BB4"/>
    <w:rsid w:val="00DB58BE"/>
    <w:rsid w:val="00DB602E"/>
    <w:rsid w:val="00DB6176"/>
    <w:rsid w:val="00DB6AA0"/>
    <w:rsid w:val="00DB7C3A"/>
    <w:rsid w:val="00DC474F"/>
    <w:rsid w:val="00DD14EE"/>
    <w:rsid w:val="00DD32AB"/>
    <w:rsid w:val="00DD5BF6"/>
    <w:rsid w:val="00DD64DC"/>
    <w:rsid w:val="00DE1865"/>
    <w:rsid w:val="00DE28A2"/>
    <w:rsid w:val="00DE4113"/>
    <w:rsid w:val="00DE6CEF"/>
    <w:rsid w:val="00DF0F20"/>
    <w:rsid w:val="00DF11C2"/>
    <w:rsid w:val="00DF2134"/>
    <w:rsid w:val="00DF4593"/>
    <w:rsid w:val="00DF64E0"/>
    <w:rsid w:val="00E10D05"/>
    <w:rsid w:val="00E16B53"/>
    <w:rsid w:val="00E2223E"/>
    <w:rsid w:val="00E22D98"/>
    <w:rsid w:val="00E24623"/>
    <w:rsid w:val="00E252E3"/>
    <w:rsid w:val="00E25B1B"/>
    <w:rsid w:val="00E35FD6"/>
    <w:rsid w:val="00E378A9"/>
    <w:rsid w:val="00E40505"/>
    <w:rsid w:val="00E42A41"/>
    <w:rsid w:val="00E45766"/>
    <w:rsid w:val="00E45AC5"/>
    <w:rsid w:val="00E5148A"/>
    <w:rsid w:val="00E567E5"/>
    <w:rsid w:val="00E64480"/>
    <w:rsid w:val="00E65807"/>
    <w:rsid w:val="00E66103"/>
    <w:rsid w:val="00E6708B"/>
    <w:rsid w:val="00E73A8C"/>
    <w:rsid w:val="00E75050"/>
    <w:rsid w:val="00E75D5E"/>
    <w:rsid w:val="00E76F42"/>
    <w:rsid w:val="00E77D6D"/>
    <w:rsid w:val="00E90469"/>
    <w:rsid w:val="00E915E6"/>
    <w:rsid w:val="00E92E4B"/>
    <w:rsid w:val="00E95518"/>
    <w:rsid w:val="00E95CE8"/>
    <w:rsid w:val="00EA012F"/>
    <w:rsid w:val="00EA3E11"/>
    <w:rsid w:val="00EA6EB3"/>
    <w:rsid w:val="00EB4A8E"/>
    <w:rsid w:val="00EB5EF3"/>
    <w:rsid w:val="00EB62F7"/>
    <w:rsid w:val="00EB664D"/>
    <w:rsid w:val="00EB695D"/>
    <w:rsid w:val="00EB7C6D"/>
    <w:rsid w:val="00EC38F3"/>
    <w:rsid w:val="00EC4241"/>
    <w:rsid w:val="00ED0404"/>
    <w:rsid w:val="00ED1407"/>
    <w:rsid w:val="00ED39CE"/>
    <w:rsid w:val="00ED4134"/>
    <w:rsid w:val="00ED7A9F"/>
    <w:rsid w:val="00EE05F1"/>
    <w:rsid w:val="00EE1B0F"/>
    <w:rsid w:val="00EE3226"/>
    <w:rsid w:val="00EE471A"/>
    <w:rsid w:val="00EE5492"/>
    <w:rsid w:val="00EE583A"/>
    <w:rsid w:val="00EF0A00"/>
    <w:rsid w:val="00EF7395"/>
    <w:rsid w:val="00F0183C"/>
    <w:rsid w:val="00F0379D"/>
    <w:rsid w:val="00F03C79"/>
    <w:rsid w:val="00F0678B"/>
    <w:rsid w:val="00F07BD5"/>
    <w:rsid w:val="00F07EAB"/>
    <w:rsid w:val="00F11403"/>
    <w:rsid w:val="00F122D6"/>
    <w:rsid w:val="00F147EA"/>
    <w:rsid w:val="00F15BF4"/>
    <w:rsid w:val="00F171E0"/>
    <w:rsid w:val="00F17940"/>
    <w:rsid w:val="00F17DC0"/>
    <w:rsid w:val="00F2046C"/>
    <w:rsid w:val="00F20647"/>
    <w:rsid w:val="00F207FC"/>
    <w:rsid w:val="00F20A1B"/>
    <w:rsid w:val="00F267BB"/>
    <w:rsid w:val="00F274DB"/>
    <w:rsid w:val="00F31392"/>
    <w:rsid w:val="00F348B5"/>
    <w:rsid w:val="00F3652B"/>
    <w:rsid w:val="00F36D95"/>
    <w:rsid w:val="00F377B9"/>
    <w:rsid w:val="00F44B74"/>
    <w:rsid w:val="00F45442"/>
    <w:rsid w:val="00F4789B"/>
    <w:rsid w:val="00F5145E"/>
    <w:rsid w:val="00F558EA"/>
    <w:rsid w:val="00F5681C"/>
    <w:rsid w:val="00F6045D"/>
    <w:rsid w:val="00F613CB"/>
    <w:rsid w:val="00F61F79"/>
    <w:rsid w:val="00F651DD"/>
    <w:rsid w:val="00F656A4"/>
    <w:rsid w:val="00F6665E"/>
    <w:rsid w:val="00F67656"/>
    <w:rsid w:val="00F7075F"/>
    <w:rsid w:val="00F71D76"/>
    <w:rsid w:val="00F7339A"/>
    <w:rsid w:val="00F823B6"/>
    <w:rsid w:val="00F8349F"/>
    <w:rsid w:val="00F83FB7"/>
    <w:rsid w:val="00F85935"/>
    <w:rsid w:val="00F85D29"/>
    <w:rsid w:val="00F93708"/>
    <w:rsid w:val="00F96361"/>
    <w:rsid w:val="00F969D3"/>
    <w:rsid w:val="00F9789E"/>
    <w:rsid w:val="00FA014E"/>
    <w:rsid w:val="00FA190E"/>
    <w:rsid w:val="00FA29DE"/>
    <w:rsid w:val="00FA54D8"/>
    <w:rsid w:val="00FB3DC0"/>
    <w:rsid w:val="00FB460E"/>
    <w:rsid w:val="00FC4FB7"/>
    <w:rsid w:val="00FC5F72"/>
    <w:rsid w:val="00FC65E5"/>
    <w:rsid w:val="00FC6998"/>
    <w:rsid w:val="00FD1EE0"/>
    <w:rsid w:val="00FD357B"/>
    <w:rsid w:val="00FD38FC"/>
    <w:rsid w:val="00FD6119"/>
    <w:rsid w:val="00FD688E"/>
    <w:rsid w:val="00FD7C0C"/>
    <w:rsid w:val="00FE00A4"/>
    <w:rsid w:val="00FE045C"/>
    <w:rsid w:val="00FE0C52"/>
    <w:rsid w:val="00FE1692"/>
    <w:rsid w:val="00FE3069"/>
    <w:rsid w:val="00FE3B13"/>
    <w:rsid w:val="00FF0566"/>
    <w:rsid w:val="00FF15F5"/>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uiPriority="2" w:qFormat="1"/>
    <w:lsdException w:name="heading 3" w:uiPriority="3" w:qFormat="1"/>
    <w:lsdException w:name="heading 4" w:qFormat="1"/>
    <w:lsdException w:name="heading 7" w:qFormat="1"/>
    <w:lsdException w:name="heading 8" w:uiPriority="31" w:qFormat="1"/>
    <w:lsdException w:name="heading 9" w:uiPriority="32"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uiPriority="13" w:qFormat="1"/>
    <w:lsdException w:name="table of figures" w:semiHidden="0" w:uiPriority="99" w:unhideWhenUsed="0"/>
    <w:lsdException w:name="List Bullet" w:uiPriority="7" w:qFormat="1"/>
    <w:lsdException w:name="List Number" w:qFormat="1"/>
    <w:lsdException w:name="List Bullet 2" w:uiPriority="8" w:qFormat="1"/>
    <w:lsdException w:name="List Bullet 3" w:uiPriority="9"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9B70E6"/>
    <w:pPr>
      <w:keepNext/>
      <w:keepLines/>
      <w:numPr>
        <w:numId w:val="10"/>
      </w:numPr>
      <w:tabs>
        <w:tab w:val="right" w:pos="1418"/>
        <w:tab w:val="right" w:pos="1701"/>
        <w:tab w:val="right" w:pos="1985"/>
      </w:tabs>
      <w:spacing w:before="360" w:after="180"/>
      <w:outlineLvl w:val="0"/>
    </w:pPr>
    <w:rPr>
      <w:rFonts w:ascii="Calibri" w:hAnsi="Calibri"/>
      <w:bCs/>
      <w:color w:val="2B3B5F" w:themeColor="text2"/>
      <w:spacing w:val="-6"/>
      <w:kern w:val="32"/>
      <w:sz w:val="30"/>
      <w:szCs w:val="32"/>
    </w:rPr>
  </w:style>
  <w:style w:type="paragraph" w:styleId="Heading2">
    <w:name w:val="heading 2"/>
    <w:basedOn w:val="Normal"/>
    <w:next w:val="BodyText"/>
    <w:link w:val="Heading2Char"/>
    <w:uiPriority w:val="2"/>
    <w:qFormat/>
    <w:rsid w:val="00A50BC1"/>
    <w:pPr>
      <w:keepNext/>
      <w:keepLines/>
      <w:numPr>
        <w:ilvl w:val="1"/>
        <w:numId w:val="10"/>
      </w:numPr>
      <w:tabs>
        <w:tab w:val="left" w:pos="1418"/>
        <w:tab w:val="left" w:pos="1701"/>
        <w:tab w:val="left" w:pos="1985"/>
      </w:tabs>
      <w:spacing w:before="240" w:after="120"/>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10074"/>
    <w:pPr>
      <w:keepNext/>
      <w:keepLines/>
      <w:numPr>
        <w:numId w:val="1"/>
      </w:numPr>
      <w:tabs>
        <w:tab w:val="left" w:pos="4536"/>
      </w:tabs>
      <w:spacing w:after="240"/>
      <w:outlineLvl w:val="7"/>
    </w:pPr>
    <w:rPr>
      <w:rFonts w:ascii="Calibri" w:eastAsiaTheme="majorEastAsia" w:hAnsi="Calibri" w:cstheme="majorBidi"/>
      <w:color w:val="2B3B5F" w:themeColor="text2"/>
      <w:sz w:val="30"/>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9B70E6"/>
    <w:pPr>
      <w:spacing w:before="120" w:after="120"/>
    </w:pPr>
    <w:rPr>
      <w:rFonts w:cs="Times New Roman"/>
      <w:spacing w:val="-1"/>
    </w:rPr>
  </w:style>
  <w:style w:type="character" w:customStyle="1" w:styleId="BodyTextChar">
    <w:name w:val="Body Text Char"/>
    <w:basedOn w:val="DefaultParagraphFont"/>
    <w:link w:val="BodyText"/>
    <w:uiPriority w:val="5"/>
    <w:rsid w:val="009B70E6"/>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9B70E6"/>
    <w:rPr>
      <w:rFonts w:ascii="Calibri" w:hAnsi="Calibri"/>
      <w:bCs/>
      <w:color w:val="2B3B5F" w:themeColor="text2"/>
      <w:spacing w:val="-6"/>
      <w:kern w:val="32"/>
      <w:sz w:val="30"/>
      <w:szCs w:val="32"/>
    </w:rPr>
  </w:style>
  <w:style w:type="character" w:customStyle="1" w:styleId="Heading2Char">
    <w:name w:val="Heading 2 Char"/>
    <w:basedOn w:val="DefaultParagraphFont"/>
    <w:link w:val="Heading2"/>
    <w:uiPriority w:val="2"/>
    <w:rsid w:val="00A50BC1"/>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210074"/>
    <w:rPr>
      <w:rFonts w:ascii="Calibri" w:eastAsiaTheme="majorEastAsia" w:hAnsi="Calibri" w:cstheme="majorBidi"/>
      <w:color w:val="2B3B5F" w:themeColor="text2"/>
      <w:sz w:val="30"/>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ttachmentHeading3">
    <w:name w:val="Attachment Heading 3"/>
    <w:basedOn w:val="Normal"/>
    <w:next w:val="BodyText"/>
    <w:uiPriority w:val="34"/>
    <w:qForma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916F37"/>
    <w:pPr>
      <w:keepNext/>
      <w:keepLines/>
      <w:spacing w:before="360" w:after="120"/>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5467E2"/>
    <w:pPr>
      <w:keepLines/>
      <w:numPr>
        <w:numId w:val="2"/>
      </w:numPr>
      <w:spacing w:before="120" w:after="120"/>
      <w:ind w:left="284" w:hanging="284"/>
    </w:pPr>
    <w:rPr>
      <w:spacing w:val="-1"/>
    </w:rPr>
  </w:style>
  <w:style w:type="paragraph" w:styleId="ListBullet2">
    <w:name w:val="List Bullet 2"/>
    <w:basedOn w:val="ListBullet"/>
    <w:uiPriority w:val="8"/>
    <w:qFormat/>
    <w:rsid w:val="00857C91"/>
    <w:pPr>
      <w:numPr>
        <w:ilvl w:val="1"/>
      </w:numPr>
      <w:tabs>
        <w:tab w:val="clear" w:pos="907"/>
        <w:tab w:val="num" w:pos="567"/>
      </w:tabs>
      <w:ind w:left="567" w:hanging="283"/>
    </w:pPr>
  </w:style>
  <w:style w:type="paragraph" w:styleId="ListBullet3">
    <w:name w:val="List Bullet 3"/>
    <w:basedOn w:val="ListBullet2"/>
    <w:uiPriority w:val="9"/>
    <w:qFormat/>
    <w:rsid w:val="00857C91"/>
    <w:pPr>
      <w:numPr>
        <w:ilvl w:val="2"/>
      </w:numPr>
      <w:tabs>
        <w:tab w:val="clear" w:pos="1361"/>
        <w:tab w:val="num" w:pos="851"/>
      </w:tabs>
      <w:ind w:left="851" w:hanging="284"/>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link w:val="PullOutBoxBodyTextChar"/>
    <w:uiPriority w:val="24"/>
    <w:rsid w:val="00476133"/>
    <w:pPr>
      <w:spacing w:before="120" w:after="120"/>
      <w:ind w:left="57" w:right="57"/>
    </w:pPr>
    <w:rPr>
      <w:spacing w:val="-1"/>
    </w:rPr>
  </w:style>
  <w:style w:type="paragraph" w:customStyle="1" w:styleId="PullOutBoxBullet">
    <w:name w:val="Pull Out Box Bullet"/>
    <w:basedOn w:val="PullOutBoxBodyText"/>
    <w:uiPriority w:val="25"/>
    <w:rsid w:val="00476133"/>
    <w:pPr>
      <w:numPr>
        <w:numId w:val="4"/>
      </w:numPr>
      <w:ind w:left="397"/>
    </w:pPr>
  </w:style>
  <w:style w:type="paragraph" w:customStyle="1" w:styleId="PullOutBoxBullet2">
    <w:name w:val="Pull Out Box Bullet 2"/>
    <w:basedOn w:val="PullOutBoxBodyText"/>
    <w:uiPriority w:val="26"/>
    <w:rsid w:val="008112CC"/>
    <w:pPr>
      <w:numPr>
        <w:ilvl w:val="1"/>
        <w:numId w:val="4"/>
      </w:numPr>
      <w:ind w:left="737"/>
    </w:pPr>
  </w:style>
  <w:style w:type="paragraph" w:customStyle="1" w:styleId="PullOutBoxBullet3">
    <w:name w:val="Pull Out Box Bullet 3"/>
    <w:basedOn w:val="PullOutBoxBodyText"/>
    <w:uiPriority w:val="27"/>
    <w:rsid w:val="00476133"/>
    <w:pPr>
      <w:numPr>
        <w:ilvl w:val="2"/>
        <w:numId w:val="4"/>
      </w:numPr>
      <w:ind w:left="1077"/>
    </w:pPr>
  </w:style>
  <w:style w:type="paragraph" w:customStyle="1" w:styleId="PullOutBoxHeading">
    <w:name w:val="Pull Out Box Heading"/>
    <w:basedOn w:val="PullOutBoxBodyText"/>
    <w:link w:val="PullOutBoxHeadingChar"/>
    <w:uiPriority w:val="23"/>
    <w:rsid w:val="00476133"/>
    <w:pPr>
      <w:keepNext/>
      <w:keepLines/>
    </w:pPr>
    <w:rPr>
      <w:b/>
    </w:rPr>
  </w:style>
  <w:style w:type="paragraph" w:customStyle="1" w:styleId="PullOutBoxNumber">
    <w:name w:val="Pull Out Box Number"/>
    <w:basedOn w:val="PullOutBoxBodyText"/>
    <w:uiPriority w:val="28"/>
    <w:rsid w:val="00476133"/>
    <w:pPr>
      <w:numPr>
        <w:numId w:val="5"/>
      </w:numPr>
      <w:ind w:left="397"/>
    </w:pPr>
  </w:style>
  <w:style w:type="paragraph" w:customStyle="1" w:styleId="PullOutBoxNumber2">
    <w:name w:val="Pull Out Box Number 2"/>
    <w:basedOn w:val="PullOutBoxBodyText"/>
    <w:uiPriority w:val="29"/>
    <w:rsid w:val="008112CC"/>
    <w:pPr>
      <w:numPr>
        <w:ilvl w:val="1"/>
        <w:numId w:val="5"/>
      </w:numPr>
      <w:ind w:left="737"/>
    </w:pPr>
  </w:style>
  <w:style w:type="paragraph" w:customStyle="1" w:styleId="PullOutBoxNumber3">
    <w:name w:val="Pull Out Box Number 3"/>
    <w:basedOn w:val="PullOutBoxBodyText"/>
    <w:uiPriority w:val="30"/>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9B70E6"/>
    <w:pPr>
      <w:keepLines/>
      <w:numPr>
        <w:numId w:val="7"/>
      </w:numPr>
      <w:spacing w:line="260" w:lineRule="atLeast"/>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Calibri" w:hAnsi="Calibri"/>
      <w:bCs/>
      <w:color w:val="2B3B5F" w:themeColor="text2"/>
      <w:spacing w:val="-6"/>
      <w:kern w:val="32"/>
      <w:sz w:val="30"/>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 w:type="paragraph" w:styleId="ListParagraph">
    <w:name w:val="List Paragraph"/>
    <w:basedOn w:val="Normal"/>
    <w:uiPriority w:val="34"/>
    <w:qFormat/>
    <w:rsid w:val="001C7F8D"/>
    <w:pPr>
      <w:ind w:left="720"/>
      <w:contextualSpacing/>
    </w:pPr>
  </w:style>
  <w:style w:type="paragraph" w:customStyle="1" w:styleId="Nameofproposal">
    <w:name w:val="Name of proposal"/>
    <w:basedOn w:val="PullOutBoxHeading"/>
    <w:link w:val="NameofproposalChar"/>
    <w:uiPriority w:val="39"/>
    <w:qFormat/>
    <w:rsid w:val="00210074"/>
    <w:pPr>
      <w:keepNext w:val="0"/>
      <w:keepLines w:val="0"/>
      <w:widowControl w:val="0"/>
      <w:spacing w:line="240" w:lineRule="auto"/>
      <w:ind w:left="0" w:right="0"/>
    </w:pPr>
    <w:rPr>
      <w:rFonts w:ascii="Calibri" w:hAnsi="Calibri"/>
    </w:rPr>
  </w:style>
  <w:style w:type="character" w:customStyle="1" w:styleId="PullOutBoxBodyTextChar">
    <w:name w:val="Pull Out Box Body Text Char"/>
    <w:basedOn w:val="DefaultParagraphFont"/>
    <w:link w:val="PullOutBoxBodyText"/>
    <w:uiPriority w:val="24"/>
    <w:rsid w:val="00210074"/>
    <w:rPr>
      <w:spacing w:val="-1"/>
    </w:rPr>
  </w:style>
  <w:style w:type="character" w:customStyle="1" w:styleId="PullOutBoxHeadingChar">
    <w:name w:val="Pull Out Box Heading Char"/>
    <w:basedOn w:val="PullOutBoxBodyTextChar"/>
    <w:link w:val="PullOutBoxHeading"/>
    <w:uiPriority w:val="23"/>
    <w:rsid w:val="00210074"/>
    <w:rPr>
      <w:b/>
      <w:spacing w:val="-1"/>
    </w:rPr>
  </w:style>
  <w:style w:type="character" w:customStyle="1" w:styleId="NameofproposalChar">
    <w:name w:val="Name of proposal Char"/>
    <w:basedOn w:val="PullOutBoxHeadingChar"/>
    <w:link w:val="Nameofproposal"/>
    <w:uiPriority w:val="39"/>
    <w:rsid w:val="00210074"/>
    <w:rPr>
      <w:rFonts w:ascii="Calibri" w:hAnsi="Calibri"/>
      <w:b/>
      <w:spacing w:val="-1"/>
    </w:rPr>
  </w:style>
  <w:style w:type="paragraph" w:styleId="Revision">
    <w:name w:val="Revision"/>
    <w:hidden/>
    <w:uiPriority w:val="99"/>
    <w:semiHidden/>
    <w:rsid w:val="00EE3226"/>
    <w:pPr>
      <w:spacing w:line="240" w:lineRule="auto"/>
    </w:pPr>
  </w:style>
  <w:style w:type="paragraph" w:customStyle="1" w:styleId="Letterbullet">
    <w:name w:val="Letter bullet"/>
    <w:basedOn w:val="Lettertext"/>
    <w:uiPriority w:val="1"/>
    <w:qFormat/>
    <w:rsid w:val="009D7EE0"/>
    <w:pPr>
      <w:numPr>
        <w:numId w:val="37"/>
      </w:numPr>
      <w:ind w:left="284" w:hanging="284"/>
    </w:pPr>
    <w:rPr>
      <w:rFonts w:asciiTheme="minorHAnsi" w:hAnsiTheme="minorHAnsi"/>
    </w:rPr>
  </w:style>
  <w:style w:type="paragraph" w:customStyle="1" w:styleId="Footnotes">
    <w:name w:val="Footnotes"/>
    <w:basedOn w:val="FootnoteText"/>
    <w:link w:val="FootnotesChar"/>
    <w:uiPriority w:val="39"/>
    <w:qFormat/>
    <w:rsid w:val="00EE1B0F"/>
    <w:pPr>
      <w:ind w:left="113" w:hanging="113"/>
    </w:pPr>
  </w:style>
  <w:style w:type="character" w:customStyle="1" w:styleId="FootnotesChar">
    <w:name w:val="Footnotes Char"/>
    <w:basedOn w:val="FootnoteTextChar"/>
    <w:link w:val="Footnotes"/>
    <w:uiPriority w:val="39"/>
    <w:rsid w:val="00EE1B0F"/>
    <w:rPr>
      <w:kern w:val="16"/>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uiPriority="2" w:qFormat="1"/>
    <w:lsdException w:name="heading 3" w:uiPriority="3" w:qFormat="1"/>
    <w:lsdException w:name="heading 4" w:qFormat="1"/>
    <w:lsdException w:name="heading 7" w:qFormat="1"/>
    <w:lsdException w:name="heading 8" w:uiPriority="31" w:qFormat="1"/>
    <w:lsdException w:name="heading 9" w:uiPriority="32"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uiPriority="13" w:qFormat="1"/>
    <w:lsdException w:name="table of figures" w:semiHidden="0" w:uiPriority="99" w:unhideWhenUsed="0"/>
    <w:lsdException w:name="List Bullet" w:uiPriority="7" w:qFormat="1"/>
    <w:lsdException w:name="List Number" w:qFormat="1"/>
    <w:lsdException w:name="List Bullet 2" w:uiPriority="8" w:qFormat="1"/>
    <w:lsdException w:name="List Bullet 3" w:uiPriority="9"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9B70E6"/>
    <w:pPr>
      <w:keepNext/>
      <w:keepLines/>
      <w:numPr>
        <w:numId w:val="10"/>
      </w:numPr>
      <w:tabs>
        <w:tab w:val="right" w:pos="1418"/>
        <w:tab w:val="right" w:pos="1701"/>
        <w:tab w:val="right" w:pos="1985"/>
      </w:tabs>
      <w:spacing w:before="360" w:after="180"/>
      <w:outlineLvl w:val="0"/>
    </w:pPr>
    <w:rPr>
      <w:rFonts w:ascii="Calibri" w:hAnsi="Calibri"/>
      <w:bCs/>
      <w:color w:val="2B3B5F" w:themeColor="text2"/>
      <w:spacing w:val="-6"/>
      <w:kern w:val="32"/>
      <w:sz w:val="30"/>
      <w:szCs w:val="32"/>
    </w:rPr>
  </w:style>
  <w:style w:type="paragraph" w:styleId="Heading2">
    <w:name w:val="heading 2"/>
    <w:basedOn w:val="Normal"/>
    <w:next w:val="BodyText"/>
    <w:link w:val="Heading2Char"/>
    <w:uiPriority w:val="2"/>
    <w:qFormat/>
    <w:rsid w:val="00A50BC1"/>
    <w:pPr>
      <w:keepNext/>
      <w:keepLines/>
      <w:numPr>
        <w:ilvl w:val="1"/>
        <w:numId w:val="10"/>
      </w:numPr>
      <w:tabs>
        <w:tab w:val="left" w:pos="1418"/>
        <w:tab w:val="left" w:pos="1701"/>
        <w:tab w:val="left" w:pos="1985"/>
      </w:tabs>
      <w:spacing w:before="240" w:after="120"/>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10074"/>
    <w:pPr>
      <w:keepNext/>
      <w:keepLines/>
      <w:numPr>
        <w:numId w:val="1"/>
      </w:numPr>
      <w:tabs>
        <w:tab w:val="left" w:pos="4536"/>
      </w:tabs>
      <w:spacing w:after="240"/>
      <w:outlineLvl w:val="7"/>
    </w:pPr>
    <w:rPr>
      <w:rFonts w:ascii="Calibri" w:eastAsiaTheme="majorEastAsia" w:hAnsi="Calibri" w:cstheme="majorBidi"/>
      <w:color w:val="2B3B5F" w:themeColor="text2"/>
      <w:sz w:val="30"/>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9B70E6"/>
    <w:pPr>
      <w:spacing w:before="120" w:after="120"/>
    </w:pPr>
    <w:rPr>
      <w:rFonts w:cs="Times New Roman"/>
      <w:spacing w:val="-1"/>
    </w:rPr>
  </w:style>
  <w:style w:type="character" w:customStyle="1" w:styleId="BodyTextChar">
    <w:name w:val="Body Text Char"/>
    <w:basedOn w:val="DefaultParagraphFont"/>
    <w:link w:val="BodyText"/>
    <w:uiPriority w:val="5"/>
    <w:rsid w:val="009B70E6"/>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9B70E6"/>
    <w:rPr>
      <w:rFonts w:ascii="Calibri" w:hAnsi="Calibri"/>
      <w:bCs/>
      <w:color w:val="2B3B5F" w:themeColor="text2"/>
      <w:spacing w:val="-6"/>
      <w:kern w:val="32"/>
      <w:sz w:val="30"/>
      <w:szCs w:val="32"/>
    </w:rPr>
  </w:style>
  <w:style w:type="character" w:customStyle="1" w:styleId="Heading2Char">
    <w:name w:val="Heading 2 Char"/>
    <w:basedOn w:val="DefaultParagraphFont"/>
    <w:link w:val="Heading2"/>
    <w:uiPriority w:val="2"/>
    <w:rsid w:val="00A50BC1"/>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210074"/>
    <w:rPr>
      <w:rFonts w:ascii="Calibri" w:eastAsiaTheme="majorEastAsia" w:hAnsi="Calibri" w:cstheme="majorBidi"/>
      <w:color w:val="2B3B5F" w:themeColor="text2"/>
      <w:sz w:val="30"/>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ttachmentHeading3">
    <w:name w:val="Attachment Heading 3"/>
    <w:basedOn w:val="Normal"/>
    <w:next w:val="BodyText"/>
    <w:uiPriority w:val="34"/>
    <w:qForma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916F37"/>
    <w:pPr>
      <w:keepNext/>
      <w:keepLines/>
      <w:spacing w:before="360" w:after="120"/>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5467E2"/>
    <w:pPr>
      <w:keepLines/>
      <w:numPr>
        <w:numId w:val="2"/>
      </w:numPr>
      <w:spacing w:before="120" w:after="120"/>
      <w:ind w:left="284" w:hanging="284"/>
    </w:pPr>
    <w:rPr>
      <w:spacing w:val="-1"/>
    </w:rPr>
  </w:style>
  <w:style w:type="paragraph" w:styleId="ListBullet2">
    <w:name w:val="List Bullet 2"/>
    <w:basedOn w:val="ListBullet"/>
    <w:uiPriority w:val="8"/>
    <w:qFormat/>
    <w:rsid w:val="00857C91"/>
    <w:pPr>
      <w:numPr>
        <w:ilvl w:val="1"/>
      </w:numPr>
      <w:tabs>
        <w:tab w:val="clear" w:pos="907"/>
        <w:tab w:val="num" w:pos="567"/>
      </w:tabs>
      <w:ind w:left="567" w:hanging="283"/>
    </w:pPr>
  </w:style>
  <w:style w:type="paragraph" w:styleId="ListBullet3">
    <w:name w:val="List Bullet 3"/>
    <w:basedOn w:val="ListBullet2"/>
    <w:uiPriority w:val="9"/>
    <w:qFormat/>
    <w:rsid w:val="00857C91"/>
    <w:pPr>
      <w:numPr>
        <w:ilvl w:val="2"/>
      </w:numPr>
      <w:tabs>
        <w:tab w:val="clear" w:pos="1361"/>
        <w:tab w:val="num" w:pos="851"/>
      </w:tabs>
      <w:ind w:left="851" w:hanging="284"/>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link w:val="PullOutBoxBodyTextChar"/>
    <w:uiPriority w:val="24"/>
    <w:rsid w:val="00476133"/>
    <w:pPr>
      <w:spacing w:before="120" w:after="120"/>
      <w:ind w:left="57" w:right="57"/>
    </w:pPr>
    <w:rPr>
      <w:spacing w:val="-1"/>
    </w:rPr>
  </w:style>
  <w:style w:type="paragraph" w:customStyle="1" w:styleId="PullOutBoxBullet">
    <w:name w:val="Pull Out Box Bullet"/>
    <w:basedOn w:val="PullOutBoxBodyText"/>
    <w:uiPriority w:val="25"/>
    <w:rsid w:val="00476133"/>
    <w:pPr>
      <w:numPr>
        <w:numId w:val="4"/>
      </w:numPr>
      <w:ind w:left="397"/>
    </w:pPr>
  </w:style>
  <w:style w:type="paragraph" w:customStyle="1" w:styleId="PullOutBoxBullet2">
    <w:name w:val="Pull Out Box Bullet 2"/>
    <w:basedOn w:val="PullOutBoxBodyText"/>
    <w:uiPriority w:val="26"/>
    <w:rsid w:val="008112CC"/>
    <w:pPr>
      <w:numPr>
        <w:ilvl w:val="1"/>
        <w:numId w:val="4"/>
      </w:numPr>
      <w:ind w:left="737"/>
    </w:pPr>
  </w:style>
  <w:style w:type="paragraph" w:customStyle="1" w:styleId="PullOutBoxBullet3">
    <w:name w:val="Pull Out Box Bullet 3"/>
    <w:basedOn w:val="PullOutBoxBodyText"/>
    <w:uiPriority w:val="27"/>
    <w:rsid w:val="00476133"/>
    <w:pPr>
      <w:numPr>
        <w:ilvl w:val="2"/>
        <w:numId w:val="4"/>
      </w:numPr>
      <w:ind w:left="1077"/>
    </w:pPr>
  </w:style>
  <w:style w:type="paragraph" w:customStyle="1" w:styleId="PullOutBoxHeading">
    <w:name w:val="Pull Out Box Heading"/>
    <w:basedOn w:val="PullOutBoxBodyText"/>
    <w:link w:val="PullOutBoxHeadingChar"/>
    <w:uiPriority w:val="23"/>
    <w:rsid w:val="00476133"/>
    <w:pPr>
      <w:keepNext/>
      <w:keepLines/>
    </w:pPr>
    <w:rPr>
      <w:b/>
    </w:rPr>
  </w:style>
  <w:style w:type="paragraph" w:customStyle="1" w:styleId="PullOutBoxNumber">
    <w:name w:val="Pull Out Box Number"/>
    <w:basedOn w:val="PullOutBoxBodyText"/>
    <w:uiPriority w:val="28"/>
    <w:rsid w:val="00476133"/>
    <w:pPr>
      <w:numPr>
        <w:numId w:val="5"/>
      </w:numPr>
      <w:ind w:left="397"/>
    </w:pPr>
  </w:style>
  <w:style w:type="paragraph" w:customStyle="1" w:styleId="PullOutBoxNumber2">
    <w:name w:val="Pull Out Box Number 2"/>
    <w:basedOn w:val="PullOutBoxBodyText"/>
    <w:uiPriority w:val="29"/>
    <w:rsid w:val="008112CC"/>
    <w:pPr>
      <w:numPr>
        <w:ilvl w:val="1"/>
        <w:numId w:val="5"/>
      </w:numPr>
      <w:ind w:left="737"/>
    </w:pPr>
  </w:style>
  <w:style w:type="paragraph" w:customStyle="1" w:styleId="PullOutBoxNumber3">
    <w:name w:val="Pull Out Box Number 3"/>
    <w:basedOn w:val="PullOutBoxBodyText"/>
    <w:uiPriority w:val="30"/>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9B70E6"/>
    <w:pPr>
      <w:keepLines/>
      <w:numPr>
        <w:numId w:val="7"/>
      </w:numPr>
      <w:spacing w:line="260" w:lineRule="atLeast"/>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Calibri" w:hAnsi="Calibri"/>
      <w:bCs/>
      <w:color w:val="2B3B5F" w:themeColor="text2"/>
      <w:spacing w:val="-6"/>
      <w:kern w:val="32"/>
      <w:sz w:val="30"/>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 w:type="paragraph" w:styleId="ListParagraph">
    <w:name w:val="List Paragraph"/>
    <w:basedOn w:val="Normal"/>
    <w:uiPriority w:val="34"/>
    <w:qFormat/>
    <w:rsid w:val="001C7F8D"/>
    <w:pPr>
      <w:ind w:left="720"/>
      <w:contextualSpacing/>
    </w:pPr>
  </w:style>
  <w:style w:type="paragraph" w:customStyle="1" w:styleId="Nameofproposal">
    <w:name w:val="Name of proposal"/>
    <w:basedOn w:val="PullOutBoxHeading"/>
    <w:link w:val="NameofproposalChar"/>
    <w:uiPriority w:val="39"/>
    <w:qFormat/>
    <w:rsid w:val="00210074"/>
    <w:pPr>
      <w:keepNext w:val="0"/>
      <w:keepLines w:val="0"/>
      <w:widowControl w:val="0"/>
      <w:spacing w:line="240" w:lineRule="auto"/>
      <w:ind w:left="0" w:right="0"/>
    </w:pPr>
    <w:rPr>
      <w:rFonts w:ascii="Calibri" w:hAnsi="Calibri"/>
    </w:rPr>
  </w:style>
  <w:style w:type="character" w:customStyle="1" w:styleId="PullOutBoxBodyTextChar">
    <w:name w:val="Pull Out Box Body Text Char"/>
    <w:basedOn w:val="DefaultParagraphFont"/>
    <w:link w:val="PullOutBoxBodyText"/>
    <w:uiPriority w:val="24"/>
    <w:rsid w:val="00210074"/>
    <w:rPr>
      <w:spacing w:val="-1"/>
    </w:rPr>
  </w:style>
  <w:style w:type="character" w:customStyle="1" w:styleId="PullOutBoxHeadingChar">
    <w:name w:val="Pull Out Box Heading Char"/>
    <w:basedOn w:val="PullOutBoxBodyTextChar"/>
    <w:link w:val="PullOutBoxHeading"/>
    <w:uiPriority w:val="23"/>
    <w:rsid w:val="00210074"/>
    <w:rPr>
      <w:b/>
      <w:spacing w:val="-1"/>
    </w:rPr>
  </w:style>
  <w:style w:type="character" w:customStyle="1" w:styleId="NameofproposalChar">
    <w:name w:val="Name of proposal Char"/>
    <w:basedOn w:val="PullOutBoxHeadingChar"/>
    <w:link w:val="Nameofproposal"/>
    <w:uiPriority w:val="39"/>
    <w:rsid w:val="00210074"/>
    <w:rPr>
      <w:rFonts w:ascii="Calibri" w:hAnsi="Calibri"/>
      <w:b/>
      <w:spacing w:val="-1"/>
    </w:rPr>
  </w:style>
  <w:style w:type="paragraph" w:styleId="Revision">
    <w:name w:val="Revision"/>
    <w:hidden/>
    <w:uiPriority w:val="99"/>
    <w:semiHidden/>
    <w:rsid w:val="00EE3226"/>
    <w:pPr>
      <w:spacing w:line="240" w:lineRule="auto"/>
    </w:pPr>
  </w:style>
  <w:style w:type="paragraph" w:customStyle="1" w:styleId="Letterbullet">
    <w:name w:val="Letter bullet"/>
    <w:basedOn w:val="Lettertext"/>
    <w:uiPriority w:val="1"/>
    <w:qFormat/>
    <w:rsid w:val="009D7EE0"/>
    <w:pPr>
      <w:numPr>
        <w:numId w:val="37"/>
      </w:numPr>
      <w:ind w:left="284" w:hanging="284"/>
    </w:pPr>
    <w:rPr>
      <w:rFonts w:asciiTheme="minorHAnsi" w:hAnsiTheme="minorHAnsi"/>
    </w:rPr>
  </w:style>
  <w:style w:type="paragraph" w:customStyle="1" w:styleId="Footnotes">
    <w:name w:val="Footnotes"/>
    <w:basedOn w:val="FootnoteText"/>
    <w:link w:val="FootnotesChar"/>
    <w:uiPriority w:val="39"/>
    <w:qFormat/>
    <w:rsid w:val="00EE1B0F"/>
    <w:pPr>
      <w:ind w:left="113" w:hanging="113"/>
    </w:pPr>
  </w:style>
  <w:style w:type="character" w:customStyle="1" w:styleId="FootnotesChar">
    <w:name w:val="Footnotes Char"/>
    <w:basedOn w:val="FootnoteTextChar"/>
    <w:link w:val="Footnotes"/>
    <w:uiPriority w:val="39"/>
    <w:rsid w:val="00EE1B0F"/>
    <w:rPr>
      <w:kern w:val="1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3345">
      <w:bodyDiv w:val="1"/>
      <w:marLeft w:val="0"/>
      <w:marRight w:val="0"/>
      <w:marTop w:val="0"/>
      <w:marBottom w:val="0"/>
      <w:divBdr>
        <w:top w:val="none" w:sz="0" w:space="0" w:color="auto"/>
        <w:left w:val="none" w:sz="0" w:space="0" w:color="auto"/>
        <w:bottom w:val="none" w:sz="0" w:space="0" w:color="auto"/>
        <w:right w:val="none" w:sz="0" w:space="0" w:color="auto"/>
      </w:divBdr>
    </w:div>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511652859">
      <w:bodyDiv w:val="1"/>
      <w:marLeft w:val="0"/>
      <w:marRight w:val="0"/>
      <w:marTop w:val="0"/>
      <w:marBottom w:val="0"/>
      <w:divBdr>
        <w:top w:val="none" w:sz="0" w:space="0" w:color="auto"/>
        <w:left w:val="none" w:sz="0" w:space="0" w:color="auto"/>
        <w:bottom w:val="none" w:sz="0" w:space="0" w:color="auto"/>
        <w:right w:val="none" w:sz="0" w:space="0" w:color="auto"/>
      </w:divBdr>
    </w:div>
    <w:div w:id="1382709790">
      <w:bodyDiv w:val="1"/>
      <w:marLeft w:val="0"/>
      <w:marRight w:val="0"/>
      <w:marTop w:val="0"/>
      <w:marBottom w:val="0"/>
      <w:divBdr>
        <w:top w:val="none" w:sz="0" w:space="0" w:color="auto"/>
        <w:left w:val="none" w:sz="0" w:space="0" w:color="auto"/>
        <w:bottom w:val="none" w:sz="0" w:space="0" w:color="auto"/>
        <w:right w:val="none" w:sz="0" w:space="0" w:color="auto"/>
      </w:divBdr>
    </w:div>
    <w:div w:id="2038390299">
      <w:bodyDiv w:val="1"/>
      <w:marLeft w:val="0"/>
      <w:marRight w:val="0"/>
      <w:marTop w:val="0"/>
      <w:marBottom w:val="0"/>
      <w:divBdr>
        <w:top w:val="none" w:sz="0" w:space="0" w:color="auto"/>
        <w:left w:val="none" w:sz="0" w:space="0" w:color="auto"/>
        <w:bottom w:val="none" w:sz="0" w:space="0" w:color="auto"/>
        <w:right w:val="none" w:sz="0" w:space="0" w:color="auto"/>
      </w:divBdr>
    </w:div>
    <w:div w:id="204243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eminister.gov.au/media-release/2018/08/22/labor-abandons-australian-businesses-and-work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3852A5441A143B093FCDFA0FDA1E2CE"/>
        <w:category>
          <w:name w:val="General"/>
          <w:gallery w:val="placeholder"/>
        </w:category>
        <w:types>
          <w:type w:val="bbPlcHdr"/>
        </w:types>
        <w:behaviors>
          <w:behavior w:val="content"/>
        </w:behaviors>
        <w:guid w:val="{FE6A3B85-9D8E-4C50-8325-90B5FD716054}"/>
      </w:docPartPr>
      <w:docPartBody>
        <w:p w:rsidR="00447B61" w:rsidRDefault="00447B61">
          <w:pPr>
            <w:pStyle w:val="63852A5441A143B093FCDFA0FDA1E2CE"/>
          </w:pPr>
          <w:r w:rsidRPr="0092533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B61"/>
    <w:rsid w:val="000B50D7"/>
    <w:rsid w:val="002F5635"/>
    <w:rsid w:val="003627F8"/>
    <w:rsid w:val="00436924"/>
    <w:rsid w:val="00447B61"/>
    <w:rsid w:val="00674DE9"/>
    <w:rsid w:val="008B01E9"/>
    <w:rsid w:val="009D2EE8"/>
    <w:rsid w:val="00A8622E"/>
    <w:rsid w:val="00A8746B"/>
    <w:rsid w:val="00BA20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9"/>
    <w:rPr>
      <w:color w:val="808080"/>
    </w:rPr>
  </w:style>
  <w:style w:type="paragraph" w:customStyle="1" w:styleId="5FF61EFDC96A40C095BF2819DE412CB1">
    <w:name w:val="5FF61EFDC96A40C095BF2819DE412CB1"/>
  </w:style>
  <w:style w:type="paragraph" w:customStyle="1" w:styleId="B39A6A2205A543FD82A46C60E60569F0">
    <w:name w:val="B39A6A2205A543FD82A46C60E60569F0"/>
  </w:style>
  <w:style w:type="paragraph" w:customStyle="1" w:styleId="9FB1B71B76C14B9F878B3D33EC7B9604">
    <w:name w:val="9FB1B71B76C14B9F878B3D33EC7B9604"/>
  </w:style>
  <w:style w:type="paragraph" w:customStyle="1" w:styleId="412BC0315D8E4C558F9A216E9B218253">
    <w:name w:val="412BC0315D8E4C558F9A216E9B218253"/>
  </w:style>
  <w:style w:type="paragraph" w:customStyle="1" w:styleId="61FC0F472BAC4200876816755496B9BC">
    <w:name w:val="61FC0F472BAC4200876816755496B9BC"/>
  </w:style>
  <w:style w:type="paragraph" w:customStyle="1" w:styleId="2B3F5D8514F3420991A1923096754B8E">
    <w:name w:val="2B3F5D8514F3420991A1923096754B8E"/>
  </w:style>
  <w:style w:type="paragraph" w:customStyle="1" w:styleId="90B9255613AD4B418CF2ED9F6282073F">
    <w:name w:val="90B9255613AD4B418CF2ED9F6282073F"/>
  </w:style>
  <w:style w:type="paragraph" w:customStyle="1" w:styleId="63852A5441A143B093FCDFA0FDA1E2CE">
    <w:name w:val="63852A5441A143B093FCDFA0FDA1E2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9"/>
    <w:rPr>
      <w:color w:val="808080"/>
    </w:rPr>
  </w:style>
  <w:style w:type="paragraph" w:customStyle="1" w:styleId="5FF61EFDC96A40C095BF2819DE412CB1">
    <w:name w:val="5FF61EFDC96A40C095BF2819DE412CB1"/>
  </w:style>
  <w:style w:type="paragraph" w:customStyle="1" w:styleId="B39A6A2205A543FD82A46C60E60569F0">
    <w:name w:val="B39A6A2205A543FD82A46C60E60569F0"/>
  </w:style>
  <w:style w:type="paragraph" w:customStyle="1" w:styleId="9FB1B71B76C14B9F878B3D33EC7B9604">
    <w:name w:val="9FB1B71B76C14B9F878B3D33EC7B9604"/>
  </w:style>
  <w:style w:type="paragraph" w:customStyle="1" w:styleId="412BC0315D8E4C558F9A216E9B218253">
    <w:name w:val="412BC0315D8E4C558F9A216E9B218253"/>
  </w:style>
  <w:style w:type="paragraph" w:customStyle="1" w:styleId="61FC0F472BAC4200876816755496B9BC">
    <w:name w:val="61FC0F472BAC4200876816755496B9BC"/>
  </w:style>
  <w:style w:type="paragraph" w:customStyle="1" w:styleId="2B3F5D8514F3420991A1923096754B8E">
    <w:name w:val="2B3F5D8514F3420991A1923096754B8E"/>
  </w:style>
  <w:style w:type="paragraph" w:customStyle="1" w:styleId="90B9255613AD4B418CF2ED9F6282073F">
    <w:name w:val="90B9255613AD4B418CF2ED9F6282073F"/>
  </w:style>
  <w:style w:type="paragraph" w:customStyle="1" w:styleId="63852A5441A143B093FCDFA0FDA1E2CE">
    <w:name w:val="63852A5441A143B093FCDFA0FDA1E2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Com17</b:Tag>
    <b:SourceType>Report</b:SourceType>
    <b:Guid>{5D22630B-20D5-45CA-BA98-CA8033D5E870}</b:Guid>
    <b:Author>
      <b:Author>
        <b:Corporate>Commonwealth of Australia</b:Corporate>
      </b:Author>
    </b:Author>
    <b:Title>2017-18 Budget</b:Title>
    <b:Year>2017</b:Year>
    <b:Publisher>Commonwealth of Australia</b:Publisher>
    <b:City>Canberra</b:City>
    <b:RefOrder>1</b:RefOrder>
  </b:Source>
</b:Sources>
</file>

<file path=customXml/itemProps1.xml><?xml version="1.0" encoding="utf-8"?>
<ds:datastoreItem xmlns:ds="http://schemas.openxmlformats.org/officeDocument/2006/customXml" ds:itemID="{DDF4A3FA-A83E-4360-887D-22AB8E0D0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2344</Words>
  <Characters>13365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Liberal Democrats’ tax policy’</vt:lpstr>
    </vt:vector>
  </TitlesOfParts>
  <Company>Parliament of Australia</Company>
  <LinksUpToDate>false</LinksUpToDate>
  <CharactersWithSpaces>15678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Liberal Democrats’ tax policy’</dc:title>
  <dc:creator>PBO@pbo.gov.au</dc:creator>
  <cp:lastModifiedBy>Pratley, Lauren (PBO)</cp:lastModifiedBy>
  <cp:revision>4</cp:revision>
  <cp:lastPrinted>2018-09-12T03:52:00Z</cp:lastPrinted>
  <dcterms:created xsi:type="dcterms:W3CDTF">2018-11-29T01:24:00Z</dcterms:created>
  <dcterms:modified xsi:type="dcterms:W3CDTF">2018-11-29T03:29:00Z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y fmtid="{D5CDD505-2E9C-101B-9397-08002B2CF9AE}" pid="12" name="_MarkAsFinal">
    <vt:bool>true</vt:bool>
  </property>
</Properties>
</file>