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44F" w:rsidRDefault="0046444F" w:rsidP="0046444F">
      <w:pPr>
        <w:pStyle w:val="Title"/>
      </w:pPr>
      <w:r w:rsidRPr="008D77AF">
        <w:t>Policy costing—outside the caretaker period</w:t>
      </w:r>
    </w:p>
    <w:tbl>
      <w:tblPr>
        <w:tblStyle w:val="LightGrid-Accent6"/>
        <w:tblW w:w="5000" w:type="pct"/>
        <w:tblLook w:val="0600" w:firstRow="0" w:lastRow="0" w:firstColumn="0" w:lastColumn="0" w:noHBand="1" w:noVBand="1"/>
      </w:tblPr>
      <w:tblGrid>
        <w:gridCol w:w="3085"/>
        <w:gridCol w:w="1276"/>
        <w:gridCol w:w="4167"/>
      </w:tblGrid>
      <w:tr w:rsidR="0098222F" w:rsidRPr="008D77AF" w:rsidTr="008112CC">
        <w:tc>
          <w:tcPr>
            <w:tcW w:w="1809" w:type="pct"/>
            <w:shd w:val="clear" w:color="auto" w:fill="D7DDE9" w:themeFill="accent3"/>
          </w:tcPr>
          <w:p w:rsidR="0098222F" w:rsidRPr="008D77AF" w:rsidRDefault="0098222F" w:rsidP="0098222F">
            <w:pPr>
              <w:pStyle w:val="PullOutBoxHeading"/>
            </w:pPr>
            <w:r w:rsidRPr="008D77AF">
              <w:t>Name of proposal:</w:t>
            </w:r>
          </w:p>
        </w:tc>
        <w:tc>
          <w:tcPr>
            <w:tcW w:w="3191" w:type="pct"/>
            <w:gridSpan w:val="2"/>
            <w:shd w:val="clear" w:color="auto" w:fill="D7DDE9" w:themeFill="accent3"/>
          </w:tcPr>
          <w:p w:rsidR="004B3022" w:rsidRPr="008D77AF" w:rsidRDefault="00BC2D25" w:rsidP="0098222F">
            <w:pPr>
              <w:pStyle w:val="PullOutBoxHeading"/>
            </w:pPr>
            <w:r w:rsidRPr="00BC2D25">
              <w:t>Labour market</w:t>
            </w:r>
          </w:p>
        </w:tc>
      </w:tr>
      <w:tr w:rsidR="0098222F" w:rsidRPr="008D77AF" w:rsidTr="008112CC">
        <w:tc>
          <w:tcPr>
            <w:tcW w:w="1809" w:type="pct"/>
          </w:tcPr>
          <w:p w:rsidR="0098222F" w:rsidRPr="008D77AF" w:rsidRDefault="0098222F" w:rsidP="0098222F">
            <w:pPr>
              <w:pStyle w:val="PullOutBoxBodyText"/>
            </w:pPr>
            <w:r w:rsidRPr="008D77AF">
              <w:t>Summary of proposal:</w:t>
            </w:r>
          </w:p>
        </w:tc>
        <w:tc>
          <w:tcPr>
            <w:tcW w:w="3191" w:type="pct"/>
            <w:gridSpan w:val="2"/>
          </w:tcPr>
          <w:p w:rsidR="008112CC" w:rsidRDefault="00BC2D25" w:rsidP="0089737A">
            <w:pPr>
              <w:pStyle w:val="PullOutBoxBodyText"/>
            </w:pPr>
            <w:r>
              <w:t>The proposal would</w:t>
            </w:r>
            <w:r w:rsidR="00812FDA">
              <w:t xml:space="preserve"> abolish the following</w:t>
            </w:r>
            <w:r>
              <w:t>:</w:t>
            </w:r>
          </w:p>
          <w:p w:rsidR="00BC2D25" w:rsidRPr="00FB5DD7" w:rsidRDefault="0048517F" w:rsidP="00BC2D25">
            <w:pPr>
              <w:pStyle w:val="PullOutBoxBullet"/>
            </w:pPr>
            <w:r>
              <w:t>the modern awards</w:t>
            </w:r>
            <w:r w:rsidR="00BC2D25" w:rsidRPr="00FB5DD7">
              <w:t xml:space="preserve"> including minimum wage and penalty rate requirements</w:t>
            </w:r>
          </w:p>
          <w:p w:rsidR="00BC2D25" w:rsidRPr="00FB5DD7" w:rsidRDefault="00BC2D25" w:rsidP="00BC2D25">
            <w:pPr>
              <w:pStyle w:val="PullOutBoxBullet"/>
            </w:pPr>
            <w:r w:rsidRPr="00FB5DD7">
              <w:t>unfair dismissal laws</w:t>
            </w:r>
          </w:p>
          <w:p w:rsidR="00812FDA" w:rsidRDefault="00812FDA" w:rsidP="00812FDA">
            <w:pPr>
              <w:pStyle w:val="PullOutBoxBullet"/>
            </w:pPr>
            <w:proofErr w:type="gramStart"/>
            <w:r>
              <w:t>all</w:t>
            </w:r>
            <w:proofErr w:type="gramEnd"/>
            <w:r w:rsidR="00BC2D25" w:rsidRPr="00FB5DD7">
              <w:t xml:space="preserve"> other restrictions on employer-employee interactions in Fair Work legislation</w:t>
            </w:r>
            <w:r>
              <w:t xml:space="preserve">. </w:t>
            </w:r>
          </w:p>
          <w:p w:rsidR="00BC2D25" w:rsidRPr="008D77AF" w:rsidRDefault="00812FDA" w:rsidP="00EF7005">
            <w:pPr>
              <w:pStyle w:val="PullOutBoxBullet"/>
              <w:numPr>
                <w:ilvl w:val="0"/>
                <w:numId w:val="0"/>
              </w:numPr>
              <w:ind w:left="57"/>
            </w:pPr>
            <w:r>
              <w:t xml:space="preserve">Existing </w:t>
            </w:r>
            <w:r w:rsidRPr="00FB5DD7">
              <w:t>provisions in competition and consumer law, workplace health and safety law, discrimination law and criminal law would remain.</w:t>
            </w:r>
          </w:p>
        </w:tc>
      </w:tr>
      <w:tr w:rsidR="0098222F" w:rsidRPr="008D77AF" w:rsidTr="008112CC">
        <w:tc>
          <w:tcPr>
            <w:tcW w:w="1809" w:type="pct"/>
          </w:tcPr>
          <w:p w:rsidR="0098222F" w:rsidRPr="008D77AF" w:rsidRDefault="0098222F" w:rsidP="0098222F">
            <w:pPr>
              <w:pStyle w:val="PullOutBoxBodyText"/>
            </w:pPr>
            <w:r w:rsidRPr="008D77AF">
              <w:t>Person/party requesting the costing:</w:t>
            </w:r>
          </w:p>
        </w:tc>
        <w:tc>
          <w:tcPr>
            <w:tcW w:w="3191" w:type="pct"/>
            <w:gridSpan w:val="2"/>
          </w:tcPr>
          <w:p w:rsidR="0098222F" w:rsidRPr="008D77AF" w:rsidRDefault="00BC2D25" w:rsidP="00FD1EE0">
            <w:pPr>
              <w:pStyle w:val="PullOutBoxBodyText"/>
            </w:pPr>
            <w:r w:rsidRPr="00BC2D25">
              <w:t>Senator David Leyonhjelm, Liberal Democratic Party</w:t>
            </w:r>
          </w:p>
        </w:tc>
      </w:tr>
      <w:tr w:rsidR="008112CC" w:rsidRPr="008D77AF" w:rsidTr="008112CC">
        <w:tc>
          <w:tcPr>
            <w:tcW w:w="1809" w:type="pct"/>
          </w:tcPr>
          <w:p w:rsidR="008112CC" w:rsidRPr="008D77AF" w:rsidRDefault="008112CC" w:rsidP="0056001A">
            <w:pPr>
              <w:pStyle w:val="PullOutBoxBodyText"/>
            </w:pPr>
            <w:r w:rsidRPr="008D77AF">
              <w:t>Did the applicant request the costing be confidential:</w:t>
            </w:r>
          </w:p>
        </w:tc>
        <w:tc>
          <w:tcPr>
            <w:tcW w:w="748" w:type="pct"/>
            <w:tcBorders>
              <w:right w:val="nil"/>
            </w:tcBorders>
          </w:tcPr>
          <w:p w:rsidR="008112CC" w:rsidRPr="008D77AF" w:rsidRDefault="008F7233" w:rsidP="0056001A">
            <w:pPr>
              <w:pStyle w:val="PullOutBoxBodyText"/>
            </w:pPr>
            <w:sdt>
              <w:sdtPr>
                <w:id w:val="33003715"/>
                <w14:checkbox>
                  <w14:checked w14:val="1"/>
                  <w14:checkedState w14:val="2612" w14:font="MS Gothic"/>
                  <w14:uncheckedState w14:val="2610" w14:font="MS Gothic"/>
                </w14:checkbox>
              </w:sdtPr>
              <w:sdtEndPr/>
              <w:sdtContent>
                <w:r w:rsidR="00BC2D25">
                  <w:rPr>
                    <w:rFonts w:ascii="MS Gothic" w:eastAsia="MS Gothic" w:hAnsi="MS Gothic" w:hint="eastAsia"/>
                  </w:rPr>
                  <w:t>☒</w:t>
                </w:r>
              </w:sdtContent>
            </w:sdt>
            <w:r w:rsidR="008112CC" w:rsidRPr="008D77AF">
              <w:t xml:space="preserve"> Yes</w:t>
            </w:r>
          </w:p>
        </w:tc>
        <w:tc>
          <w:tcPr>
            <w:tcW w:w="2443" w:type="pct"/>
            <w:tcBorders>
              <w:left w:val="nil"/>
              <w:right w:val="single" w:sz="4" w:space="0" w:color="auto"/>
            </w:tcBorders>
          </w:tcPr>
          <w:p w:rsidR="008112CC" w:rsidRPr="008D77AF" w:rsidRDefault="008F7233" w:rsidP="0056001A">
            <w:pPr>
              <w:pStyle w:val="PullOutBoxBodyText"/>
            </w:pPr>
            <w:sdt>
              <w:sdtPr>
                <w:id w:val="-864130722"/>
                <w14:checkbox>
                  <w14:checked w14:val="0"/>
                  <w14:checkedState w14:val="2612" w14:font="MS Gothic"/>
                  <w14:uncheckedState w14:val="2610" w14:font="MS Gothic"/>
                </w14:checkbox>
              </w:sdtPr>
              <w:sdtEndPr/>
              <w:sdtContent>
                <w:r w:rsidR="008112CC" w:rsidRPr="008D77AF">
                  <w:rPr>
                    <w:rFonts w:ascii="MS Gothic" w:eastAsia="MS Gothic" w:hAnsi="MS Gothic" w:hint="eastAsia"/>
                  </w:rPr>
                  <w:t>☐</w:t>
                </w:r>
              </w:sdtContent>
            </w:sdt>
            <w:r w:rsidR="008112CC" w:rsidRPr="008D77AF">
              <w:t xml:space="preserve"> No</w:t>
            </w:r>
          </w:p>
        </w:tc>
      </w:tr>
      <w:tr w:rsidR="008112CC" w:rsidRPr="008D77AF" w:rsidTr="0056001A">
        <w:tc>
          <w:tcPr>
            <w:tcW w:w="1809" w:type="pct"/>
          </w:tcPr>
          <w:p w:rsidR="008112CC" w:rsidRPr="008D77AF" w:rsidRDefault="008112CC" w:rsidP="0056001A">
            <w:pPr>
              <w:pStyle w:val="PullOutBoxBodyText"/>
            </w:pPr>
            <w:r w:rsidRPr="008D77AF">
              <w:t>Date costing request received:</w:t>
            </w:r>
          </w:p>
        </w:tc>
        <w:tc>
          <w:tcPr>
            <w:tcW w:w="3191" w:type="pct"/>
            <w:gridSpan w:val="2"/>
          </w:tcPr>
          <w:p w:rsidR="008112CC" w:rsidRPr="008D77AF" w:rsidRDefault="00C87095" w:rsidP="0056001A">
            <w:pPr>
              <w:pStyle w:val="PullOutBoxBodyText"/>
            </w:pPr>
            <w:r>
              <w:t>9 August 2016</w:t>
            </w:r>
          </w:p>
        </w:tc>
      </w:tr>
      <w:tr w:rsidR="008112CC" w:rsidRPr="008D77AF" w:rsidTr="008112CC">
        <w:tc>
          <w:tcPr>
            <w:tcW w:w="1809" w:type="pct"/>
          </w:tcPr>
          <w:p w:rsidR="008112CC" w:rsidRPr="008D77AF" w:rsidRDefault="008112CC" w:rsidP="0098222F">
            <w:pPr>
              <w:pStyle w:val="PullOutBoxBodyText"/>
            </w:pPr>
            <w:r w:rsidRPr="008D77AF">
              <w:t>Date costing completed:</w:t>
            </w:r>
          </w:p>
        </w:tc>
        <w:tc>
          <w:tcPr>
            <w:tcW w:w="3191" w:type="pct"/>
            <w:gridSpan w:val="2"/>
          </w:tcPr>
          <w:p w:rsidR="008112CC" w:rsidRPr="008D77AF" w:rsidRDefault="003A6775" w:rsidP="00CB3F4D">
            <w:pPr>
              <w:pStyle w:val="PullOutBoxBodyText"/>
            </w:pPr>
            <w:r>
              <w:t>1 November</w:t>
            </w:r>
            <w:r w:rsidR="00673201">
              <w:t xml:space="preserve"> 2016</w:t>
            </w:r>
          </w:p>
        </w:tc>
      </w:tr>
      <w:tr w:rsidR="008112CC" w:rsidRPr="008D77AF" w:rsidTr="008112CC">
        <w:tc>
          <w:tcPr>
            <w:tcW w:w="1809" w:type="pct"/>
          </w:tcPr>
          <w:p w:rsidR="008112CC" w:rsidRPr="008D77AF" w:rsidRDefault="008112CC" w:rsidP="0098222F">
            <w:pPr>
              <w:pStyle w:val="PullOutBoxBodyText"/>
            </w:pPr>
            <w:r w:rsidRPr="008D77AF">
              <w:t>Expiry date of the costing:</w:t>
            </w:r>
          </w:p>
        </w:tc>
        <w:tc>
          <w:tcPr>
            <w:tcW w:w="3191" w:type="pct"/>
            <w:gridSpan w:val="2"/>
          </w:tcPr>
          <w:p w:rsidR="008112CC" w:rsidRPr="008D77AF" w:rsidRDefault="008112CC" w:rsidP="0098222F">
            <w:pPr>
              <w:pStyle w:val="PullOutBoxBodyText"/>
            </w:pPr>
            <w:r w:rsidRPr="008D77AF">
              <w:t>Release of the next economic and fiscal outlook report.</w:t>
            </w:r>
          </w:p>
        </w:tc>
      </w:tr>
    </w:tbl>
    <w:p w:rsidR="0046444F" w:rsidRPr="008D77AF" w:rsidRDefault="0046444F" w:rsidP="0046444F">
      <w:pPr>
        <w:pStyle w:val="Heading1"/>
      </w:pPr>
      <w:r w:rsidRPr="008D77AF">
        <w:t>Costing overview</w:t>
      </w:r>
    </w:p>
    <w:p w:rsidR="00673201" w:rsidRDefault="00264345" w:rsidP="00192C80">
      <w:pPr>
        <w:pStyle w:val="BodyText"/>
      </w:pPr>
      <w:r>
        <w:t>The proposal would abolish certain provisi</w:t>
      </w:r>
      <w:r w:rsidR="00192C80">
        <w:t>ons under Fair Work legislation</w:t>
      </w:r>
      <w:r w:rsidR="00673201">
        <w:t xml:space="preserve"> from 1 July 2017</w:t>
      </w:r>
      <w:r w:rsidR="00192C80">
        <w:t xml:space="preserve">.  </w:t>
      </w:r>
      <w:r w:rsidR="00673201">
        <w:t xml:space="preserve">It would therefore result in reduced functions and scope of the key agencies with oversight of this legislation: the </w:t>
      </w:r>
      <w:r w:rsidR="00673201" w:rsidRPr="00BC2D25">
        <w:t>Fair Work Commission</w:t>
      </w:r>
      <w:r w:rsidR="00673201">
        <w:t xml:space="preserve"> (FWC),</w:t>
      </w:r>
      <w:r w:rsidR="00673201" w:rsidRPr="00BC2D25">
        <w:t xml:space="preserve"> the Fair Work Ombudsman</w:t>
      </w:r>
      <w:r w:rsidR="00673201">
        <w:t xml:space="preserve"> (FWO) and Fair Work Building and Construction (FWBC)</w:t>
      </w:r>
      <w:r w:rsidR="00673201" w:rsidRPr="00BC2D25">
        <w:t>.</w:t>
      </w:r>
      <w:r w:rsidR="00673201">
        <w:t xml:space="preserve">  </w:t>
      </w:r>
    </w:p>
    <w:p w:rsidR="00C87095" w:rsidRDefault="00242BBE" w:rsidP="006C3668">
      <w:pPr>
        <w:pStyle w:val="BodyText"/>
      </w:pPr>
      <w:r>
        <w:t xml:space="preserve">This costing includes only the </w:t>
      </w:r>
      <w:r w:rsidR="00673201">
        <w:t>reduction in departmental funding to the agencies</w:t>
      </w:r>
      <w:r w:rsidR="00601B9E">
        <w:t xml:space="preserve"> as a result of this proposal</w:t>
      </w:r>
      <w:r w:rsidR="00673201">
        <w:t xml:space="preserve">.  </w:t>
      </w:r>
      <w:r w:rsidR="00C87095">
        <w:t xml:space="preserve">The </w:t>
      </w:r>
      <w:r w:rsidR="00131C36">
        <w:t>flow</w:t>
      </w:r>
      <w:r w:rsidR="00131C36">
        <w:noBreakHyphen/>
        <w:t xml:space="preserve">on </w:t>
      </w:r>
      <w:r w:rsidR="00131C36" w:rsidRPr="00BC2D25">
        <w:t xml:space="preserve">effects, including </w:t>
      </w:r>
      <w:r w:rsidR="00107B04">
        <w:t xml:space="preserve">the </w:t>
      </w:r>
      <w:r w:rsidR="00964C8C">
        <w:t>impact</w:t>
      </w:r>
      <w:r w:rsidR="00107B04">
        <w:t>s</w:t>
      </w:r>
      <w:r w:rsidR="00964C8C">
        <w:t xml:space="preserve"> on</w:t>
      </w:r>
      <w:r w:rsidR="00131C36" w:rsidRPr="00BC2D25">
        <w:t xml:space="preserve"> employment</w:t>
      </w:r>
      <w:r w:rsidR="00964C8C">
        <w:t>,</w:t>
      </w:r>
      <w:r w:rsidR="00131C36" w:rsidRPr="00BC2D25">
        <w:t xml:space="preserve"> wages, </w:t>
      </w:r>
      <w:proofErr w:type="gramStart"/>
      <w:r w:rsidR="00131C36" w:rsidRPr="00BC2D25">
        <w:t>tax</w:t>
      </w:r>
      <w:proofErr w:type="gramEnd"/>
      <w:r w:rsidR="00131C36" w:rsidRPr="00BC2D25">
        <w:t xml:space="preserve"> revenue and welfare expenditure </w:t>
      </w:r>
      <w:r w:rsidR="00601B9E">
        <w:t>would be highly uncertain</w:t>
      </w:r>
      <w:r w:rsidR="00964C8C">
        <w:t>.</w:t>
      </w:r>
      <w:r w:rsidR="00601B9E">
        <w:t xml:space="preserve"> </w:t>
      </w:r>
      <w:r w:rsidR="00964C8C">
        <w:t xml:space="preserve"> A</w:t>
      </w:r>
      <w:r w:rsidR="00C87095">
        <w:t>s</w:t>
      </w:r>
      <w:r w:rsidR="00131C36" w:rsidRPr="00BC2D25">
        <w:t xml:space="preserve"> </w:t>
      </w:r>
      <w:r w:rsidR="00964C8C">
        <w:t>a result</w:t>
      </w:r>
      <w:r w:rsidR="009918A6">
        <w:t>,</w:t>
      </w:r>
      <w:r w:rsidR="00601B9E">
        <w:t xml:space="preserve"> estimate</w:t>
      </w:r>
      <w:r w:rsidR="00964C8C">
        <w:t>s</w:t>
      </w:r>
      <w:r w:rsidR="00601B9E">
        <w:t xml:space="preserve"> of these impacts </w:t>
      </w:r>
      <w:r w:rsidR="00964C8C">
        <w:t>have not been included</w:t>
      </w:r>
      <w:r w:rsidR="00C87095">
        <w:t xml:space="preserve">. </w:t>
      </w:r>
    </w:p>
    <w:p w:rsidR="00EF7005" w:rsidRDefault="00EF7005" w:rsidP="00260E8A">
      <w:pPr>
        <w:pStyle w:val="BodyText"/>
        <w:rPr>
          <w:rFonts w:cstheme="minorBidi"/>
          <w:spacing w:val="0"/>
        </w:rPr>
      </w:pPr>
      <w:r w:rsidRPr="00B20EDA">
        <w:t>This proposal would be expected to inc</w:t>
      </w:r>
      <w:r w:rsidR="00313B3B">
        <w:t>rease the fiscal balance by $</w:t>
      </w:r>
      <w:r w:rsidR="00D808A4">
        <w:t>610</w:t>
      </w:r>
      <w:r w:rsidRPr="00B20EDA">
        <w:t xml:space="preserve"> million and increase the underlying cash balance by $</w:t>
      </w:r>
      <w:r w:rsidR="00D808A4">
        <w:t>602</w:t>
      </w:r>
      <w:r w:rsidRPr="00B20EDA">
        <w:t> million over the 2016</w:t>
      </w:r>
      <w:r w:rsidRPr="00B20EDA">
        <w:noBreakHyphen/>
        <w:t xml:space="preserve">17 Budget forward estimates period.  </w:t>
      </w:r>
      <w:r w:rsidR="00B20EDA" w:rsidRPr="00B20EDA">
        <w:t>This is entirely due to a net decrease in departmental expenses for agencies administering labour market regulation</w:t>
      </w:r>
      <w:r w:rsidRPr="00B20EDA">
        <w:t>.</w:t>
      </w:r>
    </w:p>
    <w:p w:rsidR="00601B9E" w:rsidRDefault="00601B9E" w:rsidP="00601B9E">
      <w:pPr>
        <w:pStyle w:val="BodyText"/>
      </w:pPr>
      <w:r>
        <w:lastRenderedPageBreak/>
        <w:t xml:space="preserve">The financial implications of the proposal would extend beyond the forward estimates period as the FWC, FWO and FWBC would continue to have reduced functions.  </w:t>
      </w:r>
      <w:r w:rsidR="00EF29E8">
        <w:t xml:space="preserve">The costing includes one-off redundancy costs to agencies which have no impact beyond the forward estimates.  </w:t>
      </w:r>
      <w:r w:rsidR="00EF29E8" w:rsidRPr="00BC2D25">
        <w:rPr>
          <w:rFonts w:cstheme="minorBidi"/>
          <w:spacing w:val="0"/>
        </w:rPr>
        <w:t xml:space="preserve">A breakdown of the </w:t>
      </w:r>
      <w:r w:rsidR="00EF29E8">
        <w:rPr>
          <w:rFonts w:cstheme="minorBidi"/>
          <w:spacing w:val="0"/>
        </w:rPr>
        <w:t>financial implications</w:t>
      </w:r>
      <w:r w:rsidR="00EF29E8" w:rsidRPr="00BC2D25">
        <w:rPr>
          <w:rFonts w:cstheme="minorBidi"/>
          <w:spacing w:val="0"/>
        </w:rPr>
        <w:t xml:space="preserve"> </w:t>
      </w:r>
      <w:r w:rsidR="00EF29E8">
        <w:rPr>
          <w:rFonts w:cstheme="minorBidi"/>
          <w:spacing w:val="0"/>
        </w:rPr>
        <w:t xml:space="preserve">over 2016-17 to 2026-27 as requested </w:t>
      </w:r>
      <w:r w:rsidR="00EF29E8" w:rsidRPr="00BC2D25">
        <w:rPr>
          <w:rFonts w:cstheme="minorBidi"/>
          <w:spacing w:val="0"/>
        </w:rPr>
        <w:t xml:space="preserve">is included at </w:t>
      </w:r>
      <w:r w:rsidR="00EF29E8" w:rsidRPr="00B70DA8">
        <w:rPr>
          <w:rFonts w:cstheme="minorBidi"/>
          <w:spacing w:val="0"/>
          <w:u w:val="single"/>
        </w:rPr>
        <w:t>Attachment A</w:t>
      </w:r>
      <w:r w:rsidR="00EF29E8" w:rsidRPr="00BC2D25">
        <w:rPr>
          <w:rFonts w:cstheme="minorBidi"/>
          <w:spacing w:val="0"/>
        </w:rPr>
        <w:t>.</w:t>
      </w:r>
      <w:r w:rsidR="00EF29E8">
        <w:t xml:space="preserve">   </w:t>
      </w:r>
    </w:p>
    <w:p w:rsidR="00601B9E" w:rsidRDefault="00601B9E" w:rsidP="00601B9E">
      <w:pPr>
        <w:pStyle w:val="BodyText"/>
      </w:pPr>
      <w:r>
        <w:t>The proposal has a different impact on the fiscal balance and the underlying cash balance because of a delay between the recognition of expenses incurred by the agencies, and the payment of these expenses.</w:t>
      </w:r>
    </w:p>
    <w:p w:rsidR="00601B9E" w:rsidRDefault="00601B9E" w:rsidP="00601B9E">
      <w:pPr>
        <w:pStyle w:val="BodyText"/>
        <w:rPr>
          <w:highlight w:val="yellow"/>
        </w:rPr>
      </w:pPr>
      <w:r>
        <w:t>The costing is considered to be of low reliability because it relies on a number of assumptions regarding the change in the volume of dispute matters overseen by the Fair Work agencies.  This would depend on the impact of the proposed changes on employee and employer behaviour.</w:t>
      </w:r>
      <w:r w:rsidR="00021F98">
        <w:t xml:space="preserve">  In addition, the costing does not include any allowance for the further economic impacts of the proposal, which are potentially substantial but highly uncertain in relation to their magnitude, direction and timing.</w:t>
      </w:r>
    </w:p>
    <w:p w:rsidR="00260E8A" w:rsidRPr="005B0970" w:rsidRDefault="00260E8A" w:rsidP="00260E8A">
      <w:pPr>
        <w:pStyle w:val="Caption"/>
      </w:pPr>
      <w:r w:rsidRPr="008112CC">
        <w:t xml:space="preserve">Table </w:t>
      </w:r>
      <w:r w:rsidR="008F7233">
        <w:fldChar w:fldCharType="begin"/>
      </w:r>
      <w:r w:rsidR="008F7233">
        <w:instrText xml:space="preserve"> SEQ Table \* ARABIC \s 1 </w:instrText>
      </w:r>
      <w:r w:rsidR="008F7233">
        <w:fldChar w:fldCharType="separate"/>
      </w:r>
      <w:r w:rsidR="003A6775">
        <w:rPr>
          <w:noProof/>
        </w:rPr>
        <w:t>1</w:t>
      </w:r>
      <w:r w:rsidR="008F7233">
        <w:rPr>
          <w:noProof/>
        </w:rPr>
        <w:fldChar w:fldCharType="end"/>
      </w:r>
      <w:r w:rsidRPr="008112CC">
        <w:t xml:space="preserve">: </w:t>
      </w:r>
      <w:r>
        <w:t>Financial implications (outturn prices</w:t>
      </w:r>
      <w:proofErr w:type="gramStart"/>
      <w:r>
        <w:t>)</w:t>
      </w:r>
      <w:r w:rsidRPr="008112CC">
        <w:rPr>
          <w:vertAlign w:val="superscript"/>
        </w:rPr>
        <w:t>(</w:t>
      </w:r>
      <w:proofErr w:type="gramEnd"/>
      <w:r w:rsidRPr="008112CC">
        <w:rPr>
          <w:vertAlign w:val="superscript"/>
        </w:rPr>
        <w:t>a)(b)</w:t>
      </w:r>
    </w:p>
    <w:tbl>
      <w:tblPr>
        <w:tblStyle w:val="LightGrid-Accent6"/>
        <w:tblW w:w="5000" w:type="pct"/>
        <w:tblLook w:val="0680" w:firstRow="0" w:lastRow="0" w:firstColumn="1" w:lastColumn="0" w:noHBand="1" w:noVBand="1"/>
      </w:tblPr>
      <w:tblGrid>
        <w:gridCol w:w="2518"/>
        <w:gridCol w:w="1203"/>
        <w:gridCol w:w="1202"/>
        <w:gridCol w:w="1202"/>
        <w:gridCol w:w="1202"/>
        <w:gridCol w:w="1201"/>
      </w:tblGrid>
      <w:tr w:rsidR="00260E8A" w:rsidTr="00391897">
        <w:tc>
          <w:tcPr>
            <w:cnfStyle w:val="001000000000" w:firstRow="0" w:lastRow="0" w:firstColumn="1" w:lastColumn="0" w:oddVBand="0" w:evenVBand="0" w:oddHBand="0" w:evenHBand="0" w:firstRowFirstColumn="0" w:firstRowLastColumn="0" w:lastRowFirstColumn="0" w:lastRowLastColumn="0"/>
            <w:tcW w:w="1476" w:type="pct"/>
            <w:shd w:val="clear" w:color="auto" w:fill="D7DDE9" w:themeFill="accent3"/>
            <w:vAlign w:val="center"/>
          </w:tcPr>
          <w:p w:rsidR="00260E8A" w:rsidRPr="005B0970" w:rsidRDefault="00260E8A" w:rsidP="00391897">
            <w:pPr>
              <w:pStyle w:val="TableHeading"/>
            </w:pPr>
            <w:r w:rsidRPr="005B0970">
              <w:t>Impact on ($m)</w:t>
            </w:r>
          </w:p>
        </w:tc>
        <w:tc>
          <w:tcPr>
            <w:tcW w:w="705" w:type="pct"/>
            <w:shd w:val="clear" w:color="auto" w:fill="D7DDE9" w:themeFill="accent3"/>
            <w:vAlign w:val="center"/>
          </w:tcPr>
          <w:p w:rsidR="00260E8A" w:rsidRPr="005B0970" w:rsidRDefault="00260E8A" w:rsidP="00391897">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2016–17</w:t>
            </w:r>
          </w:p>
        </w:tc>
        <w:tc>
          <w:tcPr>
            <w:tcW w:w="705" w:type="pct"/>
            <w:shd w:val="clear" w:color="auto" w:fill="D7DDE9" w:themeFill="accent3"/>
            <w:vAlign w:val="center"/>
          </w:tcPr>
          <w:p w:rsidR="00260E8A" w:rsidRPr="005B0970" w:rsidRDefault="00260E8A" w:rsidP="00391897">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2017–18</w:t>
            </w:r>
          </w:p>
        </w:tc>
        <w:tc>
          <w:tcPr>
            <w:tcW w:w="705" w:type="pct"/>
            <w:shd w:val="clear" w:color="auto" w:fill="D7DDE9" w:themeFill="accent3"/>
            <w:vAlign w:val="center"/>
          </w:tcPr>
          <w:p w:rsidR="00260E8A" w:rsidRPr="005B0970" w:rsidRDefault="00260E8A" w:rsidP="00391897">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2018–19</w:t>
            </w:r>
          </w:p>
        </w:tc>
        <w:tc>
          <w:tcPr>
            <w:tcW w:w="705" w:type="pct"/>
            <w:shd w:val="clear" w:color="auto" w:fill="D7DDE9" w:themeFill="accent3"/>
            <w:vAlign w:val="center"/>
          </w:tcPr>
          <w:p w:rsidR="00260E8A" w:rsidRPr="005B0970" w:rsidRDefault="00260E8A" w:rsidP="00391897">
            <w:pPr>
              <w:pStyle w:val="TableHeadingRight"/>
              <w:cnfStyle w:val="000000000000" w:firstRow="0" w:lastRow="0" w:firstColumn="0" w:lastColumn="0" w:oddVBand="0" w:evenVBand="0" w:oddHBand="0" w:evenHBand="0" w:firstRowFirstColumn="0" w:firstRowLastColumn="0" w:lastRowFirstColumn="0" w:lastRowLastColumn="0"/>
              <w:rPr>
                <w:b w:val="0"/>
              </w:rPr>
            </w:pPr>
            <w:r w:rsidRPr="005B0970">
              <w:rPr>
                <w:b w:val="0"/>
              </w:rPr>
              <w:t>2019–20</w:t>
            </w:r>
          </w:p>
        </w:tc>
        <w:tc>
          <w:tcPr>
            <w:tcW w:w="704" w:type="pct"/>
            <w:shd w:val="clear" w:color="auto" w:fill="D7DDE9" w:themeFill="accent3"/>
            <w:vAlign w:val="center"/>
          </w:tcPr>
          <w:p w:rsidR="00260E8A" w:rsidRPr="005B0970" w:rsidRDefault="00260E8A" w:rsidP="00391897">
            <w:pPr>
              <w:pStyle w:val="TableHeadingRight"/>
              <w:cnfStyle w:val="000000000000" w:firstRow="0" w:lastRow="0" w:firstColumn="0" w:lastColumn="0" w:oddVBand="0" w:evenVBand="0" w:oddHBand="0" w:evenHBand="0" w:firstRowFirstColumn="0" w:firstRowLastColumn="0" w:lastRowFirstColumn="0" w:lastRowLastColumn="0"/>
            </w:pPr>
            <w:r w:rsidRPr="005B0970">
              <w:t>Total to 2019–20</w:t>
            </w:r>
          </w:p>
        </w:tc>
      </w:tr>
      <w:tr w:rsidR="000B4F83" w:rsidTr="00391897">
        <w:tc>
          <w:tcPr>
            <w:cnfStyle w:val="001000000000" w:firstRow="0" w:lastRow="0" w:firstColumn="1" w:lastColumn="0" w:oddVBand="0" w:evenVBand="0" w:oddHBand="0" w:evenHBand="0" w:firstRowFirstColumn="0" w:firstRowLastColumn="0" w:lastRowFirstColumn="0" w:lastRowLastColumn="0"/>
            <w:tcW w:w="1476" w:type="pct"/>
            <w:vAlign w:val="center"/>
          </w:tcPr>
          <w:p w:rsidR="000B4F83" w:rsidRPr="005B0970" w:rsidRDefault="000B4F83" w:rsidP="00391897">
            <w:pPr>
              <w:pStyle w:val="TableHeading"/>
              <w:rPr>
                <w:rFonts w:asciiTheme="majorHAnsi" w:hAnsiTheme="majorHAnsi"/>
              </w:rPr>
            </w:pPr>
            <w:r w:rsidRPr="005B0970">
              <w:t>Fiscal balance</w:t>
            </w:r>
          </w:p>
        </w:tc>
        <w:tc>
          <w:tcPr>
            <w:tcW w:w="705" w:type="pct"/>
            <w:vAlign w:val="center"/>
          </w:tcPr>
          <w:p w:rsidR="000B4F83" w:rsidRPr="008D77AF" w:rsidRDefault="000B4F83" w:rsidP="00391897">
            <w:pPr>
              <w:pStyle w:val="TableTextRight"/>
              <w:cnfStyle w:val="000000000000" w:firstRow="0" w:lastRow="0" w:firstColumn="0" w:lastColumn="0" w:oddVBand="0" w:evenVBand="0" w:oddHBand="0" w:evenHBand="0" w:firstRowFirstColumn="0" w:firstRowLastColumn="0" w:lastRowFirstColumn="0" w:lastRowLastColumn="0"/>
            </w:pPr>
            <w:r>
              <w:t>-</w:t>
            </w:r>
          </w:p>
        </w:tc>
        <w:tc>
          <w:tcPr>
            <w:tcW w:w="705" w:type="pct"/>
            <w:vAlign w:val="bottom"/>
          </w:tcPr>
          <w:p w:rsidR="000B4F83" w:rsidRPr="000B4F83" w:rsidRDefault="001B3505" w:rsidP="004C4992">
            <w:pPr>
              <w:pStyle w:val="TableTextRight"/>
              <w:cnfStyle w:val="000000000000" w:firstRow="0" w:lastRow="0" w:firstColumn="0" w:lastColumn="0" w:oddVBand="0" w:evenVBand="0" w:oddHBand="0" w:evenHBand="0" w:firstRowFirstColumn="0" w:firstRowLastColumn="0" w:lastRowFirstColumn="0" w:lastRowLastColumn="0"/>
              <w:rPr>
                <w:noProof/>
              </w:rPr>
            </w:pPr>
            <w:r>
              <w:rPr>
                <w:noProof/>
              </w:rPr>
              <w:t>168</w:t>
            </w:r>
          </w:p>
        </w:tc>
        <w:tc>
          <w:tcPr>
            <w:tcW w:w="705" w:type="pct"/>
            <w:vAlign w:val="bottom"/>
          </w:tcPr>
          <w:p w:rsidR="000B4F83" w:rsidRPr="000B4F83" w:rsidRDefault="00D808A4" w:rsidP="00071E07">
            <w:pPr>
              <w:pStyle w:val="TableTextRight"/>
              <w:cnfStyle w:val="000000000000" w:firstRow="0" w:lastRow="0" w:firstColumn="0" w:lastColumn="0" w:oddVBand="0" w:evenVBand="0" w:oddHBand="0" w:evenHBand="0" w:firstRowFirstColumn="0" w:firstRowLastColumn="0" w:lastRowFirstColumn="0" w:lastRowLastColumn="0"/>
              <w:rPr>
                <w:noProof/>
              </w:rPr>
            </w:pPr>
            <w:r>
              <w:rPr>
                <w:noProof/>
              </w:rPr>
              <w:t>21</w:t>
            </w:r>
            <w:r w:rsidR="000020DE">
              <w:rPr>
                <w:noProof/>
              </w:rPr>
              <w:t>9</w:t>
            </w:r>
          </w:p>
        </w:tc>
        <w:tc>
          <w:tcPr>
            <w:tcW w:w="705" w:type="pct"/>
            <w:vAlign w:val="bottom"/>
          </w:tcPr>
          <w:p w:rsidR="000B4F83" w:rsidRPr="000B4F83" w:rsidRDefault="00313B3B" w:rsidP="00071E07">
            <w:pPr>
              <w:pStyle w:val="TableTextRight"/>
              <w:cnfStyle w:val="000000000000" w:firstRow="0" w:lastRow="0" w:firstColumn="0" w:lastColumn="0" w:oddVBand="0" w:evenVBand="0" w:oddHBand="0" w:evenHBand="0" w:firstRowFirstColumn="0" w:firstRowLastColumn="0" w:lastRowFirstColumn="0" w:lastRowLastColumn="0"/>
              <w:rPr>
                <w:noProof/>
              </w:rPr>
            </w:pPr>
            <w:r>
              <w:rPr>
                <w:noProof/>
              </w:rPr>
              <w:t>2</w:t>
            </w:r>
            <w:r w:rsidR="00D808A4">
              <w:rPr>
                <w:noProof/>
              </w:rPr>
              <w:t>2</w:t>
            </w:r>
            <w:r w:rsidR="001B3505">
              <w:rPr>
                <w:noProof/>
              </w:rPr>
              <w:t>3</w:t>
            </w:r>
          </w:p>
        </w:tc>
        <w:tc>
          <w:tcPr>
            <w:tcW w:w="704" w:type="pct"/>
            <w:vAlign w:val="bottom"/>
          </w:tcPr>
          <w:p w:rsidR="000B4F83" w:rsidRPr="000B4F83" w:rsidRDefault="00D808A4" w:rsidP="000020DE">
            <w:pPr>
              <w:pStyle w:val="TableTextRight"/>
              <w:cnfStyle w:val="000000000000" w:firstRow="0" w:lastRow="0" w:firstColumn="0" w:lastColumn="0" w:oddVBand="0" w:evenVBand="0" w:oddHBand="0" w:evenHBand="0" w:firstRowFirstColumn="0" w:firstRowLastColumn="0" w:lastRowFirstColumn="0" w:lastRowLastColumn="0"/>
              <w:rPr>
                <w:noProof/>
              </w:rPr>
            </w:pPr>
            <w:r>
              <w:rPr>
                <w:noProof/>
              </w:rPr>
              <w:t>610</w:t>
            </w:r>
          </w:p>
        </w:tc>
      </w:tr>
      <w:tr w:rsidR="00944DCA" w:rsidTr="00391897">
        <w:tc>
          <w:tcPr>
            <w:cnfStyle w:val="001000000000" w:firstRow="0" w:lastRow="0" w:firstColumn="1" w:lastColumn="0" w:oddVBand="0" w:evenVBand="0" w:oddHBand="0" w:evenHBand="0" w:firstRowFirstColumn="0" w:firstRowLastColumn="0" w:lastRowFirstColumn="0" w:lastRowLastColumn="0"/>
            <w:tcW w:w="1476" w:type="pct"/>
            <w:vAlign w:val="center"/>
          </w:tcPr>
          <w:p w:rsidR="00944DCA" w:rsidRPr="005B0970" w:rsidRDefault="00944DCA" w:rsidP="00391897">
            <w:pPr>
              <w:pStyle w:val="TableHeading"/>
            </w:pPr>
            <w:r w:rsidRPr="005B0970">
              <w:t>Underlying cash balance</w:t>
            </w:r>
          </w:p>
        </w:tc>
        <w:tc>
          <w:tcPr>
            <w:tcW w:w="705" w:type="pct"/>
            <w:vAlign w:val="center"/>
          </w:tcPr>
          <w:p w:rsidR="00944DCA" w:rsidRPr="008D77AF" w:rsidRDefault="00944DCA" w:rsidP="00391897">
            <w:pPr>
              <w:pStyle w:val="TableTextRight"/>
              <w:cnfStyle w:val="000000000000" w:firstRow="0" w:lastRow="0" w:firstColumn="0" w:lastColumn="0" w:oddVBand="0" w:evenVBand="0" w:oddHBand="0" w:evenHBand="0" w:firstRowFirstColumn="0" w:firstRowLastColumn="0" w:lastRowFirstColumn="0" w:lastRowLastColumn="0"/>
            </w:pPr>
            <w:r>
              <w:t>-</w:t>
            </w:r>
          </w:p>
        </w:tc>
        <w:tc>
          <w:tcPr>
            <w:tcW w:w="705" w:type="pct"/>
            <w:vAlign w:val="bottom"/>
          </w:tcPr>
          <w:p w:rsidR="00944DCA" w:rsidRPr="000B4F83" w:rsidRDefault="00944DCA" w:rsidP="0082412D">
            <w:pPr>
              <w:pStyle w:val="TableTextRight"/>
              <w:cnfStyle w:val="000000000000" w:firstRow="0" w:lastRow="0" w:firstColumn="0" w:lastColumn="0" w:oddVBand="0" w:evenVBand="0" w:oddHBand="0" w:evenHBand="0" w:firstRowFirstColumn="0" w:firstRowLastColumn="0" w:lastRowFirstColumn="0" w:lastRowLastColumn="0"/>
              <w:rPr>
                <w:noProof/>
              </w:rPr>
            </w:pPr>
            <w:r>
              <w:rPr>
                <w:noProof/>
              </w:rPr>
              <w:t>1</w:t>
            </w:r>
            <w:r w:rsidR="00313B3B">
              <w:rPr>
                <w:noProof/>
              </w:rPr>
              <w:t>65</w:t>
            </w:r>
          </w:p>
        </w:tc>
        <w:tc>
          <w:tcPr>
            <w:tcW w:w="705" w:type="pct"/>
            <w:vAlign w:val="bottom"/>
          </w:tcPr>
          <w:p w:rsidR="00944DCA" w:rsidRPr="000B4F83" w:rsidRDefault="00D808A4" w:rsidP="00313B3B">
            <w:pPr>
              <w:pStyle w:val="TableTextRight"/>
              <w:cnfStyle w:val="000000000000" w:firstRow="0" w:lastRow="0" w:firstColumn="0" w:lastColumn="0" w:oddVBand="0" w:evenVBand="0" w:oddHBand="0" w:evenHBand="0" w:firstRowFirstColumn="0" w:firstRowLastColumn="0" w:lastRowFirstColumn="0" w:lastRowLastColumn="0"/>
              <w:rPr>
                <w:noProof/>
              </w:rPr>
            </w:pPr>
            <w:r>
              <w:rPr>
                <w:noProof/>
              </w:rPr>
              <w:t>217</w:t>
            </w:r>
          </w:p>
        </w:tc>
        <w:tc>
          <w:tcPr>
            <w:tcW w:w="705" w:type="pct"/>
            <w:vAlign w:val="bottom"/>
          </w:tcPr>
          <w:p w:rsidR="00944DCA" w:rsidRPr="000B4F83" w:rsidRDefault="00313B3B" w:rsidP="0082412D">
            <w:pPr>
              <w:pStyle w:val="TableTextRight"/>
              <w:cnfStyle w:val="000000000000" w:firstRow="0" w:lastRow="0" w:firstColumn="0" w:lastColumn="0" w:oddVBand="0" w:evenVBand="0" w:oddHBand="0" w:evenHBand="0" w:firstRowFirstColumn="0" w:firstRowLastColumn="0" w:lastRowFirstColumn="0" w:lastRowLastColumn="0"/>
              <w:rPr>
                <w:noProof/>
              </w:rPr>
            </w:pPr>
            <w:r>
              <w:rPr>
                <w:noProof/>
              </w:rPr>
              <w:t>2</w:t>
            </w:r>
            <w:r w:rsidR="00D808A4">
              <w:rPr>
                <w:noProof/>
              </w:rPr>
              <w:t>2</w:t>
            </w:r>
            <w:r>
              <w:rPr>
                <w:noProof/>
              </w:rPr>
              <w:t>0</w:t>
            </w:r>
          </w:p>
        </w:tc>
        <w:tc>
          <w:tcPr>
            <w:tcW w:w="704" w:type="pct"/>
            <w:vAlign w:val="bottom"/>
          </w:tcPr>
          <w:p w:rsidR="00944DCA" w:rsidRPr="000B4F83" w:rsidRDefault="00D808A4" w:rsidP="00870CDB">
            <w:pPr>
              <w:pStyle w:val="TableTextRight"/>
              <w:cnfStyle w:val="000000000000" w:firstRow="0" w:lastRow="0" w:firstColumn="0" w:lastColumn="0" w:oddVBand="0" w:evenVBand="0" w:oddHBand="0" w:evenHBand="0" w:firstRowFirstColumn="0" w:firstRowLastColumn="0" w:lastRowFirstColumn="0" w:lastRowLastColumn="0"/>
              <w:rPr>
                <w:noProof/>
              </w:rPr>
            </w:pPr>
            <w:r>
              <w:rPr>
                <w:noProof/>
              </w:rPr>
              <w:t>602</w:t>
            </w:r>
          </w:p>
        </w:tc>
      </w:tr>
    </w:tbl>
    <w:p w:rsidR="00260E8A" w:rsidRDefault="00260E8A" w:rsidP="00260E8A">
      <w:pPr>
        <w:pStyle w:val="TableFootnotes"/>
      </w:pPr>
      <w:r>
        <w:t xml:space="preserve">A positive number represents an increase in the relevant budget </w:t>
      </w:r>
      <w:proofErr w:type="gramStart"/>
      <w:r>
        <w:t>balance,</w:t>
      </w:r>
      <w:proofErr w:type="gramEnd"/>
      <w:r>
        <w:t xml:space="preserve"> a negative number represents a decrease.</w:t>
      </w:r>
    </w:p>
    <w:p w:rsidR="00260E8A" w:rsidRDefault="00260E8A" w:rsidP="00260E8A">
      <w:pPr>
        <w:pStyle w:val="TableFootnotes"/>
      </w:pPr>
      <w:r>
        <w:t>Figures may not sum to totals due to rounding.</w:t>
      </w:r>
    </w:p>
    <w:p w:rsidR="00260E8A" w:rsidRDefault="00260E8A" w:rsidP="009A7458">
      <w:pPr>
        <w:pStyle w:val="TableFootnotes"/>
        <w:keepNext/>
        <w:numPr>
          <w:ilvl w:val="0"/>
          <w:numId w:val="11"/>
        </w:numPr>
        <w:ind w:left="284" w:hanging="284"/>
      </w:pPr>
      <w:r>
        <w:t>Indicates nil.</w:t>
      </w:r>
    </w:p>
    <w:p w:rsidR="00FE3B13" w:rsidRPr="00CA06C8" w:rsidRDefault="00FE3B13" w:rsidP="00CA06C8">
      <w:pPr>
        <w:pStyle w:val="Heading1"/>
      </w:pPr>
      <w:r w:rsidRPr="00CA06C8">
        <w:t>Key assumptions</w:t>
      </w:r>
    </w:p>
    <w:p w:rsidR="00F36C0C" w:rsidRPr="00F36C0C" w:rsidRDefault="00964C8C" w:rsidP="006C3668">
      <w:pPr>
        <w:pStyle w:val="BodyText"/>
      </w:pPr>
      <w:r>
        <w:t xml:space="preserve">In </w:t>
      </w:r>
      <w:r w:rsidR="00107B04">
        <w:t>c</w:t>
      </w:r>
      <w:r>
        <w:t>osting this proposal it has been assumed that</w:t>
      </w:r>
      <w:r w:rsidR="00107B04">
        <w:t xml:space="preserve"> the</w:t>
      </w:r>
      <w:r>
        <w:t xml:space="preserve"> FWC, FWO and FWBC would continue to provide dispute resolution activities and </w:t>
      </w:r>
      <w:r w:rsidR="00C30370">
        <w:t>provide advice and advocacy regarding</w:t>
      </w:r>
      <w:r w:rsidR="00E65DA1">
        <w:t xml:space="preserve"> the remaining legal provisions for workp</w:t>
      </w:r>
      <w:r w:rsidR="00930744">
        <w:t>lace relations</w:t>
      </w:r>
      <w:r w:rsidR="00380710">
        <w:t>.</w:t>
      </w:r>
    </w:p>
    <w:p w:rsidR="00FE3B13" w:rsidRDefault="00FE3B13" w:rsidP="0056001A">
      <w:pPr>
        <w:pStyle w:val="Heading1"/>
      </w:pPr>
      <w:r>
        <w:t>Methodology</w:t>
      </w:r>
    </w:p>
    <w:p w:rsidR="00370638" w:rsidRDefault="00370638" w:rsidP="0056001A">
      <w:pPr>
        <w:pStyle w:val="BodyText"/>
        <w:keepNext/>
        <w:keepLines/>
      </w:pPr>
      <w:r w:rsidRPr="00370638">
        <w:t xml:space="preserve">The </w:t>
      </w:r>
      <w:r>
        <w:t xml:space="preserve">total savings from reduced departmental expenditure for the </w:t>
      </w:r>
      <w:r w:rsidR="009D15D3">
        <w:t>FWC,</w:t>
      </w:r>
      <w:r w:rsidR="00AD4F01">
        <w:t xml:space="preserve"> FWO</w:t>
      </w:r>
      <w:r w:rsidR="009D15D3">
        <w:t xml:space="preserve"> and FWBC</w:t>
      </w:r>
      <w:r>
        <w:t xml:space="preserve"> </w:t>
      </w:r>
      <w:r w:rsidR="001B7D3D">
        <w:t>are</w:t>
      </w:r>
      <w:r>
        <w:t xml:space="preserve"> estimated based on the</w:t>
      </w:r>
      <w:r w:rsidR="00AD4F01">
        <w:t>ir</w:t>
      </w:r>
      <w:r>
        <w:t xml:space="preserve"> current scope and function</w:t>
      </w:r>
      <w:r w:rsidR="00AD4F01">
        <w:t xml:space="preserve">s under the </w:t>
      </w:r>
      <w:r w:rsidR="00AD4F01">
        <w:rPr>
          <w:i/>
        </w:rPr>
        <w:t xml:space="preserve">Fair Work Act </w:t>
      </w:r>
      <w:r w:rsidR="00AD4F01" w:rsidRPr="00C81D29">
        <w:rPr>
          <w:i/>
        </w:rPr>
        <w:t>2009</w:t>
      </w:r>
      <w:r w:rsidR="009D15D3">
        <w:t xml:space="preserve"> and </w:t>
      </w:r>
      <w:r w:rsidR="009D15D3">
        <w:rPr>
          <w:i/>
        </w:rPr>
        <w:t>Fair</w:t>
      </w:r>
      <w:r w:rsidR="00391EB0">
        <w:rPr>
          <w:i/>
        </w:rPr>
        <w:t> </w:t>
      </w:r>
      <w:r w:rsidR="009D15D3">
        <w:rPr>
          <w:i/>
        </w:rPr>
        <w:t xml:space="preserve">Work (Building Industry) Act </w:t>
      </w:r>
      <w:r w:rsidR="009D15D3" w:rsidRPr="00C81D29">
        <w:rPr>
          <w:i/>
        </w:rPr>
        <w:t>2012</w:t>
      </w:r>
      <w:r w:rsidR="00BE19F0">
        <w:t>, compared to their</w:t>
      </w:r>
      <w:r w:rsidR="00AD4F01">
        <w:t xml:space="preserve"> reduced scope and functions under the proposal.</w:t>
      </w:r>
      <w:r w:rsidR="00BE19F0">
        <w:t xml:space="preserve">  Estimates of savings are based on the curren</w:t>
      </w:r>
      <w:r w:rsidR="002C3184">
        <w:t>t caseload of the agencies, and their current funding profile over the forward estimates period.</w:t>
      </w:r>
    </w:p>
    <w:p w:rsidR="00C81D29" w:rsidRDefault="00E62D21" w:rsidP="00BE19F0">
      <w:pPr>
        <w:pStyle w:val="BodyText"/>
      </w:pPr>
      <w:r w:rsidRPr="00E62D21">
        <w:t xml:space="preserve">Due to the magnitude of the decrease in departmental expenditure, a provision has been included for redundancies.  The number of required redundancies was derived as the estimated reduction in average staffing levels, </w:t>
      </w:r>
      <w:r w:rsidR="00391EB0">
        <w:t>les</w:t>
      </w:r>
      <w:r w:rsidRPr="00E62D21">
        <w:t>s natural attrition</w:t>
      </w:r>
      <w:r w:rsidR="00F16DD7">
        <w:t>.</w:t>
      </w:r>
      <w:r w:rsidR="00D9178D">
        <w:t xml:space="preserve">  The average per person </w:t>
      </w:r>
    </w:p>
    <w:p w:rsidR="00C81D29" w:rsidRDefault="00C81D29">
      <w:pPr>
        <w:rPr>
          <w:rFonts w:cs="Times New Roman"/>
          <w:spacing w:val="-1"/>
        </w:rPr>
      </w:pPr>
      <w:r>
        <w:br w:type="page"/>
      </w:r>
    </w:p>
    <w:p w:rsidR="00E62D21" w:rsidRDefault="00D9178D" w:rsidP="00BE19F0">
      <w:pPr>
        <w:pStyle w:val="BodyText"/>
      </w:pPr>
      <w:proofErr w:type="gramStart"/>
      <w:r>
        <w:lastRenderedPageBreak/>
        <w:t>cost</w:t>
      </w:r>
      <w:proofErr w:type="gramEnd"/>
      <w:r>
        <w:t xml:space="preserve"> of a redundancy has been estimated at approximately $53,000.  This is based on average salary (excluding on-costs), average service length of 10.4 years (APS Statistical Bulletin</w:t>
      </w:r>
      <w:r w:rsidR="003A6775">
        <w:t> </w:t>
      </w:r>
      <w:r>
        <w:t>2015</w:t>
      </w:r>
      <w:r w:rsidR="003A6775">
        <w:noBreakHyphen/>
      </w:r>
      <w:r>
        <w:t>16) with a payout equal to two weeks’ salary per year of service, pro-rated for months of service.</w:t>
      </w:r>
    </w:p>
    <w:p w:rsidR="00FE2989" w:rsidRDefault="00FE2989" w:rsidP="00FE2989">
      <w:pPr>
        <w:pStyle w:val="BodyText"/>
      </w:pPr>
      <w:r>
        <w:t>All estimates have</w:t>
      </w:r>
      <w:r w:rsidR="00870CDB">
        <w:t xml:space="preserve"> been rounded to the nearest</w:t>
      </w:r>
      <w:r>
        <w:t xml:space="preserve"> million.</w:t>
      </w:r>
    </w:p>
    <w:p w:rsidR="00FE3B13" w:rsidRDefault="00FE3B13" w:rsidP="00FE3B13">
      <w:pPr>
        <w:pStyle w:val="Heading1"/>
      </w:pPr>
      <w:r>
        <w:t>Data sources</w:t>
      </w:r>
    </w:p>
    <w:p w:rsidR="00E95551" w:rsidRDefault="00C052F5" w:rsidP="00DF2134">
      <w:pPr>
        <w:pStyle w:val="BodyText"/>
      </w:pPr>
      <w:r>
        <w:t>The D</w:t>
      </w:r>
      <w:r w:rsidR="00E95551">
        <w:t>epartment of Finance provided 2016 Pre-Election Fiscal Outlook budget management system reports.</w:t>
      </w:r>
    </w:p>
    <w:p w:rsidR="00242BBE" w:rsidRDefault="00242BBE" w:rsidP="00DF2134">
      <w:pPr>
        <w:pStyle w:val="BodyText"/>
      </w:pPr>
    </w:p>
    <w:p w:rsidR="007D0ABE" w:rsidRPr="0046444F" w:rsidRDefault="007D0ABE" w:rsidP="00B311BA">
      <w:pPr>
        <w:pStyle w:val="BodyText"/>
      </w:pPr>
    </w:p>
    <w:p w:rsidR="0046444F" w:rsidRDefault="0046444F" w:rsidP="00B311BA">
      <w:pPr>
        <w:pStyle w:val="BodyText"/>
        <w:sectPr w:rsidR="0046444F" w:rsidSect="00DB5B84">
          <w:headerReference w:type="default" r:id="rId9"/>
          <w:footerReference w:type="default" r:id="rId10"/>
          <w:headerReference w:type="first" r:id="rId11"/>
          <w:footerReference w:type="first" r:id="rId12"/>
          <w:pgSz w:w="11906" w:h="16838" w:code="9"/>
          <w:pgMar w:top="1361" w:right="1797" w:bottom="1474" w:left="1797" w:header="284" w:footer="454" w:gutter="0"/>
          <w:pgNumType w:start="1"/>
          <w:cols w:space="708"/>
          <w:titlePg/>
          <w:docGrid w:linePitch="360"/>
        </w:sectPr>
      </w:pPr>
    </w:p>
    <w:p w:rsidR="00016D53" w:rsidRPr="002D239A" w:rsidRDefault="00016D53" w:rsidP="002D239A">
      <w:pPr>
        <w:pStyle w:val="Heading8"/>
      </w:pPr>
      <w:r w:rsidRPr="002D239A">
        <w:lastRenderedPageBreak/>
        <w:t xml:space="preserve">– </w:t>
      </w:r>
      <w:r w:rsidR="00FE2989">
        <w:t>Labour market</w:t>
      </w:r>
      <w:r w:rsidRPr="002D239A">
        <w:t>—financial implications</w:t>
      </w:r>
    </w:p>
    <w:p w:rsidR="00EF29E8" w:rsidRDefault="00EF29E8" w:rsidP="00EF29E8">
      <w:pPr>
        <w:pStyle w:val="Caption"/>
        <w:keepLines/>
        <w:rPr>
          <w:vertAlign w:val="superscript"/>
        </w:rPr>
      </w:pPr>
      <w:r w:rsidRPr="002D239A">
        <w:t xml:space="preserve">Table </w:t>
      </w:r>
      <w:r w:rsidR="008F7233">
        <w:fldChar w:fldCharType="begin"/>
      </w:r>
      <w:r w:rsidR="008F7233">
        <w:instrText xml:space="preserve"> STYLEREF 8 \s </w:instrText>
      </w:r>
      <w:r w:rsidR="008F7233">
        <w:fldChar w:fldCharType="separate"/>
      </w:r>
      <w:r w:rsidR="003A6775">
        <w:rPr>
          <w:noProof/>
        </w:rPr>
        <w:t>A</w:t>
      </w:r>
      <w:r w:rsidR="008F7233">
        <w:rPr>
          <w:noProof/>
        </w:rPr>
        <w:fldChar w:fldCharType="end"/>
      </w:r>
      <w:r w:rsidR="008F7233">
        <w:fldChar w:fldCharType="begin"/>
      </w:r>
      <w:r w:rsidR="008F7233">
        <w:instrText xml:space="preserve"> SEQ AppendixTable\s 8 </w:instrText>
      </w:r>
      <w:r w:rsidR="008F7233">
        <w:fldChar w:fldCharType="separate"/>
      </w:r>
      <w:r w:rsidR="003A6775">
        <w:rPr>
          <w:noProof/>
        </w:rPr>
        <w:t>1</w:t>
      </w:r>
      <w:r w:rsidR="008F7233">
        <w:rPr>
          <w:noProof/>
        </w:rPr>
        <w:fldChar w:fldCharType="end"/>
      </w:r>
      <w:r w:rsidRPr="002D239A">
        <w:t xml:space="preserve">: </w:t>
      </w:r>
      <w:r>
        <w:t xml:space="preserve">Labour market—Fiscal </w:t>
      </w:r>
      <w:proofErr w:type="gramStart"/>
      <w:r>
        <w:t>balance</w:t>
      </w:r>
      <w:r w:rsidRPr="002D239A">
        <w:rPr>
          <w:vertAlign w:val="superscript"/>
        </w:rPr>
        <w:t>(</w:t>
      </w:r>
      <w:proofErr w:type="gramEnd"/>
      <w:r w:rsidRPr="002D239A">
        <w:rPr>
          <w:vertAlign w:val="superscript"/>
        </w:rPr>
        <w:t>a)(b)</w:t>
      </w:r>
    </w:p>
    <w:tbl>
      <w:tblPr>
        <w:tblStyle w:val="LightGrid-Accent61"/>
        <w:tblW w:w="5000" w:type="pct"/>
        <w:tblLook w:val="0680" w:firstRow="0" w:lastRow="0" w:firstColumn="1" w:lastColumn="0" w:noHBand="1" w:noVBand="1"/>
      </w:tblPr>
      <w:tblGrid>
        <w:gridCol w:w="2505"/>
        <w:gridCol w:w="901"/>
        <w:gridCol w:w="901"/>
        <w:gridCol w:w="901"/>
        <w:gridCol w:w="901"/>
        <w:gridCol w:w="901"/>
        <w:gridCol w:w="902"/>
        <w:gridCol w:w="902"/>
        <w:gridCol w:w="902"/>
        <w:gridCol w:w="902"/>
        <w:gridCol w:w="902"/>
        <w:gridCol w:w="902"/>
        <w:gridCol w:w="902"/>
        <w:gridCol w:w="896"/>
      </w:tblGrid>
      <w:tr w:rsidR="00EF29E8" w:rsidRPr="000E4C2D" w:rsidTr="00AE1F0D">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EF29E8" w:rsidRPr="000E4C2D" w:rsidRDefault="00EF29E8" w:rsidP="00AE1F0D">
            <w:pPr>
              <w:keepNext/>
              <w:keepLines/>
              <w:spacing w:before="70" w:after="70" w:line="260" w:lineRule="atLeast"/>
              <w:ind w:left="-57" w:right="-57"/>
              <w:rPr>
                <w:rFonts w:ascii="Calibri" w:hAnsi="Calibri" w:cs="Times New Roman"/>
                <w:b w:val="0"/>
                <w:sz w:val="20"/>
              </w:rPr>
            </w:pPr>
            <w:r w:rsidRPr="000E4C2D">
              <w:rPr>
                <w:rFonts w:ascii="Calibri" w:hAnsi="Calibri" w:cs="Times New Roman"/>
                <w:b w:val="0"/>
                <w:sz w:val="20"/>
              </w:rPr>
              <w:t>($m)</w:t>
            </w:r>
          </w:p>
        </w:tc>
        <w:tc>
          <w:tcPr>
            <w:tcW w:w="317" w:type="pct"/>
            <w:shd w:val="clear" w:color="auto" w:fill="D7DDE9" w:themeFill="accent3"/>
            <w:vAlign w:val="center"/>
          </w:tcPr>
          <w:p w:rsidR="00EF29E8" w:rsidRPr="000E4C2D" w:rsidRDefault="00EF29E8"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2016–17</w:t>
            </w:r>
          </w:p>
        </w:tc>
        <w:tc>
          <w:tcPr>
            <w:tcW w:w="317" w:type="pct"/>
            <w:shd w:val="clear" w:color="auto" w:fill="D7DDE9" w:themeFill="accent3"/>
            <w:vAlign w:val="center"/>
          </w:tcPr>
          <w:p w:rsidR="00EF29E8" w:rsidRPr="000E4C2D" w:rsidRDefault="00EF29E8"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2017–18</w:t>
            </w:r>
          </w:p>
        </w:tc>
        <w:tc>
          <w:tcPr>
            <w:tcW w:w="317" w:type="pct"/>
            <w:shd w:val="clear" w:color="auto" w:fill="D7DDE9" w:themeFill="accent3"/>
            <w:vAlign w:val="center"/>
          </w:tcPr>
          <w:p w:rsidR="00EF29E8" w:rsidRPr="000E4C2D" w:rsidRDefault="00EF29E8"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2018–19</w:t>
            </w:r>
          </w:p>
        </w:tc>
        <w:tc>
          <w:tcPr>
            <w:tcW w:w="317" w:type="pct"/>
            <w:shd w:val="clear" w:color="auto" w:fill="D7DDE9" w:themeFill="accent3"/>
            <w:vAlign w:val="center"/>
          </w:tcPr>
          <w:p w:rsidR="00EF29E8" w:rsidRPr="000E4C2D" w:rsidRDefault="00EF29E8"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2019–20</w:t>
            </w:r>
          </w:p>
        </w:tc>
        <w:tc>
          <w:tcPr>
            <w:tcW w:w="317" w:type="pct"/>
            <w:shd w:val="clear" w:color="auto" w:fill="D7DDE9" w:themeFill="accent3"/>
            <w:vAlign w:val="center"/>
          </w:tcPr>
          <w:p w:rsidR="00EF29E8" w:rsidRPr="000E4C2D" w:rsidRDefault="00EF29E8"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0E4C2D">
              <w:rPr>
                <w:rFonts w:ascii="Calibri" w:hAnsi="Calibri" w:cs="Times New Roman"/>
                <w:b/>
                <w:sz w:val="20"/>
              </w:rPr>
              <w:t>Total to 2019–20</w:t>
            </w:r>
          </w:p>
        </w:tc>
        <w:tc>
          <w:tcPr>
            <w:tcW w:w="317" w:type="pct"/>
            <w:shd w:val="clear" w:color="auto" w:fill="D7DDE9" w:themeFill="accent3"/>
            <w:vAlign w:val="center"/>
          </w:tcPr>
          <w:p w:rsidR="00EF29E8" w:rsidRPr="000E4C2D" w:rsidRDefault="00EF29E8"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2020–21</w:t>
            </w:r>
          </w:p>
        </w:tc>
        <w:tc>
          <w:tcPr>
            <w:tcW w:w="317" w:type="pct"/>
            <w:shd w:val="clear" w:color="auto" w:fill="D7DDE9" w:themeFill="accent3"/>
            <w:vAlign w:val="center"/>
          </w:tcPr>
          <w:p w:rsidR="00EF29E8" w:rsidRPr="000E4C2D" w:rsidRDefault="00EF29E8"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2021–22</w:t>
            </w:r>
          </w:p>
        </w:tc>
        <w:tc>
          <w:tcPr>
            <w:tcW w:w="317" w:type="pct"/>
            <w:shd w:val="clear" w:color="auto" w:fill="D7DDE9" w:themeFill="accent3"/>
            <w:vAlign w:val="center"/>
          </w:tcPr>
          <w:p w:rsidR="00EF29E8" w:rsidRPr="000E4C2D" w:rsidRDefault="00EF29E8"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2022–23</w:t>
            </w:r>
          </w:p>
        </w:tc>
        <w:tc>
          <w:tcPr>
            <w:tcW w:w="317" w:type="pct"/>
            <w:shd w:val="clear" w:color="auto" w:fill="D7DDE9" w:themeFill="accent3"/>
            <w:vAlign w:val="center"/>
          </w:tcPr>
          <w:p w:rsidR="00EF29E8" w:rsidRPr="000E4C2D" w:rsidRDefault="00EF29E8"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2023–24</w:t>
            </w:r>
          </w:p>
        </w:tc>
        <w:tc>
          <w:tcPr>
            <w:tcW w:w="317" w:type="pct"/>
            <w:shd w:val="clear" w:color="auto" w:fill="D7DDE9" w:themeFill="accent3"/>
            <w:vAlign w:val="center"/>
          </w:tcPr>
          <w:p w:rsidR="00EF29E8" w:rsidRPr="000E4C2D" w:rsidRDefault="00EF29E8"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2024–25</w:t>
            </w:r>
          </w:p>
        </w:tc>
        <w:tc>
          <w:tcPr>
            <w:tcW w:w="317" w:type="pct"/>
            <w:shd w:val="clear" w:color="auto" w:fill="D7DDE9" w:themeFill="accent3"/>
            <w:vAlign w:val="center"/>
          </w:tcPr>
          <w:p w:rsidR="00EF29E8" w:rsidRPr="000E4C2D" w:rsidRDefault="00EF29E8"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2025–26</w:t>
            </w:r>
          </w:p>
        </w:tc>
        <w:tc>
          <w:tcPr>
            <w:tcW w:w="317" w:type="pct"/>
            <w:shd w:val="clear" w:color="auto" w:fill="D7DDE9" w:themeFill="accent3"/>
            <w:vAlign w:val="center"/>
          </w:tcPr>
          <w:p w:rsidR="00EF29E8" w:rsidRPr="000E4C2D" w:rsidRDefault="00EF29E8"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2026–27</w:t>
            </w:r>
          </w:p>
        </w:tc>
        <w:tc>
          <w:tcPr>
            <w:tcW w:w="315" w:type="pct"/>
            <w:shd w:val="clear" w:color="auto" w:fill="D7DDE9" w:themeFill="accent3"/>
            <w:vAlign w:val="center"/>
          </w:tcPr>
          <w:p w:rsidR="00EF29E8" w:rsidRPr="000E4C2D" w:rsidRDefault="00EF29E8"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0E4C2D">
              <w:rPr>
                <w:rFonts w:ascii="Calibri" w:hAnsi="Calibri" w:cs="Times New Roman"/>
                <w:b/>
                <w:sz w:val="20"/>
              </w:rPr>
              <w:t>Total to 2026–27</w:t>
            </w:r>
          </w:p>
        </w:tc>
      </w:tr>
      <w:tr w:rsidR="00EF29E8" w:rsidRPr="000E4C2D" w:rsidTr="00EF29E8">
        <w:tc>
          <w:tcPr>
            <w:cnfStyle w:val="001000000000" w:firstRow="0" w:lastRow="0" w:firstColumn="1" w:lastColumn="0" w:oddVBand="0" w:evenVBand="0" w:oddHBand="0" w:evenHBand="0" w:firstRowFirstColumn="0" w:firstRowLastColumn="0" w:lastRowFirstColumn="0" w:lastRowLastColumn="0"/>
            <w:tcW w:w="881" w:type="pct"/>
            <w:vAlign w:val="center"/>
          </w:tcPr>
          <w:p w:rsidR="00EF29E8" w:rsidRPr="00E65DA1" w:rsidRDefault="00EF29E8" w:rsidP="00C81D29">
            <w:pPr>
              <w:pStyle w:val="TableText"/>
              <w:keepNext/>
              <w:keepLines/>
              <w:ind w:left="-57" w:right="-57"/>
              <w:rPr>
                <w:b w:val="0"/>
              </w:rPr>
            </w:pPr>
            <w:r w:rsidRPr="00E65DA1">
              <w:rPr>
                <w:b w:val="0"/>
              </w:rPr>
              <w:t>Abolish modern awards, including minimum wage and penalty rate</w:t>
            </w:r>
            <w:r>
              <w:rPr>
                <w:b w:val="0"/>
              </w:rPr>
              <w:t>s</w:t>
            </w:r>
            <w:r w:rsidRPr="00E65DA1">
              <w:rPr>
                <w:b w:val="0"/>
              </w:rPr>
              <w:t xml:space="preserve"> </w:t>
            </w:r>
          </w:p>
        </w:tc>
        <w:tc>
          <w:tcPr>
            <w:tcW w:w="317" w:type="pct"/>
            <w:vAlign w:val="center"/>
          </w:tcPr>
          <w:p w:rsidR="00EF29E8" w:rsidRPr="000E4C2D" w:rsidRDefault="00EF29E8" w:rsidP="00AE1F0D">
            <w:pPr>
              <w:jc w:val="right"/>
              <w:cnfStyle w:val="000000000000" w:firstRow="0" w:lastRow="0" w:firstColumn="0" w:lastColumn="0" w:oddVBand="0" w:evenVBand="0" w:oddHBand="0" w:evenHBand="0" w:firstRowFirstColumn="0" w:firstRowLastColumn="0" w:lastRowFirstColumn="0" w:lastRowLastColumn="0"/>
              <w:rPr>
                <w:i/>
                <w:sz w:val="20"/>
              </w:rPr>
            </w:pPr>
            <w:r>
              <w:rPr>
                <w:i/>
                <w:sz w:val="20"/>
              </w:rPr>
              <w:t>-</w:t>
            </w:r>
          </w:p>
        </w:tc>
        <w:tc>
          <w:tcPr>
            <w:tcW w:w="317" w:type="pct"/>
            <w:vAlign w:val="center"/>
          </w:tcPr>
          <w:p w:rsidR="00EF29E8" w:rsidRPr="00E86EA3" w:rsidRDefault="00EF29E8" w:rsidP="00AE1F0D">
            <w:pPr>
              <w:jc w:val="right"/>
              <w:cnfStyle w:val="000000000000" w:firstRow="0" w:lastRow="0" w:firstColumn="0" w:lastColumn="0" w:oddVBand="0" w:evenVBand="0" w:oddHBand="0" w:evenHBand="0" w:firstRowFirstColumn="0" w:firstRowLastColumn="0" w:lastRowFirstColumn="0" w:lastRowLastColumn="0"/>
              <w:rPr>
                <w:i/>
                <w:sz w:val="20"/>
              </w:rPr>
            </w:pPr>
            <w:r>
              <w:rPr>
                <w:i/>
                <w:sz w:val="20"/>
              </w:rPr>
              <w:t>49</w:t>
            </w:r>
          </w:p>
        </w:tc>
        <w:tc>
          <w:tcPr>
            <w:tcW w:w="317" w:type="pct"/>
            <w:vAlign w:val="center"/>
          </w:tcPr>
          <w:p w:rsidR="00EF29E8" w:rsidRPr="00E86EA3" w:rsidRDefault="00EF29E8" w:rsidP="00AE1F0D">
            <w:pPr>
              <w:jc w:val="right"/>
              <w:cnfStyle w:val="000000000000" w:firstRow="0" w:lastRow="0" w:firstColumn="0" w:lastColumn="0" w:oddVBand="0" w:evenVBand="0" w:oddHBand="0" w:evenHBand="0" w:firstRowFirstColumn="0" w:firstRowLastColumn="0" w:lastRowFirstColumn="0" w:lastRowLastColumn="0"/>
              <w:rPr>
                <w:i/>
                <w:sz w:val="20"/>
              </w:rPr>
            </w:pPr>
            <w:r>
              <w:rPr>
                <w:i/>
                <w:sz w:val="20"/>
              </w:rPr>
              <w:t>50</w:t>
            </w:r>
          </w:p>
        </w:tc>
        <w:tc>
          <w:tcPr>
            <w:tcW w:w="317" w:type="pct"/>
            <w:vAlign w:val="center"/>
          </w:tcPr>
          <w:p w:rsidR="00EF29E8" w:rsidRPr="00E86EA3" w:rsidRDefault="00EF29E8" w:rsidP="00AE1F0D">
            <w:pPr>
              <w:jc w:val="right"/>
              <w:cnfStyle w:val="000000000000" w:firstRow="0" w:lastRow="0" w:firstColumn="0" w:lastColumn="0" w:oddVBand="0" w:evenVBand="0" w:oddHBand="0" w:evenHBand="0" w:firstRowFirstColumn="0" w:firstRowLastColumn="0" w:lastRowFirstColumn="0" w:lastRowLastColumn="0"/>
              <w:rPr>
                <w:i/>
                <w:sz w:val="20"/>
              </w:rPr>
            </w:pPr>
            <w:r>
              <w:rPr>
                <w:i/>
                <w:sz w:val="20"/>
              </w:rPr>
              <w:t>51</w:t>
            </w:r>
          </w:p>
        </w:tc>
        <w:tc>
          <w:tcPr>
            <w:tcW w:w="317" w:type="pct"/>
            <w:vAlign w:val="center"/>
          </w:tcPr>
          <w:p w:rsidR="00EF29E8" w:rsidRPr="00EF29E8" w:rsidRDefault="00EF29E8" w:rsidP="00AE1F0D">
            <w:pPr>
              <w:jc w:val="right"/>
              <w:cnfStyle w:val="000000000000" w:firstRow="0" w:lastRow="0" w:firstColumn="0" w:lastColumn="0" w:oddVBand="0" w:evenVBand="0" w:oddHBand="0" w:evenHBand="0" w:firstRowFirstColumn="0" w:firstRowLastColumn="0" w:lastRowFirstColumn="0" w:lastRowLastColumn="0"/>
              <w:rPr>
                <w:i/>
                <w:sz w:val="20"/>
              </w:rPr>
            </w:pPr>
            <w:r w:rsidRPr="00EF29E8">
              <w:rPr>
                <w:i/>
                <w:sz w:val="20"/>
              </w:rPr>
              <w:t>150</w:t>
            </w:r>
          </w:p>
        </w:tc>
        <w:tc>
          <w:tcPr>
            <w:tcW w:w="317" w:type="pct"/>
            <w:vAlign w:val="center"/>
          </w:tcPr>
          <w:p w:rsidR="00EF29E8" w:rsidRPr="00EF29E8" w:rsidRDefault="00EF29E8" w:rsidP="00EF29E8">
            <w:pPr>
              <w:jc w:val="right"/>
              <w:cnfStyle w:val="000000000000" w:firstRow="0" w:lastRow="0" w:firstColumn="0" w:lastColumn="0" w:oddVBand="0" w:evenVBand="0" w:oddHBand="0" w:evenHBand="0" w:firstRowFirstColumn="0" w:firstRowLastColumn="0" w:lastRowFirstColumn="0" w:lastRowLastColumn="0"/>
              <w:rPr>
                <w:i/>
                <w:sz w:val="20"/>
              </w:rPr>
            </w:pPr>
            <w:r w:rsidRPr="00EF29E8">
              <w:rPr>
                <w:i/>
                <w:sz w:val="20"/>
              </w:rPr>
              <w:t>51</w:t>
            </w:r>
          </w:p>
        </w:tc>
        <w:tc>
          <w:tcPr>
            <w:tcW w:w="317" w:type="pct"/>
            <w:vAlign w:val="center"/>
          </w:tcPr>
          <w:p w:rsidR="00EF29E8" w:rsidRPr="00EF29E8" w:rsidRDefault="00EF29E8" w:rsidP="00EF29E8">
            <w:pPr>
              <w:jc w:val="right"/>
              <w:cnfStyle w:val="000000000000" w:firstRow="0" w:lastRow="0" w:firstColumn="0" w:lastColumn="0" w:oddVBand="0" w:evenVBand="0" w:oddHBand="0" w:evenHBand="0" w:firstRowFirstColumn="0" w:firstRowLastColumn="0" w:lastRowFirstColumn="0" w:lastRowLastColumn="0"/>
              <w:rPr>
                <w:i/>
                <w:sz w:val="20"/>
              </w:rPr>
            </w:pPr>
            <w:r w:rsidRPr="00EF29E8">
              <w:rPr>
                <w:i/>
                <w:sz w:val="20"/>
              </w:rPr>
              <w:t>51</w:t>
            </w:r>
          </w:p>
        </w:tc>
        <w:tc>
          <w:tcPr>
            <w:tcW w:w="317" w:type="pct"/>
            <w:vAlign w:val="center"/>
          </w:tcPr>
          <w:p w:rsidR="00EF29E8" w:rsidRPr="00EF29E8" w:rsidRDefault="00EF29E8" w:rsidP="00EF29E8">
            <w:pPr>
              <w:jc w:val="right"/>
              <w:cnfStyle w:val="000000000000" w:firstRow="0" w:lastRow="0" w:firstColumn="0" w:lastColumn="0" w:oddVBand="0" w:evenVBand="0" w:oddHBand="0" w:evenHBand="0" w:firstRowFirstColumn="0" w:firstRowLastColumn="0" w:lastRowFirstColumn="0" w:lastRowLastColumn="0"/>
              <w:rPr>
                <w:i/>
                <w:sz w:val="20"/>
              </w:rPr>
            </w:pPr>
            <w:r w:rsidRPr="00EF29E8">
              <w:rPr>
                <w:i/>
                <w:sz w:val="20"/>
              </w:rPr>
              <w:t>52</w:t>
            </w:r>
          </w:p>
        </w:tc>
        <w:tc>
          <w:tcPr>
            <w:tcW w:w="317" w:type="pct"/>
            <w:vAlign w:val="center"/>
          </w:tcPr>
          <w:p w:rsidR="00EF29E8" w:rsidRPr="00EF29E8" w:rsidRDefault="00EF29E8" w:rsidP="00EF29E8">
            <w:pPr>
              <w:jc w:val="right"/>
              <w:cnfStyle w:val="000000000000" w:firstRow="0" w:lastRow="0" w:firstColumn="0" w:lastColumn="0" w:oddVBand="0" w:evenVBand="0" w:oddHBand="0" w:evenHBand="0" w:firstRowFirstColumn="0" w:firstRowLastColumn="0" w:lastRowFirstColumn="0" w:lastRowLastColumn="0"/>
              <w:rPr>
                <w:i/>
                <w:sz w:val="20"/>
              </w:rPr>
            </w:pPr>
            <w:r w:rsidRPr="00EF29E8">
              <w:rPr>
                <w:i/>
                <w:sz w:val="20"/>
              </w:rPr>
              <w:t>52</w:t>
            </w:r>
          </w:p>
        </w:tc>
        <w:tc>
          <w:tcPr>
            <w:tcW w:w="317" w:type="pct"/>
            <w:vAlign w:val="center"/>
          </w:tcPr>
          <w:p w:rsidR="00EF29E8" w:rsidRPr="00EF29E8" w:rsidRDefault="00EF29E8" w:rsidP="00EF29E8">
            <w:pPr>
              <w:jc w:val="right"/>
              <w:cnfStyle w:val="000000000000" w:firstRow="0" w:lastRow="0" w:firstColumn="0" w:lastColumn="0" w:oddVBand="0" w:evenVBand="0" w:oddHBand="0" w:evenHBand="0" w:firstRowFirstColumn="0" w:firstRowLastColumn="0" w:lastRowFirstColumn="0" w:lastRowLastColumn="0"/>
              <w:rPr>
                <w:i/>
                <w:sz w:val="20"/>
              </w:rPr>
            </w:pPr>
            <w:r w:rsidRPr="00EF29E8">
              <w:rPr>
                <w:i/>
                <w:sz w:val="20"/>
              </w:rPr>
              <w:t>53</w:t>
            </w:r>
          </w:p>
        </w:tc>
        <w:tc>
          <w:tcPr>
            <w:tcW w:w="317" w:type="pct"/>
            <w:vAlign w:val="center"/>
          </w:tcPr>
          <w:p w:rsidR="00EF29E8" w:rsidRPr="00EF29E8" w:rsidRDefault="00EF29E8" w:rsidP="00EF29E8">
            <w:pPr>
              <w:jc w:val="right"/>
              <w:cnfStyle w:val="000000000000" w:firstRow="0" w:lastRow="0" w:firstColumn="0" w:lastColumn="0" w:oddVBand="0" w:evenVBand="0" w:oddHBand="0" w:evenHBand="0" w:firstRowFirstColumn="0" w:firstRowLastColumn="0" w:lastRowFirstColumn="0" w:lastRowLastColumn="0"/>
              <w:rPr>
                <w:i/>
                <w:sz w:val="20"/>
              </w:rPr>
            </w:pPr>
            <w:r w:rsidRPr="00EF29E8">
              <w:rPr>
                <w:i/>
                <w:sz w:val="20"/>
              </w:rPr>
              <w:t>53</w:t>
            </w:r>
          </w:p>
        </w:tc>
        <w:tc>
          <w:tcPr>
            <w:tcW w:w="317" w:type="pct"/>
            <w:vAlign w:val="center"/>
          </w:tcPr>
          <w:p w:rsidR="00EF29E8" w:rsidRPr="00EF29E8" w:rsidRDefault="00EF29E8" w:rsidP="00EF29E8">
            <w:pPr>
              <w:jc w:val="right"/>
              <w:cnfStyle w:val="000000000000" w:firstRow="0" w:lastRow="0" w:firstColumn="0" w:lastColumn="0" w:oddVBand="0" w:evenVBand="0" w:oddHBand="0" w:evenHBand="0" w:firstRowFirstColumn="0" w:firstRowLastColumn="0" w:lastRowFirstColumn="0" w:lastRowLastColumn="0"/>
              <w:rPr>
                <w:i/>
                <w:sz w:val="20"/>
              </w:rPr>
            </w:pPr>
            <w:r w:rsidRPr="00EF29E8">
              <w:rPr>
                <w:i/>
                <w:sz w:val="20"/>
              </w:rPr>
              <w:t>53</w:t>
            </w:r>
          </w:p>
        </w:tc>
        <w:tc>
          <w:tcPr>
            <w:tcW w:w="315" w:type="pct"/>
            <w:vAlign w:val="center"/>
          </w:tcPr>
          <w:p w:rsidR="00EF29E8" w:rsidRPr="00EF29E8" w:rsidRDefault="00EF29E8" w:rsidP="00EF29E8">
            <w:pPr>
              <w:jc w:val="right"/>
              <w:cnfStyle w:val="000000000000" w:firstRow="0" w:lastRow="0" w:firstColumn="0" w:lastColumn="0" w:oddVBand="0" w:evenVBand="0" w:oddHBand="0" w:evenHBand="0" w:firstRowFirstColumn="0" w:firstRowLastColumn="0" w:lastRowFirstColumn="0" w:lastRowLastColumn="0"/>
              <w:rPr>
                <w:sz w:val="20"/>
              </w:rPr>
            </w:pPr>
            <w:r w:rsidRPr="00EF29E8">
              <w:rPr>
                <w:i/>
                <w:sz w:val="20"/>
              </w:rPr>
              <w:t>515</w:t>
            </w:r>
          </w:p>
        </w:tc>
      </w:tr>
      <w:tr w:rsidR="00EF29E8" w:rsidRPr="000E4C2D" w:rsidTr="000E2252">
        <w:tc>
          <w:tcPr>
            <w:cnfStyle w:val="001000000000" w:firstRow="0" w:lastRow="0" w:firstColumn="1" w:lastColumn="0" w:oddVBand="0" w:evenVBand="0" w:oddHBand="0" w:evenHBand="0" w:firstRowFirstColumn="0" w:firstRowLastColumn="0" w:lastRowFirstColumn="0" w:lastRowLastColumn="0"/>
            <w:tcW w:w="881" w:type="pct"/>
            <w:vAlign w:val="center"/>
          </w:tcPr>
          <w:p w:rsidR="00EF29E8" w:rsidRPr="00E65DA1" w:rsidRDefault="00EF29E8" w:rsidP="00C81D29">
            <w:pPr>
              <w:pStyle w:val="TableText"/>
              <w:keepNext/>
              <w:keepLines/>
              <w:ind w:left="-57" w:right="-57"/>
              <w:rPr>
                <w:b w:val="0"/>
              </w:rPr>
            </w:pPr>
            <w:r w:rsidRPr="00E65DA1">
              <w:rPr>
                <w:b w:val="0"/>
              </w:rPr>
              <w:t>Abolish unfair dismissal provisions</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106</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106</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108</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320</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109</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110</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111</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112</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113</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113</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114</w:t>
            </w:r>
          </w:p>
        </w:tc>
        <w:tc>
          <w:tcPr>
            <w:tcW w:w="315"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1</w:t>
            </w:r>
            <w:r w:rsidR="0028276B">
              <w:t>,</w:t>
            </w:r>
            <w:r w:rsidRPr="00EF29E8">
              <w:t>103</w:t>
            </w:r>
          </w:p>
        </w:tc>
      </w:tr>
      <w:tr w:rsidR="00EF29E8" w:rsidRPr="000E4C2D" w:rsidTr="00EF29E8">
        <w:tc>
          <w:tcPr>
            <w:cnfStyle w:val="001000000000" w:firstRow="0" w:lastRow="0" w:firstColumn="1" w:lastColumn="0" w:oddVBand="0" w:evenVBand="0" w:oddHBand="0" w:evenHBand="0" w:firstRowFirstColumn="0" w:firstRowLastColumn="0" w:lastRowFirstColumn="0" w:lastRowLastColumn="0"/>
            <w:tcW w:w="881" w:type="pct"/>
            <w:vAlign w:val="center"/>
          </w:tcPr>
          <w:p w:rsidR="00EF29E8" w:rsidRPr="00E65DA1" w:rsidRDefault="00EF29E8" w:rsidP="00C81D29">
            <w:pPr>
              <w:pStyle w:val="TableText"/>
              <w:keepNext/>
              <w:keepLines/>
              <w:ind w:left="-57" w:right="-57"/>
              <w:rPr>
                <w:b w:val="0"/>
              </w:rPr>
            </w:pPr>
            <w:r w:rsidRPr="00E65DA1">
              <w:rPr>
                <w:b w:val="0"/>
              </w:rPr>
              <w:t>Abolish all other restrictions on employer</w:t>
            </w:r>
            <w:r w:rsidRPr="00E65DA1">
              <w:rPr>
                <w:b w:val="0"/>
              </w:rPr>
              <w:noBreakHyphen/>
              <w:t>employee interactions</w:t>
            </w:r>
            <w:r w:rsidRPr="00E65DA1">
              <w:rPr>
                <w:b w:val="0"/>
                <w:vertAlign w:val="superscript"/>
              </w:rPr>
              <w:t>(c)</w:t>
            </w:r>
          </w:p>
        </w:tc>
        <w:tc>
          <w:tcPr>
            <w:tcW w:w="317" w:type="pct"/>
            <w:vAlign w:val="center"/>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w:t>
            </w:r>
          </w:p>
        </w:tc>
        <w:tc>
          <w:tcPr>
            <w:tcW w:w="317" w:type="pct"/>
            <w:vAlign w:val="center"/>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62</w:t>
            </w:r>
          </w:p>
        </w:tc>
        <w:tc>
          <w:tcPr>
            <w:tcW w:w="317" w:type="pct"/>
            <w:vAlign w:val="center"/>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63</w:t>
            </w:r>
          </w:p>
        </w:tc>
        <w:tc>
          <w:tcPr>
            <w:tcW w:w="317" w:type="pct"/>
            <w:vAlign w:val="center"/>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64</w:t>
            </w:r>
          </w:p>
        </w:tc>
        <w:tc>
          <w:tcPr>
            <w:tcW w:w="317" w:type="pct"/>
            <w:vAlign w:val="center"/>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189</w:t>
            </w:r>
          </w:p>
        </w:tc>
        <w:tc>
          <w:tcPr>
            <w:tcW w:w="317" w:type="pct"/>
            <w:vAlign w:val="center"/>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64</w:t>
            </w:r>
          </w:p>
        </w:tc>
        <w:tc>
          <w:tcPr>
            <w:tcW w:w="317" w:type="pct"/>
            <w:vAlign w:val="center"/>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65</w:t>
            </w:r>
          </w:p>
        </w:tc>
        <w:tc>
          <w:tcPr>
            <w:tcW w:w="317" w:type="pct"/>
            <w:vAlign w:val="center"/>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65</w:t>
            </w:r>
          </w:p>
        </w:tc>
        <w:tc>
          <w:tcPr>
            <w:tcW w:w="317" w:type="pct"/>
            <w:vAlign w:val="center"/>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66</w:t>
            </w:r>
          </w:p>
        </w:tc>
        <w:tc>
          <w:tcPr>
            <w:tcW w:w="317" w:type="pct"/>
            <w:vAlign w:val="center"/>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66</w:t>
            </w:r>
          </w:p>
        </w:tc>
        <w:tc>
          <w:tcPr>
            <w:tcW w:w="317" w:type="pct"/>
            <w:vAlign w:val="center"/>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67</w:t>
            </w:r>
          </w:p>
        </w:tc>
        <w:tc>
          <w:tcPr>
            <w:tcW w:w="317" w:type="pct"/>
            <w:vAlign w:val="center"/>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67</w:t>
            </w:r>
          </w:p>
        </w:tc>
        <w:tc>
          <w:tcPr>
            <w:tcW w:w="315" w:type="pct"/>
            <w:vAlign w:val="center"/>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650</w:t>
            </w:r>
          </w:p>
        </w:tc>
      </w:tr>
      <w:tr w:rsidR="00EF29E8" w:rsidRPr="000E4C2D" w:rsidTr="000E2252">
        <w:tc>
          <w:tcPr>
            <w:cnfStyle w:val="001000000000" w:firstRow="0" w:lastRow="0" w:firstColumn="1" w:lastColumn="0" w:oddVBand="0" w:evenVBand="0" w:oddHBand="0" w:evenHBand="0" w:firstRowFirstColumn="0" w:firstRowLastColumn="0" w:lastRowFirstColumn="0" w:lastRowLastColumn="0"/>
            <w:tcW w:w="881" w:type="pct"/>
            <w:vAlign w:val="center"/>
          </w:tcPr>
          <w:p w:rsidR="00EF29E8" w:rsidRPr="00E65DA1" w:rsidRDefault="00EF29E8" w:rsidP="00C81D29">
            <w:pPr>
              <w:pStyle w:val="TableText"/>
              <w:keepNext/>
              <w:keepLines/>
              <w:ind w:left="-57" w:right="-57"/>
              <w:rPr>
                <w:b w:val="0"/>
              </w:rPr>
            </w:pPr>
            <w:r>
              <w:rPr>
                <w:b w:val="0"/>
              </w:rPr>
              <w:t>Redundancy payments</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-49</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-49</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w:t>
            </w:r>
          </w:p>
        </w:tc>
        <w:tc>
          <w:tcPr>
            <w:tcW w:w="317"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w:t>
            </w:r>
          </w:p>
        </w:tc>
        <w:tc>
          <w:tcPr>
            <w:tcW w:w="315" w:type="pct"/>
            <w:vAlign w:val="bottom"/>
          </w:tcPr>
          <w:p w:rsidR="00EF29E8" w:rsidRPr="00EF29E8" w:rsidRDefault="00EF29E8" w:rsidP="00EF29E8">
            <w:pPr>
              <w:pStyle w:val="TableTextRightItalic"/>
              <w:cnfStyle w:val="000000000000" w:firstRow="0" w:lastRow="0" w:firstColumn="0" w:lastColumn="0" w:oddVBand="0" w:evenVBand="0" w:oddHBand="0" w:evenHBand="0" w:firstRowFirstColumn="0" w:firstRowLastColumn="0" w:lastRowFirstColumn="0" w:lastRowLastColumn="0"/>
            </w:pPr>
            <w:r w:rsidRPr="00EF29E8">
              <w:t>-49</w:t>
            </w:r>
          </w:p>
        </w:tc>
      </w:tr>
      <w:tr w:rsidR="00EF29E8" w:rsidRPr="000E4C2D" w:rsidTr="000E2252">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EF29E8" w:rsidRPr="000E4C2D" w:rsidRDefault="00EF29E8" w:rsidP="00AE1F0D">
            <w:pPr>
              <w:keepNext/>
              <w:keepLines/>
              <w:spacing w:before="70" w:after="70" w:line="260" w:lineRule="atLeast"/>
              <w:ind w:left="-57" w:right="-57"/>
              <w:rPr>
                <w:rFonts w:ascii="Calibri" w:hAnsi="Calibri" w:cs="Times New Roman"/>
                <w:sz w:val="20"/>
              </w:rPr>
            </w:pPr>
            <w:r w:rsidRPr="000E4C2D">
              <w:rPr>
                <w:rFonts w:ascii="Calibri" w:hAnsi="Calibri" w:cs="Times New Roman"/>
                <w:sz w:val="20"/>
              </w:rPr>
              <w:t>Total</w:t>
            </w:r>
          </w:p>
        </w:tc>
        <w:tc>
          <w:tcPr>
            <w:tcW w:w="317" w:type="pct"/>
            <w:shd w:val="clear" w:color="auto" w:fill="D7DDE9" w:themeFill="accent3"/>
            <w:vAlign w:val="bottom"/>
          </w:tcPr>
          <w:p w:rsidR="00EF29E8" w:rsidRPr="00EF29E8" w:rsidRDefault="00EF29E8" w:rsidP="00EF29E8">
            <w:pPr>
              <w:pStyle w:val="TableTextRight"/>
              <w:cnfStyle w:val="000000000000" w:firstRow="0" w:lastRow="0" w:firstColumn="0" w:lastColumn="0" w:oddVBand="0" w:evenVBand="0" w:oddHBand="0" w:evenHBand="0" w:firstRowFirstColumn="0" w:firstRowLastColumn="0" w:lastRowFirstColumn="0" w:lastRowLastColumn="0"/>
              <w:rPr>
                <w:b/>
              </w:rPr>
            </w:pPr>
            <w:r w:rsidRPr="00EF29E8">
              <w:rPr>
                <w:b/>
              </w:rPr>
              <w:t>-</w:t>
            </w:r>
          </w:p>
        </w:tc>
        <w:tc>
          <w:tcPr>
            <w:tcW w:w="317" w:type="pct"/>
            <w:shd w:val="clear" w:color="auto" w:fill="D7DDE9" w:themeFill="accent3"/>
            <w:vAlign w:val="bottom"/>
          </w:tcPr>
          <w:p w:rsidR="00EF29E8" w:rsidRPr="00EF29E8" w:rsidRDefault="00EF29E8" w:rsidP="00EF29E8">
            <w:pPr>
              <w:pStyle w:val="TableTextRight"/>
              <w:cnfStyle w:val="000000000000" w:firstRow="0" w:lastRow="0" w:firstColumn="0" w:lastColumn="0" w:oddVBand="0" w:evenVBand="0" w:oddHBand="0" w:evenHBand="0" w:firstRowFirstColumn="0" w:firstRowLastColumn="0" w:lastRowFirstColumn="0" w:lastRowLastColumn="0"/>
              <w:rPr>
                <w:b/>
              </w:rPr>
            </w:pPr>
            <w:r w:rsidRPr="00EF29E8">
              <w:rPr>
                <w:b/>
              </w:rPr>
              <w:t>168</w:t>
            </w:r>
          </w:p>
        </w:tc>
        <w:tc>
          <w:tcPr>
            <w:tcW w:w="317" w:type="pct"/>
            <w:shd w:val="clear" w:color="auto" w:fill="D7DDE9" w:themeFill="accent3"/>
            <w:vAlign w:val="bottom"/>
          </w:tcPr>
          <w:p w:rsidR="00EF29E8" w:rsidRPr="00EF29E8" w:rsidRDefault="00EF29E8" w:rsidP="00EF29E8">
            <w:pPr>
              <w:pStyle w:val="TableTextRight"/>
              <w:cnfStyle w:val="000000000000" w:firstRow="0" w:lastRow="0" w:firstColumn="0" w:lastColumn="0" w:oddVBand="0" w:evenVBand="0" w:oddHBand="0" w:evenHBand="0" w:firstRowFirstColumn="0" w:firstRowLastColumn="0" w:lastRowFirstColumn="0" w:lastRowLastColumn="0"/>
              <w:rPr>
                <w:b/>
              </w:rPr>
            </w:pPr>
            <w:r w:rsidRPr="00EF29E8">
              <w:rPr>
                <w:b/>
              </w:rPr>
              <w:t>219</w:t>
            </w:r>
          </w:p>
        </w:tc>
        <w:tc>
          <w:tcPr>
            <w:tcW w:w="317" w:type="pct"/>
            <w:shd w:val="clear" w:color="auto" w:fill="D7DDE9" w:themeFill="accent3"/>
            <w:vAlign w:val="bottom"/>
          </w:tcPr>
          <w:p w:rsidR="00EF29E8" w:rsidRPr="00EF29E8" w:rsidRDefault="00EF29E8" w:rsidP="00EF29E8">
            <w:pPr>
              <w:pStyle w:val="TableTextRight"/>
              <w:cnfStyle w:val="000000000000" w:firstRow="0" w:lastRow="0" w:firstColumn="0" w:lastColumn="0" w:oddVBand="0" w:evenVBand="0" w:oddHBand="0" w:evenHBand="0" w:firstRowFirstColumn="0" w:firstRowLastColumn="0" w:lastRowFirstColumn="0" w:lastRowLastColumn="0"/>
              <w:rPr>
                <w:b/>
              </w:rPr>
            </w:pPr>
            <w:r w:rsidRPr="00EF29E8">
              <w:rPr>
                <w:b/>
              </w:rPr>
              <w:t>223</w:t>
            </w:r>
          </w:p>
        </w:tc>
        <w:tc>
          <w:tcPr>
            <w:tcW w:w="317" w:type="pct"/>
            <w:shd w:val="clear" w:color="auto" w:fill="D7DDE9" w:themeFill="accent3"/>
            <w:vAlign w:val="bottom"/>
          </w:tcPr>
          <w:p w:rsidR="00EF29E8" w:rsidRPr="00EF29E8" w:rsidRDefault="00EF29E8" w:rsidP="00EF29E8">
            <w:pPr>
              <w:pStyle w:val="TableTextRight"/>
              <w:cnfStyle w:val="000000000000" w:firstRow="0" w:lastRow="0" w:firstColumn="0" w:lastColumn="0" w:oddVBand="0" w:evenVBand="0" w:oddHBand="0" w:evenHBand="0" w:firstRowFirstColumn="0" w:firstRowLastColumn="0" w:lastRowFirstColumn="0" w:lastRowLastColumn="0"/>
              <w:rPr>
                <w:b/>
              </w:rPr>
            </w:pPr>
            <w:r w:rsidRPr="00EF29E8">
              <w:rPr>
                <w:b/>
              </w:rPr>
              <w:t>610</w:t>
            </w:r>
          </w:p>
        </w:tc>
        <w:tc>
          <w:tcPr>
            <w:tcW w:w="317" w:type="pct"/>
            <w:shd w:val="clear" w:color="auto" w:fill="D7DDE9" w:themeFill="accent3"/>
            <w:vAlign w:val="bottom"/>
          </w:tcPr>
          <w:p w:rsidR="00EF29E8" w:rsidRPr="00EF29E8" w:rsidRDefault="00EF29E8" w:rsidP="00EF29E8">
            <w:pPr>
              <w:pStyle w:val="TableTextRight"/>
              <w:cnfStyle w:val="000000000000" w:firstRow="0" w:lastRow="0" w:firstColumn="0" w:lastColumn="0" w:oddVBand="0" w:evenVBand="0" w:oddHBand="0" w:evenHBand="0" w:firstRowFirstColumn="0" w:firstRowLastColumn="0" w:lastRowFirstColumn="0" w:lastRowLastColumn="0"/>
              <w:rPr>
                <w:b/>
              </w:rPr>
            </w:pPr>
            <w:r w:rsidRPr="00EF29E8">
              <w:rPr>
                <w:b/>
              </w:rPr>
              <w:t>224</w:t>
            </w:r>
          </w:p>
        </w:tc>
        <w:tc>
          <w:tcPr>
            <w:tcW w:w="317" w:type="pct"/>
            <w:shd w:val="clear" w:color="auto" w:fill="D7DDE9" w:themeFill="accent3"/>
            <w:vAlign w:val="bottom"/>
          </w:tcPr>
          <w:p w:rsidR="00EF29E8" w:rsidRPr="00EF29E8" w:rsidRDefault="00EF29E8" w:rsidP="00EF29E8">
            <w:pPr>
              <w:pStyle w:val="TableTextRight"/>
              <w:cnfStyle w:val="000000000000" w:firstRow="0" w:lastRow="0" w:firstColumn="0" w:lastColumn="0" w:oddVBand="0" w:evenVBand="0" w:oddHBand="0" w:evenHBand="0" w:firstRowFirstColumn="0" w:firstRowLastColumn="0" w:lastRowFirstColumn="0" w:lastRowLastColumn="0"/>
              <w:rPr>
                <w:b/>
              </w:rPr>
            </w:pPr>
            <w:r w:rsidRPr="00EF29E8">
              <w:rPr>
                <w:b/>
              </w:rPr>
              <w:t>226</w:t>
            </w:r>
          </w:p>
        </w:tc>
        <w:tc>
          <w:tcPr>
            <w:tcW w:w="317" w:type="pct"/>
            <w:shd w:val="clear" w:color="auto" w:fill="D7DDE9" w:themeFill="accent3"/>
            <w:vAlign w:val="bottom"/>
          </w:tcPr>
          <w:p w:rsidR="00EF29E8" w:rsidRPr="00EF29E8" w:rsidRDefault="00EF29E8" w:rsidP="00EF29E8">
            <w:pPr>
              <w:pStyle w:val="TableTextRight"/>
              <w:cnfStyle w:val="000000000000" w:firstRow="0" w:lastRow="0" w:firstColumn="0" w:lastColumn="0" w:oddVBand="0" w:evenVBand="0" w:oddHBand="0" w:evenHBand="0" w:firstRowFirstColumn="0" w:firstRowLastColumn="0" w:lastRowFirstColumn="0" w:lastRowLastColumn="0"/>
              <w:rPr>
                <w:b/>
              </w:rPr>
            </w:pPr>
            <w:r w:rsidRPr="00EF29E8">
              <w:rPr>
                <w:b/>
              </w:rPr>
              <w:t>228</w:t>
            </w:r>
          </w:p>
        </w:tc>
        <w:tc>
          <w:tcPr>
            <w:tcW w:w="317" w:type="pct"/>
            <w:shd w:val="clear" w:color="auto" w:fill="D7DDE9" w:themeFill="accent3"/>
            <w:vAlign w:val="bottom"/>
          </w:tcPr>
          <w:p w:rsidR="00EF29E8" w:rsidRPr="00EF29E8" w:rsidRDefault="00EF29E8" w:rsidP="00EF29E8">
            <w:pPr>
              <w:pStyle w:val="TableTextRight"/>
              <w:cnfStyle w:val="000000000000" w:firstRow="0" w:lastRow="0" w:firstColumn="0" w:lastColumn="0" w:oddVBand="0" w:evenVBand="0" w:oddHBand="0" w:evenHBand="0" w:firstRowFirstColumn="0" w:firstRowLastColumn="0" w:lastRowFirstColumn="0" w:lastRowLastColumn="0"/>
              <w:rPr>
                <w:b/>
              </w:rPr>
            </w:pPr>
            <w:r w:rsidRPr="00EF29E8">
              <w:rPr>
                <w:b/>
              </w:rPr>
              <w:t>230</w:t>
            </w:r>
          </w:p>
        </w:tc>
        <w:tc>
          <w:tcPr>
            <w:tcW w:w="317" w:type="pct"/>
            <w:shd w:val="clear" w:color="auto" w:fill="D7DDE9" w:themeFill="accent3"/>
            <w:vAlign w:val="bottom"/>
          </w:tcPr>
          <w:p w:rsidR="00EF29E8" w:rsidRPr="00EF29E8" w:rsidRDefault="00EF29E8" w:rsidP="00EF29E8">
            <w:pPr>
              <w:pStyle w:val="TableTextRight"/>
              <w:cnfStyle w:val="000000000000" w:firstRow="0" w:lastRow="0" w:firstColumn="0" w:lastColumn="0" w:oddVBand="0" w:evenVBand="0" w:oddHBand="0" w:evenHBand="0" w:firstRowFirstColumn="0" w:firstRowLastColumn="0" w:lastRowFirstColumn="0" w:lastRowLastColumn="0"/>
              <w:rPr>
                <w:b/>
              </w:rPr>
            </w:pPr>
            <w:r w:rsidRPr="00EF29E8">
              <w:rPr>
                <w:b/>
              </w:rPr>
              <w:t>232</w:t>
            </w:r>
          </w:p>
        </w:tc>
        <w:tc>
          <w:tcPr>
            <w:tcW w:w="317" w:type="pct"/>
            <w:shd w:val="clear" w:color="auto" w:fill="D7DDE9" w:themeFill="accent3"/>
            <w:vAlign w:val="bottom"/>
          </w:tcPr>
          <w:p w:rsidR="00EF29E8" w:rsidRPr="00EF29E8" w:rsidRDefault="00EF29E8" w:rsidP="00EF29E8">
            <w:pPr>
              <w:pStyle w:val="TableTextRight"/>
              <w:cnfStyle w:val="000000000000" w:firstRow="0" w:lastRow="0" w:firstColumn="0" w:lastColumn="0" w:oddVBand="0" w:evenVBand="0" w:oddHBand="0" w:evenHBand="0" w:firstRowFirstColumn="0" w:firstRowLastColumn="0" w:lastRowFirstColumn="0" w:lastRowLastColumn="0"/>
              <w:rPr>
                <w:b/>
              </w:rPr>
            </w:pPr>
            <w:r w:rsidRPr="00EF29E8">
              <w:rPr>
                <w:b/>
              </w:rPr>
              <w:t>233</w:t>
            </w:r>
          </w:p>
        </w:tc>
        <w:tc>
          <w:tcPr>
            <w:tcW w:w="317" w:type="pct"/>
            <w:shd w:val="clear" w:color="auto" w:fill="D7DDE9" w:themeFill="accent3"/>
            <w:vAlign w:val="bottom"/>
          </w:tcPr>
          <w:p w:rsidR="00EF29E8" w:rsidRPr="00EF29E8" w:rsidRDefault="00EF29E8" w:rsidP="00EF29E8">
            <w:pPr>
              <w:pStyle w:val="TableTextRight"/>
              <w:cnfStyle w:val="000000000000" w:firstRow="0" w:lastRow="0" w:firstColumn="0" w:lastColumn="0" w:oddVBand="0" w:evenVBand="0" w:oddHBand="0" w:evenHBand="0" w:firstRowFirstColumn="0" w:firstRowLastColumn="0" w:lastRowFirstColumn="0" w:lastRowLastColumn="0"/>
              <w:rPr>
                <w:b/>
              </w:rPr>
            </w:pPr>
            <w:r w:rsidRPr="00EF29E8">
              <w:rPr>
                <w:b/>
              </w:rPr>
              <w:t>235</w:t>
            </w:r>
          </w:p>
        </w:tc>
        <w:tc>
          <w:tcPr>
            <w:tcW w:w="315" w:type="pct"/>
            <w:shd w:val="clear" w:color="auto" w:fill="D7DDE9" w:themeFill="accent3"/>
            <w:vAlign w:val="bottom"/>
          </w:tcPr>
          <w:p w:rsidR="00EF29E8" w:rsidRPr="00EF29E8" w:rsidRDefault="00EF29E8" w:rsidP="00EF29E8">
            <w:pPr>
              <w:pStyle w:val="TableTextRight"/>
              <w:cnfStyle w:val="000000000000" w:firstRow="0" w:lastRow="0" w:firstColumn="0" w:lastColumn="0" w:oddVBand="0" w:evenVBand="0" w:oddHBand="0" w:evenHBand="0" w:firstRowFirstColumn="0" w:firstRowLastColumn="0" w:lastRowFirstColumn="0" w:lastRowLastColumn="0"/>
              <w:rPr>
                <w:b/>
              </w:rPr>
            </w:pPr>
            <w:r w:rsidRPr="00EF29E8">
              <w:rPr>
                <w:b/>
              </w:rPr>
              <w:t>2</w:t>
            </w:r>
            <w:r w:rsidR="0028276B">
              <w:rPr>
                <w:b/>
              </w:rPr>
              <w:t>,</w:t>
            </w:r>
            <w:r w:rsidRPr="00EF29E8">
              <w:rPr>
                <w:b/>
              </w:rPr>
              <w:t>219</w:t>
            </w:r>
          </w:p>
        </w:tc>
      </w:tr>
    </w:tbl>
    <w:p w:rsidR="00EF29E8" w:rsidRDefault="00EF29E8" w:rsidP="00EF29E8">
      <w:pPr>
        <w:pStyle w:val="TableFootnotes"/>
        <w:keepNext/>
        <w:numPr>
          <w:ilvl w:val="0"/>
          <w:numId w:val="12"/>
        </w:numPr>
        <w:ind w:left="284" w:hanging="284"/>
      </w:pPr>
      <w:r>
        <w:t>A positive number for the fiscal balance indicates an increase in revenue or a decrease in expenses or net capital investment in accrual terms.  A negative number for the fiscal balance indicates a decrease in revenue or an increase in expenses or net capital investment in accrual terms.</w:t>
      </w:r>
    </w:p>
    <w:p w:rsidR="00EF29E8" w:rsidRDefault="00EF29E8" w:rsidP="00EF29E8">
      <w:pPr>
        <w:pStyle w:val="TableFootnotes"/>
        <w:keepNext/>
      </w:pPr>
      <w:r>
        <w:t>Figures may not sum to totals due to rounding.</w:t>
      </w:r>
    </w:p>
    <w:p w:rsidR="00EF29E8" w:rsidRPr="002D239A" w:rsidRDefault="00EF29E8" w:rsidP="00EF29E8">
      <w:pPr>
        <w:pStyle w:val="TableFootnotes"/>
        <w:keepNext/>
      </w:pPr>
      <w:r>
        <w:t>As specified in the proposal, this excludes existing provisions in competition and consumer law, workplace health and safety law, discrimination law and criminal law.</w:t>
      </w:r>
    </w:p>
    <w:p w:rsidR="00EF29E8" w:rsidRDefault="00EF29E8" w:rsidP="00EF29E8">
      <w:pPr>
        <w:pStyle w:val="TableFootnotes"/>
        <w:numPr>
          <w:ilvl w:val="0"/>
          <w:numId w:val="11"/>
        </w:numPr>
        <w:ind w:left="284" w:hanging="284"/>
      </w:pPr>
      <w:r>
        <w:t>Indicates nil.</w:t>
      </w:r>
    </w:p>
    <w:p w:rsidR="00016D53" w:rsidRDefault="00016D53" w:rsidP="00AF568A">
      <w:pPr>
        <w:pStyle w:val="Caption"/>
        <w:keepLines/>
      </w:pPr>
    </w:p>
    <w:p w:rsidR="000137F0" w:rsidRDefault="000137F0">
      <w:pPr>
        <w:rPr>
          <w:sz w:val="20"/>
        </w:rPr>
      </w:pPr>
    </w:p>
    <w:p w:rsidR="000137F0" w:rsidRDefault="000137F0" w:rsidP="000137F0">
      <w:pPr>
        <w:pStyle w:val="Caption"/>
        <w:keepLines/>
      </w:pPr>
      <w:r w:rsidRPr="002D239A">
        <w:lastRenderedPageBreak/>
        <w:t xml:space="preserve">Table </w:t>
      </w:r>
      <w:r w:rsidR="008F7233">
        <w:fldChar w:fldCharType="begin"/>
      </w:r>
      <w:r w:rsidR="008F7233">
        <w:instrText xml:space="preserve"> STYLEREF 8 \s </w:instrText>
      </w:r>
      <w:r w:rsidR="008F7233">
        <w:fldChar w:fldCharType="separate"/>
      </w:r>
      <w:r w:rsidR="003A6775">
        <w:rPr>
          <w:noProof/>
        </w:rPr>
        <w:t>A</w:t>
      </w:r>
      <w:r w:rsidR="008F7233">
        <w:rPr>
          <w:noProof/>
        </w:rPr>
        <w:fldChar w:fldCharType="end"/>
      </w:r>
      <w:r w:rsidR="00D6733F">
        <w:rPr>
          <w:noProof/>
        </w:rPr>
        <w:t>2</w:t>
      </w:r>
      <w:r w:rsidRPr="002D239A">
        <w:t xml:space="preserve">: </w:t>
      </w:r>
      <w:r>
        <w:t xml:space="preserve">Labour market—Underlying cash </w:t>
      </w:r>
      <w:proofErr w:type="gramStart"/>
      <w:r>
        <w:t>balance</w:t>
      </w:r>
      <w:r w:rsidRPr="002D239A">
        <w:rPr>
          <w:vertAlign w:val="superscript"/>
        </w:rPr>
        <w:t>(</w:t>
      </w:r>
      <w:proofErr w:type="gramEnd"/>
      <w:r w:rsidRPr="002D239A">
        <w:rPr>
          <w:vertAlign w:val="superscript"/>
        </w:rPr>
        <w:t>a)(b)</w:t>
      </w:r>
    </w:p>
    <w:tbl>
      <w:tblPr>
        <w:tblStyle w:val="LightGrid-Accent61"/>
        <w:tblW w:w="5000" w:type="pct"/>
        <w:tblLook w:val="0680" w:firstRow="0" w:lastRow="0" w:firstColumn="1" w:lastColumn="0" w:noHBand="1" w:noVBand="1"/>
      </w:tblPr>
      <w:tblGrid>
        <w:gridCol w:w="2505"/>
        <w:gridCol w:w="901"/>
        <w:gridCol w:w="901"/>
        <w:gridCol w:w="901"/>
        <w:gridCol w:w="901"/>
        <w:gridCol w:w="901"/>
        <w:gridCol w:w="902"/>
        <w:gridCol w:w="902"/>
        <w:gridCol w:w="902"/>
        <w:gridCol w:w="902"/>
        <w:gridCol w:w="902"/>
        <w:gridCol w:w="902"/>
        <w:gridCol w:w="902"/>
        <w:gridCol w:w="896"/>
      </w:tblGrid>
      <w:tr w:rsidR="0028276B" w:rsidRPr="000E4C2D" w:rsidTr="00AE1F0D">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28276B" w:rsidRPr="000E4C2D" w:rsidRDefault="0028276B" w:rsidP="00AE1F0D">
            <w:pPr>
              <w:keepNext/>
              <w:keepLines/>
              <w:spacing w:before="70" w:after="70" w:line="260" w:lineRule="atLeast"/>
              <w:ind w:left="-57" w:right="-57"/>
              <w:rPr>
                <w:rFonts w:ascii="Calibri" w:hAnsi="Calibri" w:cs="Times New Roman"/>
                <w:b w:val="0"/>
                <w:sz w:val="20"/>
              </w:rPr>
            </w:pPr>
            <w:r w:rsidRPr="000E4C2D">
              <w:rPr>
                <w:rFonts w:ascii="Calibri" w:hAnsi="Calibri" w:cs="Times New Roman"/>
                <w:b w:val="0"/>
                <w:sz w:val="20"/>
              </w:rPr>
              <w:t>($m)</w:t>
            </w:r>
          </w:p>
        </w:tc>
        <w:tc>
          <w:tcPr>
            <w:tcW w:w="317" w:type="pct"/>
            <w:shd w:val="clear" w:color="auto" w:fill="D7DDE9" w:themeFill="accent3"/>
            <w:vAlign w:val="center"/>
          </w:tcPr>
          <w:p w:rsidR="0028276B" w:rsidRPr="000E4C2D" w:rsidRDefault="0028276B"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2016–17</w:t>
            </w:r>
          </w:p>
        </w:tc>
        <w:tc>
          <w:tcPr>
            <w:tcW w:w="317" w:type="pct"/>
            <w:shd w:val="clear" w:color="auto" w:fill="D7DDE9" w:themeFill="accent3"/>
            <w:vAlign w:val="center"/>
          </w:tcPr>
          <w:p w:rsidR="0028276B" w:rsidRPr="000E4C2D" w:rsidRDefault="0028276B"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2017–18</w:t>
            </w:r>
          </w:p>
        </w:tc>
        <w:tc>
          <w:tcPr>
            <w:tcW w:w="317" w:type="pct"/>
            <w:shd w:val="clear" w:color="auto" w:fill="D7DDE9" w:themeFill="accent3"/>
            <w:vAlign w:val="center"/>
          </w:tcPr>
          <w:p w:rsidR="0028276B" w:rsidRPr="000E4C2D" w:rsidRDefault="0028276B"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2018–19</w:t>
            </w:r>
          </w:p>
        </w:tc>
        <w:tc>
          <w:tcPr>
            <w:tcW w:w="317" w:type="pct"/>
            <w:shd w:val="clear" w:color="auto" w:fill="D7DDE9" w:themeFill="accent3"/>
            <w:vAlign w:val="center"/>
          </w:tcPr>
          <w:p w:rsidR="0028276B" w:rsidRPr="000E4C2D" w:rsidRDefault="0028276B"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2019–20</w:t>
            </w:r>
          </w:p>
        </w:tc>
        <w:tc>
          <w:tcPr>
            <w:tcW w:w="317" w:type="pct"/>
            <w:shd w:val="clear" w:color="auto" w:fill="D7DDE9" w:themeFill="accent3"/>
            <w:vAlign w:val="center"/>
          </w:tcPr>
          <w:p w:rsidR="0028276B" w:rsidRPr="000E4C2D" w:rsidRDefault="0028276B"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0E4C2D">
              <w:rPr>
                <w:rFonts w:ascii="Calibri" w:hAnsi="Calibri" w:cs="Times New Roman"/>
                <w:b/>
                <w:sz w:val="20"/>
              </w:rPr>
              <w:t>Total to 2019–20</w:t>
            </w:r>
          </w:p>
        </w:tc>
        <w:tc>
          <w:tcPr>
            <w:tcW w:w="317" w:type="pct"/>
            <w:shd w:val="clear" w:color="auto" w:fill="D7DDE9" w:themeFill="accent3"/>
            <w:vAlign w:val="center"/>
          </w:tcPr>
          <w:p w:rsidR="0028276B" w:rsidRPr="000E4C2D" w:rsidRDefault="0028276B"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2020–21</w:t>
            </w:r>
          </w:p>
        </w:tc>
        <w:tc>
          <w:tcPr>
            <w:tcW w:w="317" w:type="pct"/>
            <w:shd w:val="clear" w:color="auto" w:fill="D7DDE9" w:themeFill="accent3"/>
            <w:vAlign w:val="center"/>
          </w:tcPr>
          <w:p w:rsidR="0028276B" w:rsidRPr="000E4C2D" w:rsidRDefault="0028276B"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2021–22</w:t>
            </w:r>
          </w:p>
        </w:tc>
        <w:tc>
          <w:tcPr>
            <w:tcW w:w="317" w:type="pct"/>
            <w:shd w:val="clear" w:color="auto" w:fill="D7DDE9" w:themeFill="accent3"/>
            <w:vAlign w:val="center"/>
          </w:tcPr>
          <w:p w:rsidR="0028276B" w:rsidRPr="000E4C2D" w:rsidRDefault="0028276B"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2022–23</w:t>
            </w:r>
          </w:p>
        </w:tc>
        <w:tc>
          <w:tcPr>
            <w:tcW w:w="317" w:type="pct"/>
            <w:shd w:val="clear" w:color="auto" w:fill="D7DDE9" w:themeFill="accent3"/>
            <w:vAlign w:val="center"/>
          </w:tcPr>
          <w:p w:rsidR="0028276B" w:rsidRPr="000E4C2D" w:rsidRDefault="0028276B"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2023–24</w:t>
            </w:r>
          </w:p>
        </w:tc>
        <w:tc>
          <w:tcPr>
            <w:tcW w:w="317" w:type="pct"/>
            <w:shd w:val="clear" w:color="auto" w:fill="D7DDE9" w:themeFill="accent3"/>
            <w:vAlign w:val="center"/>
          </w:tcPr>
          <w:p w:rsidR="0028276B" w:rsidRPr="000E4C2D" w:rsidRDefault="0028276B"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2024–25</w:t>
            </w:r>
          </w:p>
        </w:tc>
        <w:tc>
          <w:tcPr>
            <w:tcW w:w="317" w:type="pct"/>
            <w:shd w:val="clear" w:color="auto" w:fill="D7DDE9" w:themeFill="accent3"/>
            <w:vAlign w:val="center"/>
          </w:tcPr>
          <w:p w:rsidR="0028276B" w:rsidRPr="000E4C2D" w:rsidRDefault="0028276B"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2025–26</w:t>
            </w:r>
          </w:p>
        </w:tc>
        <w:tc>
          <w:tcPr>
            <w:tcW w:w="317" w:type="pct"/>
            <w:shd w:val="clear" w:color="auto" w:fill="D7DDE9" w:themeFill="accent3"/>
            <w:vAlign w:val="center"/>
          </w:tcPr>
          <w:p w:rsidR="0028276B" w:rsidRPr="000E4C2D" w:rsidRDefault="0028276B"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sz w:val="20"/>
              </w:rPr>
            </w:pPr>
            <w:r w:rsidRPr="000E4C2D">
              <w:rPr>
                <w:rFonts w:ascii="Calibri" w:hAnsi="Calibri" w:cs="Times New Roman"/>
                <w:sz w:val="20"/>
              </w:rPr>
              <w:t>2026–27</w:t>
            </w:r>
          </w:p>
        </w:tc>
        <w:tc>
          <w:tcPr>
            <w:tcW w:w="315" w:type="pct"/>
            <w:shd w:val="clear" w:color="auto" w:fill="D7DDE9" w:themeFill="accent3"/>
            <w:vAlign w:val="center"/>
          </w:tcPr>
          <w:p w:rsidR="0028276B" w:rsidRPr="000E4C2D" w:rsidRDefault="0028276B" w:rsidP="00AE1F0D">
            <w:pPr>
              <w:keepNext/>
              <w:keepLines/>
              <w:spacing w:before="70" w:after="70" w:line="260" w:lineRule="atLeast"/>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cs="Times New Roman"/>
                <w:b/>
                <w:sz w:val="20"/>
              </w:rPr>
            </w:pPr>
            <w:r w:rsidRPr="000E4C2D">
              <w:rPr>
                <w:rFonts w:ascii="Calibri" w:hAnsi="Calibri" w:cs="Times New Roman"/>
                <w:b/>
                <w:sz w:val="20"/>
              </w:rPr>
              <w:t>Total to 2026–27</w:t>
            </w:r>
          </w:p>
        </w:tc>
      </w:tr>
      <w:tr w:rsidR="0028276B" w:rsidRPr="00EF29E8" w:rsidTr="0028276B">
        <w:tc>
          <w:tcPr>
            <w:cnfStyle w:val="001000000000" w:firstRow="0" w:lastRow="0" w:firstColumn="1" w:lastColumn="0" w:oddVBand="0" w:evenVBand="0" w:oddHBand="0" w:evenHBand="0" w:firstRowFirstColumn="0" w:firstRowLastColumn="0" w:lastRowFirstColumn="0" w:lastRowLastColumn="0"/>
            <w:tcW w:w="881" w:type="pct"/>
            <w:vAlign w:val="center"/>
          </w:tcPr>
          <w:p w:rsidR="0028276B" w:rsidRPr="00E65DA1" w:rsidRDefault="0028276B" w:rsidP="00C81D29">
            <w:pPr>
              <w:pStyle w:val="TableText"/>
              <w:keepNext/>
              <w:keepLines/>
              <w:ind w:left="-57" w:right="-57"/>
              <w:rPr>
                <w:b w:val="0"/>
              </w:rPr>
            </w:pPr>
            <w:r w:rsidRPr="00E65DA1">
              <w:rPr>
                <w:b w:val="0"/>
              </w:rPr>
              <w:t>Abolish modern awards, including minimum wage and penalty rate</w:t>
            </w:r>
            <w:r>
              <w:rPr>
                <w:b w:val="0"/>
              </w:rPr>
              <w:t>s</w:t>
            </w:r>
            <w:r w:rsidRPr="00E65DA1">
              <w:rPr>
                <w:b w:val="0"/>
              </w:rPr>
              <w:t xml:space="preserve"> </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Pr>
                <w:rFonts w:ascii="Calibri" w:hAnsi="Calibri"/>
                <w:i/>
                <w:color w:val="000000"/>
                <w:sz w:val="20"/>
                <w:szCs w:val="20"/>
              </w:rPr>
              <w:t>-</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49</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49</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50</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148</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50</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51</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51</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52</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52</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52</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53</w:t>
            </w:r>
          </w:p>
        </w:tc>
        <w:tc>
          <w:tcPr>
            <w:tcW w:w="315"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509</w:t>
            </w:r>
          </w:p>
        </w:tc>
      </w:tr>
      <w:tr w:rsidR="0028276B" w:rsidRPr="00EF29E8" w:rsidTr="0028276B">
        <w:tc>
          <w:tcPr>
            <w:cnfStyle w:val="001000000000" w:firstRow="0" w:lastRow="0" w:firstColumn="1" w:lastColumn="0" w:oddVBand="0" w:evenVBand="0" w:oddHBand="0" w:evenHBand="0" w:firstRowFirstColumn="0" w:firstRowLastColumn="0" w:lastRowFirstColumn="0" w:lastRowLastColumn="0"/>
            <w:tcW w:w="881" w:type="pct"/>
            <w:vAlign w:val="center"/>
          </w:tcPr>
          <w:p w:rsidR="0028276B" w:rsidRPr="00E65DA1" w:rsidRDefault="0028276B" w:rsidP="00C81D29">
            <w:pPr>
              <w:pStyle w:val="TableText"/>
              <w:keepNext/>
              <w:keepLines/>
              <w:ind w:left="-57" w:right="-57"/>
              <w:rPr>
                <w:b w:val="0"/>
              </w:rPr>
            </w:pPr>
            <w:r w:rsidRPr="00E65DA1">
              <w:rPr>
                <w:b w:val="0"/>
              </w:rPr>
              <w:t>Abolish unfair dismissal provisions</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Pr>
                <w:rFonts w:ascii="Calibri" w:hAnsi="Calibri"/>
                <w:i/>
                <w:color w:val="000000"/>
                <w:sz w:val="20"/>
                <w:szCs w:val="20"/>
              </w:rPr>
              <w:t>-</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104</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106</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107</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317</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108</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109</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109</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110</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111</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112</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113</w:t>
            </w:r>
          </w:p>
        </w:tc>
        <w:tc>
          <w:tcPr>
            <w:tcW w:w="315"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1</w:t>
            </w:r>
            <w:r>
              <w:rPr>
                <w:rFonts w:ascii="Calibri" w:hAnsi="Calibri"/>
                <w:i/>
                <w:color w:val="000000"/>
                <w:sz w:val="20"/>
                <w:szCs w:val="20"/>
              </w:rPr>
              <w:t>,</w:t>
            </w:r>
            <w:r w:rsidRPr="0028276B">
              <w:rPr>
                <w:rFonts w:ascii="Calibri" w:hAnsi="Calibri"/>
                <w:i/>
                <w:color w:val="000000"/>
                <w:sz w:val="20"/>
                <w:szCs w:val="20"/>
              </w:rPr>
              <w:t>088</w:t>
            </w:r>
          </w:p>
        </w:tc>
      </w:tr>
      <w:tr w:rsidR="0028276B" w:rsidRPr="00EF29E8" w:rsidTr="0028276B">
        <w:tc>
          <w:tcPr>
            <w:cnfStyle w:val="001000000000" w:firstRow="0" w:lastRow="0" w:firstColumn="1" w:lastColumn="0" w:oddVBand="0" w:evenVBand="0" w:oddHBand="0" w:evenHBand="0" w:firstRowFirstColumn="0" w:firstRowLastColumn="0" w:lastRowFirstColumn="0" w:lastRowLastColumn="0"/>
            <w:tcW w:w="881" w:type="pct"/>
            <w:vAlign w:val="center"/>
          </w:tcPr>
          <w:p w:rsidR="0028276B" w:rsidRPr="00E65DA1" w:rsidRDefault="0028276B" w:rsidP="00C81D29">
            <w:pPr>
              <w:pStyle w:val="TableText"/>
              <w:keepNext/>
              <w:keepLines/>
              <w:ind w:left="-57" w:right="-57"/>
              <w:rPr>
                <w:b w:val="0"/>
              </w:rPr>
            </w:pPr>
            <w:r w:rsidRPr="00E65DA1">
              <w:rPr>
                <w:b w:val="0"/>
              </w:rPr>
              <w:t>Abolish all other restrictions on employer</w:t>
            </w:r>
            <w:r w:rsidRPr="00E65DA1">
              <w:rPr>
                <w:b w:val="0"/>
              </w:rPr>
              <w:noBreakHyphen/>
              <w:t>employee interactions</w:t>
            </w:r>
            <w:r w:rsidRPr="00E65DA1">
              <w:rPr>
                <w:b w:val="0"/>
                <w:vertAlign w:val="superscript"/>
              </w:rPr>
              <w:t>(c)</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Pr>
                <w:rFonts w:ascii="Calibri" w:hAnsi="Calibri"/>
                <w:i/>
                <w:color w:val="000000"/>
                <w:sz w:val="20"/>
                <w:szCs w:val="20"/>
              </w:rPr>
              <w:t>-</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61</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62</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63</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187</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63</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64</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64</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65</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65</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66</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66</w:t>
            </w:r>
          </w:p>
        </w:tc>
        <w:tc>
          <w:tcPr>
            <w:tcW w:w="315"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641</w:t>
            </w:r>
          </w:p>
        </w:tc>
      </w:tr>
      <w:tr w:rsidR="0028276B" w:rsidRPr="00EF29E8" w:rsidTr="0028276B">
        <w:tc>
          <w:tcPr>
            <w:cnfStyle w:val="001000000000" w:firstRow="0" w:lastRow="0" w:firstColumn="1" w:lastColumn="0" w:oddVBand="0" w:evenVBand="0" w:oddHBand="0" w:evenHBand="0" w:firstRowFirstColumn="0" w:firstRowLastColumn="0" w:lastRowFirstColumn="0" w:lastRowLastColumn="0"/>
            <w:tcW w:w="881" w:type="pct"/>
            <w:vAlign w:val="center"/>
          </w:tcPr>
          <w:p w:rsidR="0028276B" w:rsidRPr="00E65DA1" w:rsidRDefault="0028276B" w:rsidP="00C81D29">
            <w:pPr>
              <w:pStyle w:val="TableText"/>
              <w:keepNext/>
              <w:keepLines/>
              <w:ind w:left="-57" w:right="-57"/>
              <w:rPr>
                <w:b w:val="0"/>
              </w:rPr>
            </w:pPr>
            <w:r>
              <w:rPr>
                <w:b w:val="0"/>
              </w:rPr>
              <w:t>Redundancy payments</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Pr>
                <w:rFonts w:ascii="Calibri" w:hAnsi="Calibri"/>
                <w:i/>
                <w:color w:val="000000"/>
                <w:sz w:val="20"/>
                <w:szCs w:val="20"/>
              </w:rPr>
              <w:t>-</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-49</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Pr>
                <w:rFonts w:ascii="Calibri" w:hAnsi="Calibri"/>
                <w:i/>
                <w:color w:val="000000"/>
                <w:sz w:val="20"/>
                <w:szCs w:val="20"/>
              </w:rPr>
              <w:t>-</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Pr>
                <w:rFonts w:ascii="Calibri" w:hAnsi="Calibri"/>
                <w:i/>
                <w:color w:val="000000"/>
                <w:sz w:val="20"/>
                <w:szCs w:val="20"/>
              </w:rPr>
              <w:t>-</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-49</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Pr>
                <w:rFonts w:ascii="Calibri" w:hAnsi="Calibri"/>
                <w:i/>
                <w:color w:val="000000"/>
                <w:sz w:val="20"/>
                <w:szCs w:val="20"/>
              </w:rPr>
              <w:t>-</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Pr>
                <w:rFonts w:ascii="Calibri" w:hAnsi="Calibri"/>
                <w:i/>
                <w:color w:val="000000"/>
                <w:sz w:val="20"/>
                <w:szCs w:val="20"/>
              </w:rPr>
              <w:t>-</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Pr>
                <w:rFonts w:ascii="Calibri" w:hAnsi="Calibri"/>
                <w:i/>
                <w:color w:val="000000"/>
                <w:sz w:val="20"/>
                <w:szCs w:val="20"/>
              </w:rPr>
              <w:t>-</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Pr>
                <w:rFonts w:ascii="Calibri" w:hAnsi="Calibri"/>
                <w:i/>
                <w:color w:val="000000"/>
                <w:sz w:val="20"/>
                <w:szCs w:val="20"/>
              </w:rPr>
              <w:t>-</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Pr>
                <w:rFonts w:ascii="Calibri" w:hAnsi="Calibri"/>
                <w:i/>
                <w:color w:val="000000"/>
                <w:sz w:val="20"/>
                <w:szCs w:val="20"/>
              </w:rPr>
              <w:t>-</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Pr>
                <w:rFonts w:ascii="Calibri" w:hAnsi="Calibri"/>
                <w:i/>
                <w:color w:val="000000"/>
                <w:sz w:val="20"/>
                <w:szCs w:val="20"/>
              </w:rPr>
              <w:t>-</w:t>
            </w:r>
          </w:p>
        </w:tc>
        <w:tc>
          <w:tcPr>
            <w:tcW w:w="317"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Pr>
                <w:rFonts w:ascii="Calibri" w:hAnsi="Calibri"/>
                <w:i/>
                <w:color w:val="000000"/>
                <w:sz w:val="20"/>
                <w:szCs w:val="20"/>
              </w:rPr>
              <w:t>-</w:t>
            </w:r>
          </w:p>
        </w:tc>
        <w:tc>
          <w:tcPr>
            <w:tcW w:w="315" w:type="pct"/>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i/>
                <w:color w:val="000000"/>
                <w:sz w:val="20"/>
                <w:szCs w:val="20"/>
              </w:rPr>
            </w:pPr>
            <w:r w:rsidRPr="0028276B">
              <w:rPr>
                <w:rFonts w:ascii="Calibri" w:hAnsi="Calibri"/>
                <w:i/>
                <w:color w:val="000000"/>
                <w:sz w:val="20"/>
                <w:szCs w:val="20"/>
              </w:rPr>
              <w:t>-49</w:t>
            </w:r>
          </w:p>
        </w:tc>
      </w:tr>
      <w:tr w:rsidR="0028276B" w:rsidRPr="00EF29E8" w:rsidTr="0028276B">
        <w:tc>
          <w:tcPr>
            <w:cnfStyle w:val="001000000000" w:firstRow="0" w:lastRow="0" w:firstColumn="1" w:lastColumn="0" w:oddVBand="0" w:evenVBand="0" w:oddHBand="0" w:evenHBand="0" w:firstRowFirstColumn="0" w:firstRowLastColumn="0" w:lastRowFirstColumn="0" w:lastRowLastColumn="0"/>
            <w:tcW w:w="881" w:type="pct"/>
            <w:shd w:val="clear" w:color="auto" w:fill="D7DDE9" w:themeFill="accent3"/>
            <w:vAlign w:val="center"/>
          </w:tcPr>
          <w:p w:rsidR="0028276B" w:rsidRPr="000E4C2D" w:rsidRDefault="0028276B" w:rsidP="00AE1F0D">
            <w:pPr>
              <w:keepNext/>
              <w:keepLines/>
              <w:spacing w:before="70" w:after="70" w:line="260" w:lineRule="atLeast"/>
              <w:ind w:left="-57" w:right="-57"/>
              <w:rPr>
                <w:rFonts w:ascii="Calibri" w:hAnsi="Calibri" w:cs="Times New Roman"/>
                <w:sz w:val="20"/>
              </w:rPr>
            </w:pPr>
            <w:r w:rsidRPr="000E4C2D">
              <w:rPr>
                <w:rFonts w:ascii="Calibri" w:hAnsi="Calibri" w:cs="Times New Roman"/>
                <w:sz w:val="20"/>
              </w:rPr>
              <w:t>Total</w:t>
            </w:r>
          </w:p>
        </w:tc>
        <w:tc>
          <w:tcPr>
            <w:tcW w:w="317" w:type="pct"/>
            <w:shd w:val="clear" w:color="auto" w:fill="D7DDE9" w:themeFill="accent3"/>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Pr>
                <w:rFonts w:ascii="Calibri" w:hAnsi="Calibri"/>
                <w:b/>
                <w:color w:val="000000"/>
                <w:sz w:val="20"/>
                <w:szCs w:val="20"/>
              </w:rPr>
              <w:t>-</w:t>
            </w:r>
          </w:p>
        </w:tc>
        <w:tc>
          <w:tcPr>
            <w:tcW w:w="317" w:type="pct"/>
            <w:shd w:val="clear" w:color="auto" w:fill="D7DDE9" w:themeFill="accent3"/>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8276B">
              <w:rPr>
                <w:rFonts w:ascii="Calibri" w:hAnsi="Calibri"/>
                <w:b/>
                <w:color w:val="000000"/>
                <w:sz w:val="20"/>
                <w:szCs w:val="20"/>
              </w:rPr>
              <w:t>165</w:t>
            </w:r>
          </w:p>
        </w:tc>
        <w:tc>
          <w:tcPr>
            <w:tcW w:w="317" w:type="pct"/>
            <w:shd w:val="clear" w:color="auto" w:fill="D7DDE9" w:themeFill="accent3"/>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8276B">
              <w:rPr>
                <w:rFonts w:ascii="Calibri" w:hAnsi="Calibri"/>
                <w:b/>
                <w:color w:val="000000"/>
                <w:sz w:val="20"/>
                <w:szCs w:val="20"/>
              </w:rPr>
              <w:t>217</w:t>
            </w:r>
          </w:p>
        </w:tc>
        <w:tc>
          <w:tcPr>
            <w:tcW w:w="317" w:type="pct"/>
            <w:shd w:val="clear" w:color="auto" w:fill="D7DDE9" w:themeFill="accent3"/>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8276B">
              <w:rPr>
                <w:rFonts w:ascii="Calibri" w:hAnsi="Calibri"/>
                <w:b/>
                <w:color w:val="000000"/>
                <w:sz w:val="20"/>
                <w:szCs w:val="20"/>
              </w:rPr>
              <w:t>220</w:t>
            </w:r>
          </w:p>
        </w:tc>
        <w:tc>
          <w:tcPr>
            <w:tcW w:w="317" w:type="pct"/>
            <w:shd w:val="clear" w:color="auto" w:fill="D7DDE9" w:themeFill="accent3"/>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8276B">
              <w:rPr>
                <w:rFonts w:ascii="Calibri" w:hAnsi="Calibri"/>
                <w:b/>
                <w:color w:val="000000"/>
                <w:sz w:val="20"/>
                <w:szCs w:val="20"/>
              </w:rPr>
              <w:t>602</w:t>
            </w:r>
          </w:p>
        </w:tc>
        <w:tc>
          <w:tcPr>
            <w:tcW w:w="317" w:type="pct"/>
            <w:shd w:val="clear" w:color="auto" w:fill="D7DDE9" w:themeFill="accent3"/>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8276B">
              <w:rPr>
                <w:rFonts w:ascii="Calibri" w:hAnsi="Calibri"/>
                <w:b/>
                <w:color w:val="000000"/>
                <w:sz w:val="20"/>
                <w:szCs w:val="20"/>
              </w:rPr>
              <w:t>221</w:t>
            </w:r>
          </w:p>
        </w:tc>
        <w:tc>
          <w:tcPr>
            <w:tcW w:w="317" w:type="pct"/>
            <w:shd w:val="clear" w:color="auto" w:fill="D7DDE9" w:themeFill="accent3"/>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8276B">
              <w:rPr>
                <w:rFonts w:ascii="Calibri" w:hAnsi="Calibri"/>
                <w:b/>
                <w:color w:val="000000"/>
                <w:sz w:val="20"/>
                <w:szCs w:val="20"/>
              </w:rPr>
              <w:t>223</w:t>
            </w:r>
          </w:p>
        </w:tc>
        <w:tc>
          <w:tcPr>
            <w:tcW w:w="317" w:type="pct"/>
            <w:shd w:val="clear" w:color="auto" w:fill="D7DDE9" w:themeFill="accent3"/>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8276B">
              <w:rPr>
                <w:rFonts w:ascii="Calibri" w:hAnsi="Calibri"/>
                <w:b/>
                <w:color w:val="000000"/>
                <w:sz w:val="20"/>
                <w:szCs w:val="20"/>
              </w:rPr>
              <w:t>225</w:t>
            </w:r>
          </w:p>
        </w:tc>
        <w:tc>
          <w:tcPr>
            <w:tcW w:w="317" w:type="pct"/>
            <w:shd w:val="clear" w:color="auto" w:fill="D7DDE9" w:themeFill="accent3"/>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8276B">
              <w:rPr>
                <w:rFonts w:ascii="Calibri" w:hAnsi="Calibri"/>
                <w:b/>
                <w:color w:val="000000"/>
                <w:sz w:val="20"/>
                <w:szCs w:val="20"/>
              </w:rPr>
              <w:t>227</w:t>
            </w:r>
          </w:p>
        </w:tc>
        <w:tc>
          <w:tcPr>
            <w:tcW w:w="317" w:type="pct"/>
            <w:shd w:val="clear" w:color="auto" w:fill="D7DDE9" w:themeFill="accent3"/>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8276B">
              <w:rPr>
                <w:rFonts w:ascii="Calibri" w:hAnsi="Calibri"/>
                <w:b/>
                <w:color w:val="000000"/>
                <w:sz w:val="20"/>
                <w:szCs w:val="20"/>
              </w:rPr>
              <w:t>228</w:t>
            </w:r>
          </w:p>
        </w:tc>
        <w:tc>
          <w:tcPr>
            <w:tcW w:w="317" w:type="pct"/>
            <w:shd w:val="clear" w:color="auto" w:fill="D7DDE9" w:themeFill="accent3"/>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8276B">
              <w:rPr>
                <w:rFonts w:ascii="Calibri" w:hAnsi="Calibri"/>
                <w:b/>
                <w:color w:val="000000"/>
                <w:sz w:val="20"/>
                <w:szCs w:val="20"/>
              </w:rPr>
              <w:t>230</w:t>
            </w:r>
          </w:p>
        </w:tc>
        <w:tc>
          <w:tcPr>
            <w:tcW w:w="317" w:type="pct"/>
            <w:shd w:val="clear" w:color="auto" w:fill="D7DDE9" w:themeFill="accent3"/>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8276B">
              <w:rPr>
                <w:rFonts w:ascii="Calibri" w:hAnsi="Calibri"/>
                <w:b/>
                <w:color w:val="000000"/>
                <w:sz w:val="20"/>
                <w:szCs w:val="20"/>
              </w:rPr>
              <w:t>232</w:t>
            </w:r>
          </w:p>
        </w:tc>
        <w:tc>
          <w:tcPr>
            <w:tcW w:w="315" w:type="pct"/>
            <w:shd w:val="clear" w:color="auto" w:fill="D7DDE9" w:themeFill="accent3"/>
            <w:vAlign w:val="center"/>
          </w:tcPr>
          <w:p w:rsidR="0028276B" w:rsidRPr="0028276B" w:rsidRDefault="0028276B" w:rsidP="0028276B">
            <w:pPr>
              <w:jc w:val="right"/>
              <w:cnfStyle w:val="000000000000" w:firstRow="0" w:lastRow="0" w:firstColumn="0" w:lastColumn="0" w:oddVBand="0" w:evenVBand="0" w:oddHBand="0" w:evenHBand="0" w:firstRowFirstColumn="0" w:firstRowLastColumn="0" w:lastRowFirstColumn="0" w:lastRowLastColumn="0"/>
              <w:rPr>
                <w:rFonts w:ascii="Calibri" w:hAnsi="Calibri"/>
                <w:b/>
                <w:color w:val="000000"/>
                <w:sz w:val="20"/>
                <w:szCs w:val="20"/>
              </w:rPr>
            </w:pPr>
            <w:r w:rsidRPr="0028276B">
              <w:rPr>
                <w:rFonts w:ascii="Calibri" w:hAnsi="Calibri"/>
                <w:b/>
                <w:color w:val="000000"/>
                <w:sz w:val="20"/>
                <w:szCs w:val="20"/>
              </w:rPr>
              <w:t>2,189</w:t>
            </w:r>
          </w:p>
        </w:tc>
      </w:tr>
    </w:tbl>
    <w:p w:rsidR="0028276B" w:rsidRDefault="0028276B" w:rsidP="0028276B">
      <w:pPr>
        <w:pStyle w:val="TableFootnotes"/>
        <w:keepNext/>
        <w:numPr>
          <w:ilvl w:val="0"/>
          <w:numId w:val="0"/>
        </w:numPr>
      </w:pPr>
    </w:p>
    <w:p w:rsidR="009A7458" w:rsidRDefault="009A7458" w:rsidP="009A7458">
      <w:pPr>
        <w:pStyle w:val="TableFootnotes"/>
        <w:keepNext/>
        <w:numPr>
          <w:ilvl w:val="0"/>
          <w:numId w:val="14"/>
        </w:numPr>
        <w:ind w:left="284" w:hanging="284"/>
      </w:pPr>
      <w:r>
        <w:t>A positive number for the underlying cash balance indicates an increase in receipts or a decrease in outlays or net capital investment in cash terms.  A negative number for the underlying cash balance indicates a decrease in receipts or an increase in outlays or net capital investment in cash terms.</w:t>
      </w:r>
    </w:p>
    <w:p w:rsidR="000137F0" w:rsidRDefault="000137F0" w:rsidP="000137F0">
      <w:pPr>
        <w:pStyle w:val="TableFootnotes"/>
        <w:keepNext/>
      </w:pPr>
      <w:r>
        <w:t>Figures may not sum to totals due to rounding.</w:t>
      </w:r>
    </w:p>
    <w:p w:rsidR="000137F0" w:rsidRPr="002D239A" w:rsidRDefault="000137F0" w:rsidP="000137F0">
      <w:pPr>
        <w:pStyle w:val="TableFootnotes"/>
        <w:keepNext/>
      </w:pPr>
      <w:r>
        <w:t>As specified in the proposal, this excludes existing provisions in competition and consumer law, workplace health and safety law, discrimination law and criminal law.</w:t>
      </w:r>
    </w:p>
    <w:p w:rsidR="000137F0" w:rsidRDefault="000137F0" w:rsidP="009A7458">
      <w:pPr>
        <w:pStyle w:val="TableFootnotes"/>
        <w:numPr>
          <w:ilvl w:val="0"/>
          <w:numId w:val="11"/>
        </w:numPr>
        <w:ind w:left="284" w:hanging="284"/>
      </w:pPr>
      <w:r>
        <w:t>Indicates nil.</w:t>
      </w:r>
    </w:p>
    <w:p w:rsidR="002D239A" w:rsidRDefault="002D239A" w:rsidP="000137F0">
      <w:pPr>
        <w:pStyle w:val="TableFootnotes"/>
        <w:numPr>
          <w:ilvl w:val="0"/>
          <w:numId w:val="0"/>
        </w:numPr>
        <w:ind w:left="284"/>
      </w:pPr>
    </w:p>
    <w:sectPr w:rsidR="002D239A" w:rsidSect="001E33C2">
      <w:headerReference w:type="even" r:id="rId13"/>
      <w:footerReference w:type="even" r:id="rId14"/>
      <w:headerReference w:type="first" r:id="rId15"/>
      <w:footerReference w:type="first" r:id="rId16"/>
      <w:pgSz w:w="16839" w:h="11907" w:orient="landscape" w:code="9"/>
      <w:pgMar w:top="1797" w:right="1361" w:bottom="1797" w:left="1474" w:header="28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897" w:rsidRDefault="00391897" w:rsidP="00A20802">
      <w:pPr>
        <w:spacing w:line="240" w:lineRule="auto"/>
      </w:pPr>
      <w:r>
        <w:separator/>
      </w:r>
    </w:p>
    <w:p w:rsidR="00391897" w:rsidRDefault="00391897"/>
  </w:endnote>
  <w:endnote w:type="continuationSeparator" w:id="0">
    <w:p w:rsidR="00391897" w:rsidRDefault="00391897" w:rsidP="00A20802">
      <w:pPr>
        <w:spacing w:line="240" w:lineRule="auto"/>
      </w:pPr>
      <w:r>
        <w:continuationSeparator/>
      </w:r>
    </w:p>
    <w:p w:rsidR="00391897" w:rsidRDefault="00391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E1" w:rsidRDefault="00500FE1" w:rsidP="002C4DA6">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8F7233">
      <w:rPr>
        <w:rStyle w:val="FooterChar"/>
        <w:b/>
        <w:noProof/>
      </w:rPr>
      <w:t>2</w:t>
    </w:r>
    <w:r w:rsidRPr="002C4DA6">
      <w:rPr>
        <w:rStyle w:val="FooterChar"/>
        <w:b/>
      </w:rPr>
      <w:fldChar w:fldCharType="end"/>
    </w:r>
    <w:r w:rsidRPr="002C4DA6">
      <w:rPr>
        <w:rStyle w:val="FooterChar"/>
        <w:b/>
      </w:rPr>
      <w:t xml:space="preserve"> of </w:t>
    </w:r>
    <w:r>
      <w:rPr>
        <w:rStyle w:val="FooterChar"/>
        <w:b/>
      </w:rPr>
      <w:t>5</w:t>
    </w:r>
  </w:p>
  <w:p w:rsidR="00500FE1" w:rsidRPr="008F7233" w:rsidRDefault="00500FE1" w:rsidP="0000071C">
    <w:pPr>
      <w:pStyle w:val="Footer"/>
      <w:ind w:left="3714" w:hanging="3714"/>
      <w:jc w:val="center"/>
      <w:rPr>
        <w:rFonts w:ascii="Arial" w:hAnsi="Arial" w:cs="Arial"/>
        <w:strike/>
        <w:color w:val="FF0000"/>
        <w:sz w:val="24"/>
        <w:szCs w:val="24"/>
      </w:rPr>
    </w:pPr>
    <w:bookmarkStart w:id="0" w:name="_GoBack"/>
    <w:r w:rsidRPr="008F7233">
      <w:rPr>
        <w:rStyle w:val="FooterChar"/>
        <w:rFonts w:ascii="Arial" w:hAnsi="Arial" w:cs="Arial"/>
        <w:b/>
        <w:strike/>
        <w:color w:val="FF0000"/>
        <w:sz w:val="24"/>
        <w:szCs w:val="24"/>
      </w:rPr>
      <w:t>Sensitive</w:t>
    </w:r>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897" w:rsidRDefault="00391897" w:rsidP="00476133">
    <w:pPr>
      <w:pStyle w:val="Footer"/>
      <w:ind w:left="7286" w:hanging="3714"/>
      <w:jc w:val="right"/>
      <w:rPr>
        <w:rStyle w:val="FooterChar"/>
        <w:b/>
      </w:rPr>
    </w:pP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8F7233">
      <w:rPr>
        <w:rStyle w:val="FooterChar"/>
        <w:b/>
        <w:noProof/>
      </w:rPr>
      <w:t>1</w:t>
    </w:r>
    <w:r w:rsidRPr="002C4DA6">
      <w:rPr>
        <w:rStyle w:val="FooterChar"/>
        <w:b/>
      </w:rPr>
      <w:fldChar w:fldCharType="end"/>
    </w:r>
    <w:r w:rsidRPr="002C4DA6">
      <w:rPr>
        <w:rStyle w:val="FooterChar"/>
        <w:b/>
      </w:rPr>
      <w:t xml:space="preserve"> of </w:t>
    </w:r>
    <w:r w:rsidR="00DB5B84">
      <w:rPr>
        <w:rStyle w:val="FooterChar"/>
        <w:b/>
      </w:rPr>
      <w:t>5</w:t>
    </w:r>
  </w:p>
  <w:p w:rsidR="00391897" w:rsidRPr="008F7233" w:rsidRDefault="00391897" w:rsidP="00EF0A00">
    <w:pPr>
      <w:pStyle w:val="Footer"/>
      <w:ind w:left="3714" w:hanging="3714"/>
      <w:jc w:val="center"/>
      <w:rPr>
        <w:rFonts w:ascii="Arial" w:hAnsi="Arial" w:cs="Arial"/>
        <w:strike/>
        <w:color w:val="FF0000"/>
        <w:sz w:val="24"/>
        <w:szCs w:val="24"/>
      </w:rPr>
    </w:pPr>
    <w:r w:rsidRPr="008F7233">
      <w:rPr>
        <w:rStyle w:val="FooterChar"/>
        <w:rFonts w:ascii="Arial" w:hAnsi="Arial" w:cs="Arial"/>
        <w:b/>
        <w:strike/>
        <w:color w:val="FF0000"/>
        <w:sz w:val="24"/>
        <w:szCs w:val="24"/>
      </w:rPr>
      <w:t>Sensitive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AsPlaceholder"/>
      <w:tblpPr w:bottomFromText="283" w:vertAnchor="page" w:horzAnchor="margin" w:tblpYSpec="bottom"/>
      <w:tblW w:w="8731" w:type="dxa"/>
      <w:tblLayout w:type="fixed"/>
      <w:tblCellMar>
        <w:top w:w="28" w:type="dxa"/>
      </w:tblCellMar>
      <w:tblLook w:val="04A0" w:firstRow="1" w:lastRow="0" w:firstColumn="1" w:lastColumn="0" w:noHBand="0" w:noVBand="1"/>
    </w:tblPr>
    <w:tblGrid>
      <w:gridCol w:w="567"/>
      <w:gridCol w:w="8164"/>
    </w:tblGrid>
    <w:tr w:rsidR="00391897" w:rsidRPr="00EB388E" w:rsidTr="002D239A">
      <w:trPr>
        <w:trHeight w:val="340"/>
      </w:trPr>
      <w:tc>
        <w:tcPr>
          <w:tcW w:w="567" w:type="dxa"/>
          <w:tcBorders>
            <w:right w:val="single" w:sz="4" w:space="0" w:color="788184" w:themeColor="background2"/>
          </w:tcBorders>
          <w:vAlign w:val="center"/>
        </w:tcPr>
        <w:p w:rsidR="00391897" w:rsidRPr="00CB70DF" w:rsidRDefault="00391897" w:rsidP="002D239A">
          <w:pPr>
            <w:pStyle w:val="FooterLeftPageNumber"/>
            <w:framePr w:wrap="auto" w:vAnchor="margin" w:hAnchor="text" w:yAlign="inline"/>
          </w:pPr>
          <w:r w:rsidRPr="00EB388E">
            <w:fldChar w:fldCharType="begin"/>
          </w:r>
          <w:r w:rsidRPr="00EB388E">
            <w:instrText xml:space="preserve"> PAGE   \* MERGEFORMAT </w:instrText>
          </w:r>
          <w:r w:rsidRPr="00EB388E">
            <w:fldChar w:fldCharType="separate"/>
          </w:r>
          <w:r w:rsidR="003A6775">
            <w:rPr>
              <w:noProof/>
            </w:rPr>
            <w:t>6</w:t>
          </w:r>
          <w:r w:rsidRPr="00EB388E">
            <w:fldChar w:fldCharType="end"/>
          </w:r>
        </w:p>
      </w:tc>
      <w:tc>
        <w:tcPr>
          <w:tcW w:w="8164" w:type="dxa"/>
          <w:tcBorders>
            <w:left w:val="single" w:sz="4" w:space="0" w:color="788184" w:themeColor="background2"/>
          </w:tcBorders>
          <w:vAlign w:val="center"/>
        </w:tcPr>
        <w:p w:rsidR="00391897" w:rsidRPr="00CB70DF" w:rsidRDefault="008F7233" w:rsidP="002D239A">
          <w:pPr>
            <w:pStyle w:val="FooterLeft"/>
            <w:framePr w:wrap="auto" w:vAnchor="margin" w:hAnchor="text" w:yAlign="inline"/>
          </w:pPr>
          <w:r>
            <w:fldChar w:fldCharType="begin"/>
          </w:r>
          <w:r>
            <w:instrText xml:space="preserve"> STYLEREF  Title  \* MERGEFORMAT </w:instrText>
          </w:r>
          <w:r>
            <w:fldChar w:fldCharType="separate"/>
          </w:r>
          <w:r w:rsidR="003A6775">
            <w:rPr>
              <w:noProof/>
            </w:rPr>
            <w:t>Policy costing—outside the caretaker period</w:t>
          </w:r>
          <w:r>
            <w:rPr>
              <w:noProof/>
            </w:rPr>
            <w:fldChar w:fldCharType="end"/>
          </w:r>
        </w:p>
      </w:tc>
    </w:tr>
    <w:tr w:rsidR="00391897" w:rsidRPr="00EB388E" w:rsidTr="002D239A">
      <w:trPr>
        <w:trHeight w:hRule="exact" w:val="403"/>
      </w:trPr>
      <w:tc>
        <w:tcPr>
          <w:tcW w:w="567" w:type="dxa"/>
          <w:tcMar>
            <w:bottom w:w="284" w:type="dxa"/>
          </w:tcMar>
        </w:tcPr>
        <w:p w:rsidR="00391897" w:rsidRPr="00EB388E" w:rsidRDefault="00391897" w:rsidP="002D239A">
          <w:pPr>
            <w:pStyle w:val="FooterRightPageNumber"/>
          </w:pPr>
        </w:p>
      </w:tc>
      <w:tc>
        <w:tcPr>
          <w:tcW w:w="8164" w:type="dxa"/>
          <w:tcMar>
            <w:bottom w:w="284" w:type="dxa"/>
          </w:tcMar>
        </w:tcPr>
        <w:p w:rsidR="00391897" w:rsidRPr="00090E70" w:rsidRDefault="00391897" w:rsidP="002D239A"/>
      </w:tc>
    </w:tr>
  </w:tbl>
  <w:p w:rsidR="00391897" w:rsidRDefault="00391897">
    <w:pPr>
      <w:pStyle w:val="Footer"/>
    </w:pPr>
  </w:p>
  <w:p w:rsidR="00391897" w:rsidRPr="004816D7" w:rsidRDefault="00391897" w:rsidP="005600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897" w:rsidRPr="0046444F" w:rsidRDefault="00391897" w:rsidP="0046444F">
    <w:pPr>
      <w:pStyle w:val="Header"/>
      <w:spacing w:after="240"/>
      <w:ind w:left="7309" w:hanging="7309"/>
    </w:pPr>
    <w:r w:rsidRPr="0092572B">
      <w:rPr>
        <w:b/>
        <w:color w:val="FF0000"/>
        <w:sz w:val="28"/>
        <w:szCs w:val="28"/>
      </w:rPr>
      <w:t>Sensitive</w:t>
    </w:r>
    <w:r>
      <w:rPr>
        <w:b/>
        <w:color w:val="FF0000"/>
        <w:sz w:val="28"/>
        <w:szCs w:val="28"/>
      </w:rPr>
      <w:tab/>
    </w:r>
    <w:r w:rsidRPr="00D67648">
      <w:rPr>
        <w:rStyle w:val="FooterChar"/>
      </w:rPr>
      <w:t xml:space="preserve">Page </w:t>
    </w:r>
    <w:r w:rsidRPr="00D67648">
      <w:rPr>
        <w:rStyle w:val="FooterChar"/>
      </w:rPr>
      <w:fldChar w:fldCharType="begin"/>
    </w:r>
    <w:r w:rsidRPr="00D67648">
      <w:rPr>
        <w:rStyle w:val="FooterChar"/>
      </w:rPr>
      <w:instrText xml:space="preserve"> PAGE  \* Arabic  \* MERGEFORMAT </w:instrText>
    </w:r>
    <w:r w:rsidRPr="00D67648">
      <w:rPr>
        <w:rStyle w:val="FooterChar"/>
      </w:rPr>
      <w:fldChar w:fldCharType="separate"/>
    </w:r>
    <w:r w:rsidR="003A6775">
      <w:rPr>
        <w:rStyle w:val="FooterChar"/>
        <w:noProof/>
      </w:rPr>
      <w:t>6</w:t>
    </w:r>
    <w:r w:rsidRPr="00D67648">
      <w:rPr>
        <w:rStyle w:val="FooterChar"/>
      </w:rPr>
      <w:fldChar w:fldCharType="end"/>
    </w:r>
    <w:r w:rsidRPr="00D67648">
      <w:rPr>
        <w:rStyle w:val="FooterChar"/>
      </w:rPr>
      <w:t xml:space="preserve"> of </w:t>
    </w:r>
    <w:r w:rsidRPr="00D67648">
      <w:rPr>
        <w:rStyle w:val="FooterChar"/>
      </w:rPr>
      <w:fldChar w:fldCharType="begin"/>
    </w:r>
    <w:r w:rsidRPr="00D67648">
      <w:rPr>
        <w:rStyle w:val="FooterChar"/>
      </w:rPr>
      <w:instrText xml:space="preserve"> NUMPAGES  \* Arabic  \* MERGEFORMAT </w:instrText>
    </w:r>
    <w:r w:rsidRPr="00D67648">
      <w:rPr>
        <w:rStyle w:val="FooterChar"/>
      </w:rPr>
      <w:fldChar w:fldCharType="separate"/>
    </w:r>
    <w:r w:rsidR="003A6775">
      <w:rPr>
        <w:rStyle w:val="FooterChar"/>
        <w:noProof/>
      </w:rPr>
      <w:t>6</w:t>
    </w:r>
    <w:r w:rsidRPr="00D67648">
      <w:rPr>
        <w:rStyle w:val="FooterCha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897" w:rsidRPr="000557A7" w:rsidRDefault="00391897" w:rsidP="008D5A11">
      <w:pPr>
        <w:pBdr>
          <w:top w:val="single" w:sz="4" w:space="1" w:color="auto"/>
        </w:pBdr>
        <w:spacing w:before="240" w:line="60" w:lineRule="exact"/>
        <w:rPr>
          <w:sz w:val="16"/>
          <w:szCs w:val="16"/>
        </w:rPr>
      </w:pPr>
    </w:p>
  </w:footnote>
  <w:footnote w:type="continuationSeparator" w:id="0">
    <w:p w:rsidR="00391897" w:rsidRDefault="00391897" w:rsidP="00A20802">
      <w:pPr>
        <w:spacing w:line="240" w:lineRule="auto"/>
      </w:pPr>
      <w:r>
        <w:continuationSeparator/>
      </w:r>
    </w:p>
    <w:p w:rsidR="00391897" w:rsidRDefault="003918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FE1" w:rsidRPr="008F7233" w:rsidRDefault="00500FE1" w:rsidP="002C4DA6">
    <w:pPr>
      <w:pStyle w:val="Header"/>
      <w:jc w:val="center"/>
      <w:rPr>
        <w:b/>
        <w:strike/>
        <w:color w:val="FF0000"/>
        <w:sz w:val="28"/>
        <w:szCs w:val="28"/>
      </w:rPr>
    </w:pPr>
    <w:r w:rsidRPr="008F7233">
      <w:rPr>
        <w:b/>
        <w:strike/>
        <w:color w:val="FF0000"/>
        <w:sz w:val="28"/>
        <w:szCs w:val="28"/>
      </w:rPr>
      <w:t>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897" w:rsidRPr="008F7233" w:rsidRDefault="00391897" w:rsidP="002C4DA6">
    <w:pPr>
      <w:pStyle w:val="Header"/>
      <w:jc w:val="center"/>
      <w:rPr>
        <w:b/>
        <w:strike/>
        <w:color w:val="FF0000"/>
        <w:sz w:val="28"/>
        <w:szCs w:val="28"/>
      </w:rPr>
    </w:pPr>
    <w:r w:rsidRPr="008F7233">
      <w:rPr>
        <w:b/>
        <w:strike/>
        <w:color w:val="FF0000"/>
        <w:sz w:val="28"/>
        <w:szCs w:val="28"/>
      </w:rPr>
      <w:t>Sensitive</w:t>
    </w:r>
  </w:p>
  <w:p w:rsidR="00391897" w:rsidRPr="0046444F" w:rsidRDefault="00391897" w:rsidP="0046444F">
    <w:pPr>
      <w:pStyle w:val="Header"/>
    </w:pPr>
    <w:r>
      <w:rPr>
        <w:noProof/>
        <w:lang w:eastAsia="en-AU"/>
      </w:rPr>
      <w:drawing>
        <wp:inline distT="0" distB="0" distL="0" distR="0" wp14:anchorId="288A44CF" wp14:editId="5B7E7391">
          <wp:extent cx="2696845" cy="572135"/>
          <wp:effectExtent l="0" t="0" r="8255" b="0"/>
          <wp:docPr id="21" name="Picture 21" title="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897" w:rsidRDefault="00391897">
    <w:pPr>
      <w:pStyle w:val="Header"/>
    </w:pPr>
    <w:r>
      <w:rPr>
        <w:noProof/>
        <w:lang w:eastAsia="en-AU"/>
      </w:rPr>
      <mc:AlternateContent>
        <mc:Choice Requires="wps">
          <w:drawing>
            <wp:anchor distT="0" distB="0" distL="114300" distR="114300" simplePos="0" relativeHeight="251693056" behindDoc="1" locked="1" layoutInCell="1" allowOverlap="1" wp14:anchorId="0F6F9E9A" wp14:editId="48243BBB">
              <wp:simplePos x="0" y="0"/>
              <wp:positionH relativeFrom="page">
                <wp:align>center</wp:align>
              </wp:positionH>
              <wp:positionV relativeFrom="page">
                <wp:align>center</wp:align>
              </wp:positionV>
              <wp:extent cx="7560000" cy="1796400"/>
              <wp:effectExtent l="0" t="0" r="0" b="0"/>
              <wp:wrapNone/>
              <wp:docPr id="25"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897" w:rsidRPr="0001226A" w:rsidRDefault="00391897" w:rsidP="00F45442">
                          <w:pPr>
                            <w:pStyle w:val="xStatus"/>
                            <w:rPr>
                              <w:szCs w:val="1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0;margin-top:0;width:595.3pt;height:141.45pt;z-index:-25162342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CjugIAAMQFAAAOAAAAZHJzL2Uyb0RvYy54bWysVNuOmzAQfa/Uf7D8znKpEwJastoNoaq0&#10;vUi7/QAHTLAKNrWdwLbqv3dsctutKlVteUC2Z3xmzszxXN+MXYv2TGkuRYbDqwAjJkpZcbHN8OfH&#10;wltgpA0VFW2lYBl+YhrfLF+/uh76lEWykW3FFAIQodOhz3BjTJ/6vi4b1lF9JXsmwFhL1VEDW7X1&#10;K0UHQO9aPwqCuT9IVfVKlkxrOM0nI146/LpmpflY15oZ1GYYcjPur9x/Y//+8pqmW0X7hpeHNOhf&#10;ZNFRLiDoCSqnhqKd4r9AdbxUUsvaXJWy82Vd85I5DsAmDF6weWhozxwXKI7uT2XS/w+2/LD/pBCv&#10;MhzNMBK0gx49stGgOzmiKIxtgYZep+D30IOnGcEAjXZkdX8vyy8aCblqqNiyW6Xk0DBaQYKhvelf&#10;XJ1wtAXZDO9lBYHozkgHNNaqs9WDeiBAh0Y9nZpjkynhMJ7NA/gwKsEWxsmcwMbGoOnxeq+0ectk&#10;h+wiwwq67+Dp/l6byfXoYqMJWfC2hXOatuLZAWBOJxAcrlqbTcM19HsSJOvFekE8Es3XHgny3Lst&#10;VsSbF2E8y9/kq1Ue/rBxQ5I2vKqYsGGO4grJnzXvIPNJFid5adnyysLZlLTablatQnsK4i7cdyjI&#10;hZv/PA1XL+DyglIYkeAuSrxivog9UpCZl8TBwgvC5C6ZByQhefGc0j0X7N8poSHDyQyU5+j8lpvt&#10;+6nZF9xo2nED46PlXYYXJyeaWg2uReVaayhvp/VFKWz651JAu4+Ndoq1Ip3kasbN6F6Hk7NV80ZW&#10;TyBhJUFgIEYYfbBopPqG0QBjJMP6644qhlH7TsAzSEJC7NxxGzKLI9ioS8vm0kJFCVAZNhhNy5WZ&#10;ZtWuV3zbQKTp4Ql5C0+n5k7U56wODw5GheN2GGt2Fl3undd5+C5/AgAA//8DAFBLAwQUAAYACAAA&#10;ACEANMVEztsAAAAGAQAADwAAAGRycy9kb3ducmV2LnhtbEyPT0vDQBDF74LfYRnBm51t0NLETIoo&#10;XhXrH/C2zU6TYHY2ZLdN/PZuvehl4PEe7/2m3MyuV0ceQ+eFYLnQoFhqbztpCN5eH6/WoEI0Yk3v&#10;hQm+OcCmOj8rTWH9JC983MZGpRIJhSFoYxwKxFC37ExY+IEleXs/OhOTHBu0o5lSuesx03qFznSS&#10;Floz8H3L9df24Ajen/afH9f6uXlwN8PkZ43iciS6vJjvbkFFnuNfGE74CR2qxLTzB7FB9QTpkfh7&#10;T94y1ytQO4JsneWAVYn/8asfAAAA//8DAFBLAQItABQABgAIAAAAIQC2gziS/gAAAOEBAAATAAAA&#10;AAAAAAAAAAAAAAAAAABbQ29udGVudF9UeXBlc10ueG1sUEsBAi0AFAAGAAgAAAAhADj9If/WAAAA&#10;lAEAAAsAAAAAAAAAAAAAAAAALwEAAF9yZWxzLy5yZWxzUEsBAi0AFAAGAAgAAAAhAE9cIKO6AgAA&#10;xAUAAA4AAAAAAAAAAAAAAAAALgIAAGRycy9lMm9Eb2MueG1sUEsBAi0AFAAGAAgAAAAhADTFRM7b&#10;AAAABgEAAA8AAAAAAAAAAAAAAAAAFAUAAGRycy9kb3ducmV2LnhtbFBLBQYAAAAABAAEAPMAAAAc&#10;BgAAAAA=&#10;" filled="f" stroked="f">
              <v:textbox>
                <w:txbxContent>
                  <w:p w:rsidR="00391897" w:rsidRPr="0001226A" w:rsidRDefault="00391897" w:rsidP="00F45442">
                    <w:pPr>
                      <w:pStyle w:val="xStatus"/>
                      <w:rPr>
                        <w:szCs w:val="120"/>
                      </w:rPr>
                    </w:pPr>
                  </w:p>
                </w:txbxContent>
              </v:textbox>
              <w10:wrap anchorx="page" anchory="page"/>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897" w:rsidRDefault="00391897" w:rsidP="0046444F">
    <w:pPr>
      <w:pStyle w:val="Header"/>
      <w:jc w:val="right"/>
      <w:rPr>
        <w:b/>
        <w:color w:val="FF0000"/>
        <w:sz w:val="28"/>
        <w:szCs w:val="28"/>
      </w:rPr>
    </w:pPr>
    <w:r w:rsidRPr="0092572B">
      <w:rPr>
        <w:b/>
        <w:color w:val="FF0000"/>
        <w:sz w:val="28"/>
        <w:szCs w:val="28"/>
      </w:rPr>
      <w:t>Sensitive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37FE"/>
    <w:multiLevelType w:val="multilevel"/>
    <w:tmpl w:val="D1A2BED4"/>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
    <w:nsid w:val="0D745448"/>
    <w:multiLevelType w:val="multilevel"/>
    <w:tmpl w:val="CE3A3256"/>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2">
    <w:nsid w:val="0FB2573F"/>
    <w:multiLevelType w:val="multilevel"/>
    <w:tmpl w:val="E0A6CF32"/>
    <w:name w:val="TableFootnotes"/>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3">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4">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8">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2B3B5F"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10">
    <w:nsid w:val="745C3AB2"/>
    <w:multiLevelType w:val="hybridMultilevel"/>
    <w:tmpl w:val="5EB0E89C"/>
    <w:lvl w:ilvl="0" w:tplc="661CA760">
      <w:start w:val="1"/>
      <w:numFmt w:val="bullet"/>
      <w:pStyle w:val="Bullet1"/>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7"/>
  </w:num>
  <w:num w:numId="2">
    <w:abstractNumId w:val="0"/>
  </w:num>
  <w:num w:numId="3">
    <w:abstractNumId w:val="11"/>
  </w:num>
  <w:num w:numId="4">
    <w:abstractNumId w:val="6"/>
  </w:num>
  <w:num w:numId="5">
    <w:abstractNumId w:val="5"/>
  </w:num>
  <w:num w:numId="6">
    <w:abstractNumId w:val="9"/>
  </w:num>
  <w:num w:numId="7">
    <w:abstractNumId w:val="2"/>
  </w:num>
  <w:num w:numId="8">
    <w:abstractNumId w:val="3"/>
  </w:num>
  <w:num w:numId="9">
    <w:abstractNumId w:val="8"/>
  </w:num>
  <w:num w:numId="10">
    <w:abstractNumId w:val="1"/>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BC2D25"/>
    <w:rsid w:val="0000071C"/>
    <w:rsid w:val="000020DE"/>
    <w:rsid w:val="0000322C"/>
    <w:rsid w:val="00003CDD"/>
    <w:rsid w:val="000137F0"/>
    <w:rsid w:val="0001406F"/>
    <w:rsid w:val="000168A7"/>
    <w:rsid w:val="00016D53"/>
    <w:rsid w:val="00021F98"/>
    <w:rsid w:val="000278D0"/>
    <w:rsid w:val="00027E62"/>
    <w:rsid w:val="000307C8"/>
    <w:rsid w:val="00030F73"/>
    <w:rsid w:val="00035ADE"/>
    <w:rsid w:val="000377FA"/>
    <w:rsid w:val="0004224B"/>
    <w:rsid w:val="00046226"/>
    <w:rsid w:val="0005330D"/>
    <w:rsid w:val="00053A4C"/>
    <w:rsid w:val="000557A7"/>
    <w:rsid w:val="00055805"/>
    <w:rsid w:val="00056CB3"/>
    <w:rsid w:val="00066D54"/>
    <w:rsid w:val="00067A28"/>
    <w:rsid w:val="00071E07"/>
    <w:rsid w:val="0007260F"/>
    <w:rsid w:val="000805D5"/>
    <w:rsid w:val="0008103B"/>
    <w:rsid w:val="00085F97"/>
    <w:rsid w:val="00092A33"/>
    <w:rsid w:val="000973F9"/>
    <w:rsid w:val="00097AB0"/>
    <w:rsid w:val="000A2FEC"/>
    <w:rsid w:val="000A348F"/>
    <w:rsid w:val="000B4F83"/>
    <w:rsid w:val="000B6942"/>
    <w:rsid w:val="000B707F"/>
    <w:rsid w:val="000C09FA"/>
    <w:rsid w:val="000C37A9"/>
    <w:rsid w:val="000C6728"/>
    <w:rsid w:val="000C702E"/>
    <w:rsid w:val="000D15E9"/>
    <w:rsid w:val="000D3182"/>
    <w:rsid w:val="000D45C4"/>
    <w:rsid w:val="000E18F3"/>
    <w:rsid w:val="000E266E"/>
    <w:rsid w:val="000F1515"/>
    <w:rsid w:val="000F16B5"/>
    <w:rsid w:val="000F616E"/>
    <w:rsid w:val="00107B04"/>
    <w:rsid w:val="00110D43"/>
    <w:rsid w:val="001159EA"/>
    <w:rsid w:val="00120A75"/>
    <w:rsid w:val="00125410"/>
    <w:rsid w:val="00130858"/>
    <w:rsid w:val="00131C36"/>
    <w:rsid w:val="00136C26"/>
    <w:rsid w:val="0014059F"/>
    <w:rsid w:val="00141551"/>
    <w:rsid w:val="001417CE"/>
    <w:rsid w:val="0014187F"/>
    <w:rsid w:val="0014479F"/>
    <w:rsid w:val="00146EAD"/>
    <w:rsid w:val="00154DC5"/>
    <w:rsid w:val="00160C8D"/>
    <w:rsid w:val="00161CDC"/>
    <w:rsid w:val="001629C0"/>
    <w:rsid w:val="00165122"/>
    <w:rsid w:val="00165854"/>
    <w:rsid w:val="001738DB"/>
    <w:rsid w:val="00173A59"/>
    <w:rsid w:val="00173DFD"/>
    <w:rsid w:val="00180FF9"/>
    <w:rsid w:val="00192C80"/>
    <w:rsid w:val="00195228"/>
    <w:rsid w:val="00195696"/>
    <w:rsid w:val="00196532"/>
    <w:rsid w:val="001A1EFC"/>
    <w:rsid w:val="001A48EF"/>
    <w:rsid w:val="001A49CC"/>
    <w:rsid w:val="001A5553"/>
    <w:rsid w:val="001A716E"/>
    <w:rsid w:val="001B2C65"/>
    <w:rsid w:val="001B3505"/>
    <w:rsid w:val="001B4255"/>
    <w:rsid w:val="001B7058"/>
    <w:rsid w:val="001B7D3D"/>
    <w:rsid w:val="001C3A4F"/>
    <w:rsid w:val="001C4121"/>
    <w:rsid w:val="001C48DE"/>
    <w:rsid w:val="001D30C1"/>
    <w:rsid w:val="001D52E3"/>
    <w:rsid w:val="001D576F"/>
    <w:rsid w:val="001D7C29"/>
    <w:rsid w:val="001E0475"/>
    <w:rsid w:val="001E33C2"/>
    <w:rsid w:val="001F5C90"/>
    <w:rsid w:val="001F767C"/>
    <w:rsid w:val="00210FCF"/>
    <w:rsid w:val="00222EFF"/>
    <w:rsid w:val="002240D5"/>
    <w:rsid w:val="002261A7"/>
    <w:rsid w:val="00226AEC"/>
    <w:rsid w:val="00236FEC"/>
    <w:rsid w:val="002424D7"/>
    <w:rsid w:val="00242BBE"/>
    <w:rsid w:val="002545F3"/>
    <w:rsid w:val="00260E8A"/>
    <w:rsid w:val="0026344F"/>
    <w:rsid w:val="00264345"/>
    <w:rsid w:val="00266A17"/>
    <w:rsid w:val="00270372"/>
    <w:rsid w:val="00275534"/>
    <w:rsid w:val="00277075"/>
    <w:rsid w:val="002775D2"/>
    <w:rsid w:val="00281ADD"/>
    <w:rsid w:val="0028276B"/>
    <w:rsid w:val="0028563E"/>
    <w:rsid w:val="00293E0D"/>
    <w:rsid w:val="00293E80"/>
    <w:rsid w:val="002973B0"/>
    <w:rsid w:val="00297C14"/>
    <w:rsid w:val="002A220F"/>
    <w:rsid w:val="002A24F1"/>
    <w:rsid w:val="002A5778"/>
    <w:rsid w:val="002A6E3B"/>
    <w:rsid w:val="002B1E84"/>
    <w:rsid w:val="002B2085"/>
    <w:rsid w:val="002B3EC4"/>
    <w:rsid w:val="002C3184"/>
    <w:rsid w:val="002C37D5"/>
    <w:rsid w:val="002C4DA6"/>
    <w:rsid w:val="002D239A"/>
    <w:rsid w:val="002D34DB"/>
    <w:rsid w:val="002D4B11"/>
    <w:rsid w:val="002E5633"/>
    <w:rsid w:val="002F1963"/>
    <w:rsid w:val="002F5B6E"/>
    <w:rsid w:val="002F61B5"/>
    <w:rsid w:val="00300066"/>
    <w:rsid w:val="0030209B"/>
    <w:rsid w:val="003127E4"/>
    <w:rsid w:val="00313215"/>
    <w:rsid w:val="00313B3B"/>
    <w:rsid w:val="003174C3"/>
    <w:rsid w:val="003221EE"/>
    <w:rsid w:val="0032557A"/>
    <w:rsid w:val="00340778"/>
    <w:rsid w:val="00344C05"/>
    <w:rsid w:val="00344D2C"/>
    <w:rsid w:val="003458CE"/>
    <w:rsid w:val="00345A57"/>
    <w:rsid w:val="00346D90"/>
    <w:rsid w:val="00351F62"/>
    <w:rsid w:val="003601F4"/>
    <w:rsid w:val="003671E2"/>
    <w:rsid w:val="00370638"/>
    <w:rsid w:val="00372AE6"/>
    <w:rsid w:val="00376C3A"/>
    <w:rsid w:val="00380710"/>
    <w:rsid w:val="003837E1"/>
    <w:rsid w:val="0038584D"/>
    <w:rsid w:val="00391897"/>
    <w:rsid w:val="00391EB0"/>
    <w:rsid w:val="0039257F"/>
    <w:rsid w:val="003931DE"/>
    <w:rsid w:val="00397D1A"/>
    <w:rsid w:val="003A163C"/>
    <w:rsid w:val="003A2B4E"/>
    <w:rsid w:val="003A2FBB"/>
    <w:rsid w:val="003A3799"/>
    <w:rsid w:val="003A4913"/>
    <w:rsid w:val="003A54A9"/>
    <w:rsid w:val="003A6775"/>
    <w:rsid w:val="003A7083"/>
    <w:rsid w:val="003B3103"/>
    <w:rsid w:val="003B38B3"/>
    <w:rsid w:val="003B3A97"/>
    <w:rsid w:val="003B3D44"/>
    <w:rsid w:val="003B47BC"/>
    <w:rsid w:val="003C6BB5"/>
    <w:rsid w:val="003C7CC2"/>
    <w:rsid w:val="003D50B6"/>
    <w:rsid w:val="003E05DF"/>
    <w:rsid w:val="003E1562"/>
    <w:rsid w:val="003E302E"/>
    <w:rsid w:val="003E6085"/>
    <w:rsid w:val="003E6CA3"/>
    <w:rsid w:val="003F4C96"/>
    <w:rsid w:val="00401C49"/>
    <w:rsid w:val="00406002"/>
    <w:rsid w:val="00406AD3"/>
    <w:rsid w:val="00412E42"/>
    <w:rsid w:val="00425C05"/>
    <w:rsid w:val="00426356"/>
    <w:rsid w:val="00426929"/>
    <w:rsid w:val="004364B6"/>
    <w:rsid w:val="00442C16"/>
    <w:rsid w:val="00445410"/>
    <w:rsid w:val="00446439"/>
    <w:rsid w:val="00450BDA"/>
    <w:rsid w:val="00453A3E"/>
    <w:rsid w:val="0045452F"/>
    <w:rsid w:val="0045766B"/>
    <w:rsid w:val="00461BF3"/>
    <w:rsid w:val="0046444F"/>
    <w:rsid w:val="00474BB7"/>
    <w:rsid w:val="0047563F"/>
    <w:rsid w:val="00476133"/>
    <w:rsid w:val="004816D7"/>
    <w:rsid w:val="0048342E"/>
    <w:rsid w:val="0048517F"/>
    <w:rsid w:val="00487478"/>
    <w:rsid w:val="0048782D"/>
    <w:rsid w:val="00487A72"/>
    <w:rsid w:val="00494DC1"/>
    <w:rsid w:val="004A3F56"/>
    <w:rsid w:val="004A44BB"/>
    <w:rsid w:val="004A5E21"/>
    <w:rsid w:val="004A666A"/>
    <w:rsid w:val="004B143F"/>
    <w:rsid w:val="004B3022"/>
    <w:rsid w:val="004B49A0"/>
    <w:rsid w:val="004C4992"/>
    <w:rsid w:val="004C6306"/>
    <w:rsid w:val="004C6F5E"/>
    <w:rsid w:val="004C7E94"/>
    <w:rsid w:val="004D7CF8"/>
    <w:rsid w:val="004D7EDA"/>
    <w:rsid w:val="004E0E49"/>
    <w:rsid w:val="004E197A"/>
    <w:rsid w:val="004E441D"/>
    <w:rsid w:val="004E5D52"/>
    <w:rsid w:val="004E6470"/>
    <w:rsid w:val="004F07D7"/>
    <w:rsid w:val="004F1297"/>
    <w:rsid w:val="004F16DB"/>
    <w:rsid w:val="004F4D7E"/>
    <w:rsid w:val="004F5B16"/>
    <w:rsid w:val="004F5D9D"/>
    <w:rsid w:val="004F68E5"/>
    <w:rsid w:val="004F7037"/>
    <w:rsid w:val="004F741B"/>
    <w:rsid w:val="00500FE1"/>
    <w:rsid w:val="00503253"/>
    <w:rsid w:val="00503BB0"/>
    <w:rsid w:val="00503E03"/>
    <w:rsid w:val="00512226"/>
    <w:rsid w:val="005147C6"/>
    <w:rsid w:val="005159B1"/>
    <w:rsid w:val="00522502"/>
    <w:rsid w:val="005235A2"/>
    <w:rsid w:val="005255A1"/>
    <w:rsid w:val="00525825"/>
    <w:rsid w:val="0052641C"/>
    <w:rsid w:val="0053795D"/>
    <w:rsid w:val="00544522"/>
    <w:rsid w:val="005468AB"/>
    <w:rsid w:val="005501A0"/>
    <w:rsid w:val="00550831"/>
    <w:rsid w:val="00554273"/>
    <w:rsid w:val="0056001A"/>
    <w:rsid w:val="005642B6"/>
    <w:rsid w:val="00571D5E"/>
    <w:rsid w:val="005823D0"/>
    <w:rsid w:val="005835D5"/>
    <w:rsid w:val="005A2748"/>
    <w:rsid w:val="005A443F"/>
    <w:rsid w:val="005A7C26"/>
    <w:rsid w:val="005B0970"/>
    <w:rsid w:val="005B58D4"/>
    <w:rsid w:val="005C07B3"/>
    <w:rsid w:val="005C284E"/>
    <w:rsid w:val="005C47D4"/>
    <w:rsid w:val="005D0F98"/>
    <w:rsid w:val="005D51D0"/>
    <w:rsid w:val="005D6F83"/>
    <w:rsid w:val="005D7877"/>
    <w:rsid w:val="005D7CCF"/>
    <w:rsid w:val="005E04CF"/>
    <w:rsid w:val="005E58C4"/>
    <w:rsid w:val="005E5D8F"/>
    <w:rsid w:val="005F5A5C"/>
    <w:rsid w:val="005F5CD9"/>
    <w:rsid w:val="00601B9E"/>
    <w:rsid w:val="0061135C"/>
    <w:rsid w:val="006136DD"/>
    <w:rsid w:val="006149F0"/>
    <w:rsid w:val="006220A5"/>
    <w:rsid w:val="00622D86"/>
    <w:rsid w:val="00624AC8"/>
    <w:rsid w:val="00633812"/>
    <w:rsid w:val="00633C60"/>
    <w:rsid w:val="0064126D"/>
    <w:rsid w:val="006451B8"/>
    <w:rsid w:val="00645722"/>
    <w:rsid w:val="00652432"/>
    <w:rsid w:val="00657840"/>
    <w:rsid w:val="0066003C"/>
    <w:rsid w:val="0066041E"/>
    <w:rsid w:val="00673201"/>
    <w:rsid w:val="00673CCC"/>
    <w:rsid w:val="00675C98"/>
    <w:rsid w:val="0069026B"/>
    <w:rsid w:val="006956EA"/>
    <w:rsid w:val="006A490C"/>
    <w:rsid w:val="006B4F7D"/>
    <w:rsid w:val="006C114C"/>
    <w:rsid w:val="006C3668"/>
    <w:rsid w:val="006C3864"/>
    <w:rsid w:val="006C5383"/>
    <w:rsid w:val="006C5E72"/>
    <w:rsid w:val="006C74E0"/>
    <w:rsid w:val="006D2AEC"/>
    <w:rsid w:val="006D4C8E"/>
    <w:rsid w:val="006E19D1"/>
    <w:rsid w:val="006E1CBB"/>
    <w:rsid w:val="006F100B"/>
    <w:rsid w:val="006F239A"/>
    <w:rsid w:val="006F2AF6"/>
    <w:rsid w:val="006F2C9D"/>
    <w:rsid w:val="006F6B51"/>
    <w:rsid w:val="0070637D"/>
    <w:rsid w:val="007071DD"/>
    <w:rsid w:val="0070771F"/>
    <w:rsid w:val="00712A14"/>
    <w:rsid w:val="00716C04"/>
    <w:rsid w:val="00717180"/>
    <w:rsid w:val="007179D2"/>
    <w:rsid w:val="00720750"/>
    <w:rsid w:val="0072549C"/>
    <w:rsid w:val="00725A80"/>
    <w:rsid w:val="00733970"/>
    <w:rsid w:val="00741D0B"/>
    <w:rsid w:val="00754C58"/>
    <w:rsid w:val="00776E78"/>
    <w:rsid w:val="0078138A"/>
    <w:rsid w:val="00783014"/>
    <w:rsid w:val="007834DC"/>
    <w:rsid w:val="007959D8"/>
    <w:rsid w:val="0079630F"/>
    <w:rsid w:val="007A04C2"/>
    <w:rsid w:val="007A79C1"/>
    <w:rsid w:val="007B146A"/>
    <w:rsid w:val="007B57C9"/>
    <w:rsid w:val="007C0E7C"/>
    <w:rsid w:val="007C0EAA"/>
    <w:rsid w:val="007C19C3"/>
    <w:rsid w:val="007C44B2"/>
    <w:rsid w:val="007C6496"/>
    <w:rsid w:val="007C745E"/>
    <w:rsid w:val="007D0ABE"/>
    <w:rsid w:val="007E356F"/>
    <w:rsid w:val="007E3F8C"/>
    <w:rsid w:val="007F2058"/>
    <w:rsid w:val="007F7685"/>
    <w:rsid w:val="007F7892"/>
    <w:rsid w:val="0080011D"/>
    <w:rsid w:val="00800EA5"/>
    <w:rsid w:val="00801C01"/>
    <w:rsid w:val="008112CC"/>
    <w:rsid w:val="00812FDA"/>
    <w:rsid w:val="008130BB"/>
    <w:rsid w:val="00817406"/>
    <w:rsid w:val="008237FA"/>
    <w:rsid w:val="00825D37"/>
    <w:rsid w:val="008369B0"/>
    <w:rsid w:val="008372D1"/>
    <w:rsid w:val="008569DA"/>
    <w:rsid w:val="0085732C"/>
    <w:rsid w:val="00860B45"/>
    <w:rsid w:val="00863860"/>
    <w:rsid w:val="008638B5"/>
    <w:rsid w:val="00870CDB"/>
    <w:rsid w:val="008734DB"/>
    <w:rsid w:val="0087390B"/>
    <w:rsid w:val="008745A1"/>
    <w:rsid w:val="008768E9"/>
    <w:rsid w:val="0087751B"/>
    <w:rsid w:val="00880770"/>
    <w:rsid w:val="00890995"/>
    <w:rsid w:val="008914FB"/>
    <w:rsid w:val="0089737A"/>
    <w:rsid w:val="00897E99"/>
    <w:rsid w:val="008A4829"/>
    <w:rsid w:val="008B2384"/>
    <w:rsid w:val="008B38D6"/>
    <w:rsid w:val="008B4802"/>
    <w:rsid w:val="008B69E3"/>
    <w:rsid w:val="008C1FD1"/>
    <w:rsid w:val="008C24A8"/>
    <w:rsid w:val="008C35EF"/>
    <w:rsid w:val="008C5996"/>
    <w:rsid w:val="008D5A11"/>
    <w:rsid w:val="008D5E23"/>
    <w:rsid w:val="008D77AF"/>
    <w:rsid w:val="008E6D59"/>
    <w:rsid w:val="008F30C7"/>
    <w:rsid w:val="008F5D66"/>
    <w:rsid w:val="008F7233"/>
    <w:rsid w:val="009028AA"/>
    <w:rsid w:val="00903E3F"/>
    <w:rsid w:val="009049C3"/>
    <w:rsid w:val="009057D9"/>
    <w:rsid w:val="0090774A"/>
    <w:rsid w:val="00910D07"/>
    <w:rsid w:val="00914B2F"/>
    <w:rsid w:val="009150E6"/>
    <w:rsid w:val="00917F89"/>
    <w:rsid w:val="009255EE"/>
    <w:rsid w:val="00925603"/>
    <w:rsid w:val="00925F76"/>
    <w:rsid w:val="0092793E"/>
    <w:rsid w:val="00930744"/>
    <w:rsid w:val="00932E89"/>
    <w:rsid w:val="0093359D"/>
    <w:rsid w:val="00933F2B"/>
    <w:rsid w:val="00942EEB"/>
    <w:rsid w:val="0094468E"/>
    <w:rsid w:val="00944DCA"/>
    <w:rsid w:val="00945261"/>
    <w:rsid w:val="009506A5"/>
    <w:rsid w:val="009541CC"/>
    <w:rsid w:val="00956564"/>
    <w:rsid w:val="009567A6"/>
    <w:rsid w:val="00956D5A"/>
    <w:rsid w:val="00960518"/>
    <w:rsid w:val="00961B2C"/>
    <w:rsid w:val="00961DBB"/>
    <w:rsid w:val="00964C8C"/>
    <w:rsid w:val="0096618E"/>
    <w:rsid w:val="00971268"/>
    <w:rsid w:val="00981433"/>
    <w:rsid w:val="0098222F"/>
    <w:rsid w:val="00985C07"/>
    <w:rsid w:val="009918A6"/>
    <w:rsid w:val="00991CEE"/>
    <w:rsid w:val="00995B4F"/>
    <w:rsid w:val="00997582"/>
    <w:rsid w:val="009A04BD"/>
    <w:rsid w:val="009A2C21"/>
    <w:rsid w:val="009A3E58"/>
    <w:rsid w:val="009A5F02"/>
    <w:rsid w:val="009A7458"/>
    <w:rsid w:val="009A7AB1"/>
    <w:rsid w:val="009C6DAA"/>
    <w:rsid w:val="009D0E74"/>
    <w:rsid w:val="009D15D3"/>
    <w:rsid w:val="009D1A96"/>
    <w:rsid w:val="009D370B"/>
    <w:rsid w:val="009E2087"/>
    <w:rsid w:val="009E252B"/>
    <w:rsid w:val="009E3265"/>
    <w:rsid w:val="009E3353"/>
    <w:rsid w:val="009E446D"/>
    <w:rsid w:val="009E7C09"/>
    <w:rsid w:val="009F146D"/>
    <w:rsid w:val="009F4F1E"/>
    <w:rsid w:val="00A015E4"/>
    <w:rsid w:val="00A075BC"/>
    <w:rsid w:val="00A11222"/>
    <w:rsid w:val="00A12C39"/>
    <w:rsid w:val="00A134FB"/>
    <w:rsid w:val="00A20802"/>
    <w:rsid w:val="00A25B4F"/>
    <w:rsid w:val="00A27E8B"/>
    <w:rsid w:val="00A30BFB"/>
    <w:rsid w:val="00A36D85"/>
    <w:rsid w:val="00A442BF"/>
    <w:rsid w:val="00A46F25"/>
    <w:rsid w:val="00A517D0"/>
    <w:rsid w:val="00A53716"/>
    <w:rsid w:val="00A54DD8"/>
    <w:rsid w:val="00A5629E"/>
    <w:rsid w:val="00A56AD1"/>
    <w:rsid w:val="00A64832"/>
    <w:rsid w:val="00A710AB"/>
    <w:rsid w:val="00A732DB"/>
    <w:rsid w:val="00A73EB1"/>
    <w:rsid w:val="00A80233"/>
    <w:rsid w:val="00A838D2"/>
    <w:rsid w:val="00A84FB7"/>
    <w:rsid w:val="00A86F04"/>
    <w:rsid w:val="00A946C4"/>
    <w:rsid w:val="00AC01F8"/>
    <w:rsid w:val="00AC059A"/>
    <w:rsid w:val="00AC41CF"/>
    <w:rsid w:val="00AD0308"/>
    <w:rsid w:val="00AD377A"/>
    <w:rsid w:val="00AD4F01"/>
    <w:rsid w:val="00AD67BB"/>
    <w:rsid w:val="00AE1CC1"/>
    <w:rsid w:val="00AE3EA4"/>
    <w:rsid w:val="00AF1B02"/>
    <w:rsid w:val="00AF41E4"/>
    <w:rsid w:val="00AF568A"/>
    <w:rsid w:val="00B06A75"/>
    <w:rsid w:val="00B06BC3"/>
    <w:rsid w:val="00B15A0F"/>
    <w:rsid w:val="00B20236"/>
    <w:rsid w:val="00B20937"/>
    <w:rsid w:val="00B20EDA"/>
    <w:rsid w:val="00B220A0"/>
    <w:rsid w:val="00B22B64"/>
    <w:rsid w:val="00B22FEA"/>
    <w:rsid w:val="00B24321"/>
    <w:rsid w:val="00B30FEB"/>
    <w:rsid w:val="00B311BA"/>
    <w:rsid w:val="00B35B47"/>
    <w:rsid w:val="00B40AA3"/>
    <w:rsid w:val="00B44478"/>
    <w:rsid w:val="00B4609C"/>
    <w:rsid w:val="00B6002C"/>
    <w:rsid w:val="00B620EE"/>
    <w:rsid w:val="00B70DA8"/>
    <w:rsid w:val="00B85366"/>
    <w:rsid w:val="00B87F60"/>
    <w:rsid w:val="00B93D3D"/>
    <w:rsid w:val="00BA471F"/>
    <w:rsid w:val="00BB5013"/>
    <w:rsid w:val="00BB528E"/>
    <w:rsid w:val="00BB615A"/>
    <w:rsid w:val="00BC2600"/>
    <w:rsid w:val="00BC2D25"/>
    <w:rsid w:val="00BC36F0"/>
    <w:rsid w:val="00BC3E99"/>
    <w:rsid w:val="00BC4FA7"/>
    <w:rsid w:val="00BC5E30"/>
    <w:rsid w:val="00BD02C5"/>
    <w:rsid w:val="00BD068D"/>
    <w:rsid w:val="00BE0D9A"/>
    <w:rsid w:val="00BE19F0"/>
    <w:rsid w:val="00BE1A50"/>
    <w:rsid w:val="00BE2F0D"/>
    <w:rsid w:val="00BF0BD5"/>
    <w:rsid w:val="00BF55F8"/>
    <w:rsid w:val="00C051FD"/>
    <w:rsid w:val="00C052F5"/>
    <w:rsid w:val="00C20C7D"/>
    <w:rsid w:val="00C20DEF"/>
    <w:rsid w:val="00C24B25"/>
    <w:rsid w:val="00C24E89"/>
    <w:rsid w:val="00C24F7C"/>
    <w:rsid w:val="00C30370"/>
    <w:rsid w:val="00C32C2F"/>
    <w:rsid w:val="00C3738A"/>
    <w:rsid w:val="00C4315A"/>
    <w:rsid w:val="00C43F5E"/>
    <w:rsid w:val="00C44074"/>
    <w:rsid w:val="00C4651F"/>
    <w:rsid w:val="00C51D0B"/>
    <w:rsid w:val="00C52207"/>
    <w:rsid w:val="00C52A50"/>
    <w:rsid w:val="00C642D4"/>
    <w:rsid w:val="00C730F4"/>
    <w:rsid w:val="00C80200"/>
    <w:rsid w:val="00C80E0A"/>
    <w:rsid w:val="00C81D29"/>
    <w:rsid w:val="00C8270B"/>
    <w:rsid w:val="00C841A9"/>
    <w:rsid w:val="00C87095"/>
    <w:rsid w:val="00C8728F"/>
    <w:rsid w:val="00C97FBC"/>
    <w:rsid w:val="00CA06C8"/>
    <w:rsid w:val="00CA0B7E"/>
    <w:rsid w:val="00CA4C28"/>
    <w:rsid w:val="00CA5598"/>
    <w:rsid w:val="00CA5EF8"/>
    <w:rsid w:val="00CB28A3"/>
    <w:rsid w:val="00CB3F4D"/>
    <w:rsid w:val="00CC00A0"/>
    <w:rsid w:val="00CC0FED"/>
    <w:rsid w:val="00CC3C34"/>
    <w:rsid w:val="00CC5455"/>
    <w:rsid w:val="00CC5DD6"/>
    <w:rsid w:val="00CC6C06"/>
    <w:rsid w:val="00CD1526"/>
    <w:rsid w:val="00CD5509"/>
    <w:rsid w:val="00CE1EB0"/>
    <w:rsid w:val="00CE3DF2"/>
    <w:rsid w:val="00CE4952"/>
    <w:rsid w:val="00CF0C0F"/>
    <w:rsid w:val="00CF1690"/>
    <w:rsid w:val="00CF1F2A"/>
    <w:rsid w:val="00CF5CE3"/>
    <w:rsid w:val="00CF7412"/>
    <w:rsid w:val="00D030F8"/>
    <w:rsid w:val="00D077B7"/>
    <w:rsid w:val="00D15DD9"/>
    <w:rsid w:val="00D20297"/>
    <w:rsid w:val="00D21E6B"/>
    <w:rsid w:val="00D2336A"/>
    <w:rsid w:val="00D23634"/>
    <w:rsid w:val="00D34551"/>
    <w:rsid w:val="00D45119"/>
    <w:rsid w:val="00D457D6"/>
    <w:rsid w:val="00D64CE2"/>
    <w:rsid w:val="00D6733F"/>
    <w:rsid w:val="00D7751B"/>
    <w:rsid w:val="00D808A4"/>
    <w:rsid w:val="00D815DC"/>
    <w:rsid w:val="00D822B5"/>
    <w:rsid w:val="00D83D3C"/>
    <w:rsid w:val="00D867AE"/>
    <w:rsid w:val="00D87BBB"/>
    <w:rsid w:val="00D87C87"/>
    <w:rsid w:val="00D9178D"/>
    <w:rsid w:val="00D921C4"/>
    <w:rsid w:val="00D9296A"/>
    <w:rsid w:val="00D93C23"/>
    <w:rsid w:val="00D95638"/>
    <w:rsid w:val="00D9584C"/>
    <w:rsid w:val="00DA14D9"/>
    <w:rsid w:val="00DB13AD"/>
    <w:rsid w:val="00DB23F9"/>
    <w:rsid w:val="00DB58BE"/>
    <w:rsid w:val="00DB5B84"/>
    <w:rsid w:val="00DB6176"/>
    <w:rsid w:val="00DB6AA0"/>
    <w:rsid w:val="00DB7C3A"/>
    <w:rsid w:val="00DD32AB"/>
    <w:rsid w:val="00DD5BF6"/>
    <w:rsid w:val="00DE1865"/>
    <w:rsid w:val="00DE6CEF"/>
    <w:rsid w:val="00DF11C2"/>
    <w:rsid w:val="00DF2134"/>
    <w:rsid w:val="00DF4593"/>
    <w:rsid w:val="00E10D05"/>
    <w:rsid w:val="00E2223E"/>
    <w:rsid w:val="00E22D98"/>
    <w:rsid w:val="00E24623"/>
    <w:rsid w:val="00E252E3"/>
    <w:rsid w:val="00E34AF1"/>
    <w:rsid w:val="00E40505"/>
    <w:rsid w:val="00E42A41"/>
    <w:rsid w:val="00E45766"/>
    <w:rsid w:val="00E567E5"/>
    <w:rsid w:val="00E62D21"/>
    <w:rsid w:val="00E64480"/>
    <w:rsid w:val="00E65DA1"/>
    <w:rsid w:val="00E6708B"/>
    <w:rsid w:val="00E73A8C"/>
    <w:rsid w:val="00E75050"/>
    <w:rsid w:val="00E76F42"/>
    <w:rsid w:val="00E77D6D"/>
    <w:rsid w:val="00E900C2"/>
    <w:rsid w:val="00E915E6"/>
    <w:rsid w:val="00E92392"/>
    <w:rsid w:val="00E95551"/>
    <w:rsid w:val="00EA3E11"/>
    <w:rsid w:val="00EA6EB3"/>
    <w:rsid w:val="00EB4A8E"/>
    <w:rsid w:val="00EB5EF3"/>
    <w:rsid w:val="00EB695D"/>
    <w:rsid w:val="00EC38F3"/>
    <w:rsid w:val="00ED39CE"/>
    <w:rsid w:val="00ED4134"/>
    <w:rsid w:val="00ED5A8D"/>
    <w:rsid w:val="00EE05F1"/>
    <w:rsid w:val="00EE471A"/>
    <w:rsid w:val="00EE5492"/>
    <w:rsid w:val="00EF0A00"/>
    <w:rsid w:val="00EF29E8"/>
    <w:rsid w:val="00EF7005"/>
    <w:rsid w:val="00F07BD5"/>
    <w:rsid w:val="00F122D6"/>
    <w:rsid w:val="00F15BF4"/>
    <w:rsid w:val="00F16DD7"/>
    <w:rsid w:val="00F17940"/>
    <w:rsid w:val="00F17DC0"/>
    <w:rsid w:val="00F2046C"/>
    <w:rsid w:val="00F20647"/>
    <w:rsid w:val="00F31392"/>
    <w:rsid w:val="00F348B5"/>
    <w:rsid w:val="00F35DCF"/>
    <w:rsid w:val="00F3652B"/>
    <w:rsid w:val="00F36C0C"/>
    <w:rsid w:val="00F377B9"/>
    <w:rsid w:val="00F45442"/>
    <w:rsid w:val="00F5145E"/>
    <w:rsid w:val="00F558EA"/>
    <w:rsid w:val="00F613CB"/>
    <w:rsid w:val="00F61F79"/>
    <w:rsid w:val="00F656A4"/>
    <w:rsid w:val="00F6665E"/>
    <w:rsid w:val="00F7075F"/>
    <w:rsid w:val="00F71D76"/>
    <w:rsid w:val="00F8349F"/>
    <w:rsid w:val="00F83FB7"/>
    <w:rsid w:val="00F85935"/>
    <w:rsid w:val="00F85D29"/>
    <w:rsid w:val="00F969D3"/>
    <w:rsid w:val="00FA190E"/>
    <w:rsid w:val="00FA54D8"/>
    <w:rsid w:val="00FC4FB7"/>
    <w:rsid w:val="00FD1EE0"/>
    <w:rsid w:val="00FD357B"/>
    <w:rsid w:val="00FD38FC"/>
    <w:rsid w:val="00FD6119"/>
    <w:rsid w:val="00FD688E"/>
    <w:rsid w:val="00FD7C0C"/>
    <w:rsid w:val="00FE045C"/>
    <w:rsid w:val="00FE0C52"/>
    <w:rsid w:val="00FE1692"/>
    <w:rsid w:val="00FE2989"/>
    <w:rsid w:val="00FE3B13"/>
    <w:rsid w:val="00FF0566"/>
    <w:rsid w:val="00FF6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476133"/>
    <w:pPr>
      <w:keepLines/>
      <w:numPr>
        <w:numId w:val="2"/>
      </w:numPr>
      <w:spacing w:after="120"/>
    </w:pPr>
    <w:rPr>
      <w:spacing w:val="-1"/>
    </w:rPr>
  </w:style>
  <w:style w:type="paragraph" w:styleId="ListBullet2">
    <w:name w:val="List Bullet 2"/>
    <w:basedOn w:val="ListBullet"/>
    <w:uiPriority w:val="8"/>
    <w:qFormat/>
    <w:rsid w:val="00476133"/>
    <w:pPr>
      <w:numPr>
        <w:ilvl w:val="1"/>
      </w:numPr>
      <w:ind w:left="908" w:hanging="454"/>
    </w:pPr>
  </w:style>
  <w:style w:type="paragraph" w:styleId="ListBullet3">
    <w:name w:val="List Bullet 3"/>
    <w:basedOn w:val="ListBullet2"/>
    <w:uiPriority w:val="9"/>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ind w:left="284" w:hanging="284"/>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6444F"/>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Bullet1">
    <w:name w:val="Bullet 1"/>
    <w:basedOn w:val="ListParagraph"/>
    <w:link w:val="Bullet1Char"/>
    <w:qFormat/>
    <w:rsid w:val="00BC2D25"/>
    <w:pPr>
      <w:keepNext/>
      <w:keepLines/>
      <w:numPr>
        <w:numId w:val="13"/>
      </w:numPr>
      <w:spacing w:before="240" w:line="240" w:lineRule="auto"/>
      <w:ind w:left="284" w:hanging="284"/>
      <w:contextualSpacing w:val="0"/>
    </w:pPr>
    <w:rPr>
      <w:rFonts w:ascii="Times New Roman" w:hAnsi="Times New Roman" w:cs="Times New Roman"/>
      <w:sz w:val="24"/>
      <w:szCs w:val="24"/>
    </w:rPr>
  </w:style>
  <w:style w:type="character" w:customStyle="1" w:styleId="Bullet1Char">
    <w:name w:val="Bullet 1 Char"/>
    <w:basedOn w:val="DefaultParagraphFont"/>
    <w:link w:val="Bullet1"/>
    <w:rsid w:val="00BC2D25"/>
    <w:rPr>
      <w:rFonts w:ascii="Times New Roman" w:hAnsi="Times New Roman" w:cs="Times New Roman"/>
      <w:sz w:val="24"/>
      <w:szCs w:val="24"/>
    </w:rPr>
  </w:style>
  <w:style w:type="paragraph" w:styleId="ListParagraph">
    <w:name w:val="List Paragraph"/>
    <w:basedOn w:val="Normal"/>
    <w:uiPriority w:val="39"/>
    <w:rsid w:val="00BC2D25"/>
    <w:pPr>
      <w:ind w:left="720"/>
      <w:contextualSpacing/>
    </w:pPr>
  </w:style>
  <w:style w:type="character" w:styleId="CommentReference">
    <w:name w:val="annotation reference"/>
    <w:basedOn w:val="DefaultParagraphFont"/>
    <w:semiHidden/>
    <w:unhideWhenUsed/>
    <w:rsid w:val="007F7892"/>
    <w:rPr>
      <w:sz w:val="16"/>
      <w:szCs w:val="16"/>
    </w:rPr>
  </w:style>
  <w:style w:type="paragraph" w:styleId="CommentText">
    <w:name w:val="annotation text"/>
    <w:basedOn w:val="Normal"/>
    <w:link w:val="CommentTextChar"/>
    <w:semiHidden/>
    <w:unhideWhenUsed/>
    <w:rsid w:val="007F7892"/>
    <w:pPr>
      <w:spacing w:line="240" w:lineRule="auto"/>
    </w:pPr>
    <w:rPr>
      <w:sz w:val="20"/>
      <w:szCs w:val="20"/>
    </w:rPr>
  </w:style>
  <w:style w:type="character" w:customStyle="1" w:styleId="CommentTextChar">
    <w:name w:val="Comment Text Char"/>
    <w:basedOn w:val="DefaultParagraphFont"/>
    <w:link w:val="CommentText"/>
    <w:semiHidden/>
    <w:rsid w:val="007F7892"/>
    <w:rPr>
      <w:sz w:val="20"/>
      <w:szCs w:val="20"/>
    </w:rPr>
  </w:style>
  <w:style w:type="paragraph" w:styleId="CommentSubject">
    <w:name w:val="annotation subject"/>
    <w:basedOn w:val="CommentText"/>
    <w:next w:val="CommentText"/>
    <w:link w:val="CommentSubjectChar"/>
    <w:semiHidden/>
    <w:unhideWhenUsed/>
    <w:rsid w:val="007F7892"/>
    <w:rPr>
      <w:b/>
      <w:bCs/>
    </w:rPr>
  </w:style>
  <w:style w:type="character" w:customStyle="1" w:styleId="CommentSubjectChar">
    <w:name w:val="Comment Subject Char"/>
    <w:basedOn w:val="CommentTextChar"/>
    <w:link w:val="CommentSubject"/>
    <w:semiHidden/>
    <w:rsid w:val="007F7892"/>
    <w:rPr>
      <w:b/>
      <w:bCs/>
      <w:sz w:val="20"/>
      <w:szCs w:val="20"/>
    </w:rPr>
  </w:style>
  <w:style w:type="paragraph" w:styleId="Revision">
    <w:name w:val="Revision"/>
    <w:hidden/>
    <w:uiPriority w:val="99"/>
    <w:semiHidden/>
    <w:rsid w:val="00960518"/>
    <w:pPr>
      <w:spacing w:line="240" w:lineRule="auto"/>
    </w:pPr>
  </w:style>
  <w:style w:type="table" w:customStyle="1" w:styleId="LightGrid-Accent61">
    <w:name w:val="Light Grid - Accent 61"/>
    <w:basedOn w:val="TableNormal"/>
    <w:next w:val="LightGrid-Accent6"/>
    <w:uiPriority w:val="62"/>
    <w:rsid w:val="00EF29E8"/>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qFormat="1"/>
    <w:lsdException w:name="heading 3" w:qFormat="1"/>
    <w:lsdException w:name="heading 4"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header" w:uiPriority="99"/>
    <w:lsdException w:name="caption" w:uiPriority="13" w:qFormat="1"/>
    <w:lsdException w:name="table of figures" w:semiHidden="0" w:uiPriority="99" w:unhideWhenUsed="0"/>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46444F"/>
    <w:pPr>
      <w:keepNext/>
      <w:keepLines/>
      <w:numPr>
        <w:numId w:val="10"/>
      </w:numPr>
      <w:tabs>
        <w:tab w:val="right" w:pos="1418"/>
        <w:tab w:val="right" w:pos="1701"/>
        <w:tab w:val="right" w:pos="1985"/>
      </w:tabs>
      <w:spacing w:before="470" w:after="228"/>
      <w:outlineLvl w:val="0"/>
    </w:pPr>
    <w:rPr>
      <w:rFonts w:asciiTheme="majorHAnsi" w:hAnsiTheme="majorHAnsi"/>
      <w:bCs/>
      <w:color w:val="2B3B5F" w:themeColor="text2"/>
      <w:spacing w:val="-6"/>
      <w:kern w:val="32"/>
      <w:sz w:val="32"/>
      <w:szCs w:val="32"/>
    </w:rPr>
  </w:style>
  <w:style w:type="paragraph" w:styleId="Heading2">
    <w:name w:val="heading 2"/>
    <w:basedOn w:val="Normal"/>
    <w:next w:val="BodyText"/>
    <w:link w:val="Heading2Char"/>
    <w:uiPriority w:val="2"/>
    <w:qFormat/>
    <w:rsid w:val="00CA06C8"/>
    <w:pPr>
      <w:keepNext/>
      <w:keepLines/>
      <w:numPr>
        <w:ilvl w:val="1"/>
        <w:numId w:val="10"/>
      </w:numPr>
      <w:tabs>
        <w:tab w:val="left" w:pos="1418"/>
        <w:tab w:val="left" w:pos="1701"/>
        <w:tab w:val="left" w:pos="1985"/>
      </w:tabs>
      <w:spacing w:before="470" w:after="227"/>
      <w:outlineLvl w:val="1"/>
    </w:pPr>
    <w:rPr>
      <w:rFonts w:ascii="Calibri" w:hAnsi="Calibri"/>
      <w:b/>
      <w:bCs/>
      <w:iCs/>
      <w:color w:val="2B3B5F" w:themeColor="text2"/>
      <w:kern w:val="20"/>
      <w:sz w:val="24"/>
      <w:szCs w:val="28"/>
    </w:rPr>
  </w:style>
  <w:style w:type="paragraph" w:styleId="Heading3">
    <w:name w:val="heading 3"/>
    <w:basedOn w:val="Normal"/>
    <w:next w:val="BodyText"/>
    <w:link w:val="Heading3Char"/>
    <w:uiPriority w:val="3"/>
    <w:qFormat/>
    <w:rsid w:val="00CA06C8"/>
    <w:pPr>
      <w:keepNext/>
      <w:keepLines/>
      <w:numPr>
        <w:ilvl w:val="2"/>
        <w:numId w:val="10"/>
      </w:numPr>
      <w:tabs>
        <w:tab w:val="left" w:pos="1418"/>
        <w:tab w:val="left" w:pos="1701"/>
        <w:tab w:val="left" w:pos="1985"/>
      </w:tabs>
      <w:spacing w:before="470" w:after="227"/>
      <w:outlineLvl w:val="2"/>
    </w:pPr>
    <w:rPr>
      <w:i/>
      <w:color w:val="2B3B5F" w:themeColor="text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788184"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2B3B5F"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2D239A"/>
    <w:pPr>
      <w:keepNext/>
      <w:keepLines/>
      <w:numPr>
        <w:numId w:val="1"/>
      </w:numPr>
      <w:tabs>
        <w:tab w:val="left" w:pos="4536"/>
      </w:tabs>
      <w:spacing w:before="480" w:after="340"/>
      <w:outlineLvl w:val="7"/>
    </w:pPr>
    <w:rPr>
      <w:rFonts w:asciiTheme="majorHAnsi" w:eastAsiaTheme="majorEastAsia" w:hAnsiTheme="majorHAnsi" w:cstheme="majorBidi"/>
      <w:color w:val="2B3B5F" w:themeColor="text2"/>
      <w:sz w:val="32"/>
    </w:rPr>
  </w:style>
  <w:style w:type="paragraph" w:styleId="Heading9">
    <w:name w:val="heading 9"/>
    <w:aliases w:val="Attachment Heading 1"/>
    <w:basedOn w:val="Normal"/>
    <w:next w:val="BodyText"/>
    <w:link w:val="Heading9Char"/>
    <w:uiPriority w:val="32"/>
    <w:qFormat/>
    <w:rsid w:val="002D239A"/>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2B3B5F"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7C19C3"/>
    <w:pPr>
      <w:spacing w:before="113" w:after="113"/>
    </w:pPr>
    <w:rPr>
      <w:rFonts w:cs="Times New Roman"/>
      <w:spacing w:val="-1"/>
    </w:rPr>
  </w:style>
  <w:style w:type="character" w:customStyle="1" w:styleId="BodyTextChar">
    <w:name w:val="Body Text Char"/>
    <w:basedOn w:val="DefaultParagraphFont"/>
    <w:link w:val="BodyText"/>
    <w:uiPriority w:val="5"/>
    <w:rsid w:val="00AC41CF"/>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AC41CF"/>
    <w:rPr>
      <w:rFonts w:asciiTheme="majorHAnsi" w:hAnsiTheme="majorHAnsi"/>
      <w:bCs/>
      <w:color w:val="2B3B5F" w:themeColor="text2"/>
      <w:spacing w:val="-6"/>
      <w:kern w:val="32"/>
      <w:sz w:val="32"/>
      <w:szCs w:val="32"/>
    </w:rPr>
  </w:style>
  <w:style w:type="character" w:customStyle="1" w:styleId="Heading2Char">
    <w:name w:val="Heading 2 Char"/>
    <w:basedOn w:val="DefaultParagraphFont"/>
    <w:link w:val="Heading2"/>
    <w:uiPriority w:val="2"/>
    <w:rsid w:val="00AC41CF"/>
    <w:rPr>
      <w:rFonts w:ascii="Calibri" w:hAnsi="Calibri"/>
      <w:b/>
      <w:bCs/>
      <w:iCs/>
      <w:color w:val="2B3B5F" w:themeColor="text2"/>
      <w:kern w:val="20"/>
      <w:sz w:val="24"/>
      <w:szCs w:val="28"/>
    </w:rPr>
  </w:style>
  <w:style w:type="character" w:customStyle="1" w:styleId="Heading3Char">
    <w:name w:val="Heading 3 Char"/>
    <w:basedOn w:val="DefaultParagraphFont"/>
    <w:link w:val="Heading3"/>
    <w:uiPriority w:val="3"/>
    <w:rsid w:val="00AC41CF"/>
    <w:rPr>
      <w:i/>
      <w:color w:val="2B3B5F" w:themeColor="text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788184"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2B3B5F"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89737A"/>
    <w:rPr>
      <w:rFonts w:asciiTheme="majorHAnsi" w:eastAsiaTheme="majorEastAsia" w:hAnsiTheme="majorHAnsi" w:cstheme="majorBidi"/>
      <w:color w:val="2B3B5F" w:themeColor="text2"/>
      <w:sz w:val="32"/>
    </w:rPr>
  </w:style>
  <w:style w:type="character" w:customStyle="1" w:styleId="Heading9Char">
    <w:name w:val="Heading 9 Char"/>
    <w:aliases w:val="Attachment Heading 1 Char"/>
    <w:basedOn w:val="DefaultParagraphFont"/>
    <w:link w:val="Heading9"/>
    <w:uiPriority w:val="32"/>
    <w:rsid w:val="0089737A"/>
    <w:rPr>
      <w:rFonts w:asciiTheme="majorHAnsi" w:hAnsiTheme="majorHAnsi"/>
      <w:color w:val="2B3B5F" w:themeColor="text2"/>
      <w:sz w:val="28"/>
    </w:rPr>
  </w:style>
  <w:style w:type="paragraph" w:customStyle="1" w:styleId="AttachmentHeading2">
    <w:name w:val="Attachment Heading 2"/>
    <w:basedOn w:val="Normal"/>
    <w:next w:val="BodyText"/>
    <w:uiPriority w:val="33"/>
    <w:qFormat/>
    <w:rsid w:val="00CA5598"/>
    <w:pPr>
      <w:keepNext/>
      <w:keepLines/>
      <w:numPr>
        <w:ilvl w:val="2"/>
        <w:numId w:val="1"/>
      </w:numPr>
      <w:tabs>
        <w:tab w:val="left" w:pos="1559"/>
        <w:tab w:val="left" w:pos="1843"/>
        <w:tab w:val="left" w:pos="2126"/>
        <w:tab w:val="left" w:pos="2410"/>
      </w:tabs>
      <w:spacing w:before="470" w:after="227"/>
    </w:pPr>
    <w:rPr>
      <w:rFonts w:asciiTheme="majorHAnsi" w:hAnsiTheme="majorHAnsi"/>
      <w:color w:val="2B3B5F" w:themeColor="text2"/>
      <w:sz w:val="28"/>
    </w:rPr>
  </w:style>
  <w:style w:type="paragraph" w:customStyle="1" w:styleId="AttachmentHeading3">
    <w:name w:val="Attachment Heading 3"/>
    <w:basedOn w:val="Normal"/>
    <w:next w:val="BodyText"/>
    <w:uiPriority w:val="34"/>
    <w:qFormat/>
    <w:rsid w:val="00CA5598"/>
    <w:pPr>
      <w:keepNext/>
      <w:keepLines/>
      <w:numPr>
        <w:ilvl w:val="3"/>
        <w:numId w:val="1"/>
      </w:numPr>
      <w:tabs>
        <w:tab w:val="left" w:pos="1559"/>
        <w:tab w:val="left" w:pos="1843"/>
        <w:tab w:val="left" w:pos="2126"/>
        <w:tab w:val="left" w:pos="2410"/>
        <w:tab w:val="left" w:pos="6804"/>
      </w:tabs>
      <w:spacing w:before="227" w:after="113"/>
    </w:pPr>
    <w:rPr>
      <w:b/>
      <w:color w:val="2B3B5F" w:themeColor="text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961DBB"/>
    <w:pPr>
      <w:keepNext/>
      <w:spacing w:before="340" w:after="114"/>
    </w:pPr>
    <w:rPr>
      <w:b/>
      <w:bCs/>
      <w:color w:val="2B3B5F" w:themeColor="text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788184"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2B3B5F" w:themeColor="text2"/>
      <w:spacing w:val="-1"/>
    </w:rPr>
  </w:style>
  <w:style w:type="paragraph" w:customStyle="1" w:styleId="Introduction">
    <w:name w:val="Introduction"/>
    <w:basedOn w:val="Normal"/>
    <w:next w:val="BodyText"/>
    <w:uiPriority w:val="39"/>
    <w:rsid w:val="00961DBB"/>
    <w:pPr>
      <w:spacing w:after="180" w:line="360" w:lineRule="atLeast"/>
    </w:pPr>
    <w:rPr>
      <w:color w:val="2B3B5F"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476133"/>
    <w:pPr>
      <w:keepLines/>
      <w:numPr>
        <w:numId w:val="2"/>
      </w:numPr>
      <w:spacing w:after="120"/>
    </w:pPr>
    <w:rPr>
      <w:spacing w:val="-1"/>
    </w:rPr>
  </w:style>
  <w:style w:type="paragraph" w:styleId="ListBullet2">
    <w:name w:val="List Bullet 2"/>
    <w:basedOn w:val="ListBullet"/>
    <w:uiPriority w:val="8"/>
    <w:qFormat/>
    <w:rsid w:val="00476133"/>
    <w:pPr>
      <w:numPr>
        <w:ilvl w:val="1"/>
      </w:numPr>
      <w:ind w:left="908" w:hanging="454"/>
    </w:pPr>
  </w:style>
  <w:style w:type="paragraph" w:styleId="ListBullet3">
    <w:name w:val="List Bullet 3"/>
    <w:basedOn w:val="ListBullet2"/>
    <w:uiPriority w:val="9"/>
    <w:qFormat/>
    <w:rsid w:val="00961DBB"/>
    <w:pPr>
      <w:numPr>
        <w:ilvl w:val="2"/>
      </w:numPr>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2B3B5F"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2B3B5F"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uiPriority w:val="24"/>
    <w:qFormat/>
    <w:rsid w:val="00476133"/>
    <w:pPr>
      <w:spacing w:before="120" w:after="120"/>
      <w:ind w:left="57" w:right="57"/>
    </w:pPr>
    <w:rPr>
      <w:spacing w:val="-1"/>
    </w:rPr>
  </w:style>
  <w:style w:type="paragraph" w:customStyle="1" w:styleId="PullOutBoxBullet">
    <w:name w:val="Pull Out Box Bullet"/>
    <w:basedOn w:val="PullOutBoxBodyText"/>
    <w:uiPriority w:val="25"/>
    <w:qFormat/>
    <w:rsid w:val="00476133"/>
    <w:pPr>
      <w:numPr>
        <w:numId w:val="4"/>
      </w:numPr>
      <w:ind w:left="397"/>
    </w:pPr>
  </w:style>
  <w:style w:type="paragraph" w:customStyle="1" w:styleId="PullOutBoxBullet2">
    <w:name w:val="Pull Out Box Bullet 2"/>
    <w:basedOn w:val="PullOutBoxBodyText"/>
    <w:uiPriority w:val="26"/>
    <w:qFormat/>
    <w:rsid w:val="008112CC"/>
    <w:pPr>
      <w:numPr>
        <w:ilvl w:val="1"/>
        <w:numId w:val="4"/>
      </w:numPr>
      <w:ind w:left="737"/>
    </w:pPr>
  </w:style>
  <w:style w:type="paragraph" w:customStyle="1" w:styleId="PullOutBoxBullet3">
    <w:name w:val="Pull Out Box Bullet 3"/>
    <w:basedOn w:val="PullOutBoxBodyText"/>
    <w:uiPriority w:val="27"/>
    <w:qFormat/>
    <w:rsid w:val="00476133"/>
    <w:pPr>
      <w:numPr>
        <w:ilvl w:val="2"/>
        <w:numId w:val="4"/>
      </w:numPr>
      <w:ind w:left="1077"/>
    </w:pPr>
  </w:style>
  <w:style w:type="paragraph" w:customStyle="1" w:styleId="PullOutBoxHeading">
    <w:name w:val="Pull Out Box Heading"/>
    <w:basedOn w:val="PullOutBoxBodyText"/>
    <w:uiPriority w:val="23"/>
    <w:qFormat/>
    <w:rsid w:val="00476133"/>
    <w:pPr>
      <w:keepNext/>
      <w:keepLines/>
    </w:pPr>
    <w:rPr>
      <w:b/>
    </w:rPr>
  </w:style>
  <w:style w:type="paragraph" w:customStyle="1" w:styleId="PullOutBoxNumber">
    <w:name w:val="Pull Out Box Number"/>
    <w:basedOn w:val="PullOutBoxBodyText"/>
    <w:uiPriority w:val="28"/>
    <w:qFormat/>
    <w:rsid w:val="00476133"/>
    <w:pPr>
      <w:numPr>
        <w:numId w:val="5"/>
      </w:numPr>
      <w:ind w:left="397"/>
    </w:pPr>
  </w:style>
  <w:style w:type="paragraph" w:customStyle="1" w:styleId="PullOutBoxNumber2">
    <w:name w:val="Pull Out Box Number 2"/>
    <w:basedOn w:val="PullOutBoxBodyText"/>
    <w:uiPriority w:val="29"/>
    <w:qFormat/>
    <w:rsid w:val="008112CC"/>
    <w:pPr>
      <w:numPr>
        <w:ilvl w:val="1"/>
        <w:numId w:val="5"/>
      </w:numPr>
      <w:ind w:left="737"/>
    </w:pPr>
  </w:style>
  <w:style w:type="paragraph" w:customStyle="1" w:styleId="PullOutBoxNumber3">
    <w:name w:val="Pull Out Box Number 3"/>
    <w:basedOn w:val="PullOutBoxBodyText"/>
    <w:uiPriority w:val="30"/>
    <w:qFormat/>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D7DDE9" w:themeColor="accent3"/>
        <w:left w:val="single" w:sz="4" w:space="0" w:color="D7DDE9" w:themeColor="accent3"/>
        <w:bottom w:val="single" w:sz="4" w:space="0" w:color="D7DDE9" w:themeColor="accent3"/>
        <w:right w:val="single" w:sz="4" w:space="0" w:color="D7DDE9" w:themeColor="accent3"/>
        <w:insideH w:val="single" w:sz="4" w:space="0" w:color="D7DDE9" w:themeColor="accent3"/>
        <w:insideV w:val="single" w:sz="4" w:space="0" w:color="D7DDE9" w:themeColor="accent3"/>
      </w:tblBorders>
      <w:tblCellMar>
        <w:top w:w="28" w:type="dxa"/>
        <w:left w:w="0" w:type="dxa"/>
        <w:bottom w:w="28" w:type="dxa"/>
        <w:right w:w="0" w:type="dxa"/>
      </w:tblCellMar>
    </w:tblPr>
    <w:tcPr>
      <w:shd w:val="clear" w:color="auto" w:fill="D7DDE9"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2B3B5F" w:themeColor="text2"/>
      <w:sz w:val="50"/>
      <w:szCs w:val="40"/>
    </w:rPr>
  </w:style>
  <w:style w:type="character" w:customStyle="1" w:styleId="SectionSubtitle">
    <w:name w:val="Section Subtitle"/>
    <w:uiPriority w:val="39"/>
    <w:rsid w:val="00E45766"/>
    <w:rPr>
      <w:color w:val="751D71"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56001A"/>
    <w:pPr>
      <w:keepLines/>
      <w:numPr>
        <w:numId w:val="7"/>
      </w:numPr>
      <w:spacing w:after="50" w:line="260" w:lineRule="atLeast"/>
      <w:ind w:left="284" w:hanging="284"/>
      <w:contextualSpacing/>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2B3B5F"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788184"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2B3B5F"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2B3B5F"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2B3B5F"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2B3B5F"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2B3B5F"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2B3B5F"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2B3B5F"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788184"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6444F"/>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D7DDE9" w:themeColor="accent3"/>
        <w:left w:val="single" w:sz="8" w:space="0" w:color="D7DDE9" w:themeColor="accent3"/>
        <w:bottom w:val="single" w:sz="8" w:space="0" w:color="D7DDE9" w:themeColor="accent3"/>
        <w:right w:val="single" w:sz="8" w:space="0" w:color="D7DDE9" w:themeColor="accent3"/>
        <w:insideH w:val="single" w:sz="8" w:space="0" w:color="D7DDE9" w:themeColor="accent3"/>
        <w:insideV w:val="single" w:sz="8" w:space="0" w:color="D7DDE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18" w:space="0" w:color="D7DDE9" w:themeColor="accent3"/>
          <w:right w:val="single" w:sz="8" w:space="0" w:color="D7DDE9" w:themeColor="accent3"/>
          <w:insideH w:val="nil"/>
          <w:insideV w:val="single" w:sz="8" w:space="0" w:color="D7DDE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DDE9" w:themeColor="accent3"/>
          <w:left w:val="single" w:sz="8" w:space="0" w:color="D7DDE9" w:themeColor="accent3"/>
          <w:bottom w:val="single" w:sz="8" w:space="0" w:color="D7DDE9" w:themeColor="accent3"/>
          <w:right w:val="single" w:sz="8" w:space="0" w:color="D7DDE9" w:themeColor="accent3"/>
          <w:insideH w:val="nil"/>
          <w:insideV w:val="single" w:sz="8" w:space="0" w:color="D7DDE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tcPr>
    </w:tblStylePr>
    <w:tblStylePr w:type="band1Vert">
      <w:tblPr/>
      <w:tcPr>
        <w:tcBorders>
          <w:top w:val="single" w:sz="8" w:space="0" w:color="D7DDE9" w:themeColor="accent3"/>
          <w:left w:val="single" w:sz="8" w:space="0" w:color="D7DDE9" w:themeColor="accent3"/>
          <w:bottom w:val="single" w:sz="8" w:space="0" w:color="D7DDE9" w:themeColor="accent3"/>
          <w:right w:val="single" w:sz="8" w:space="0" w:color="D7DDE9" w:themeColor="accent3"/>
        </w:tcBorders>
        <w:shd w:val="clear" w:color="auto" w:fill="F5F6F9" w:themeFill="accent3" w:themeFillTint="3F"/>
      </w:tcPr>
    </w:tblStylePr>
    <w:tblStylePr w:type="band1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shd w:val="clear" w:color="auto" w:fill="F5F6F9" w:themeFill="accent3" w:themeFillTint="3F"/>
      </w:tcPr>
    </w:tblStylePr>
    <w:tblStylePr w:type="band2Horz">
      <w:tblPr/>
      <w:tcPr>
        <w:tcBorders>
          <w:top w:val="single" w:sz="8" w:space="0" w:color="D7DDE9" w:themeColor="accent3"/>
          <w:left w:val="single" w:sz="8" w:space="0" w:color="D7DDE9" w:themeColor="accent3"/>
          <w:bottom w:val="single" w:sz="8" w:space="0" w:color="D7DDE9" w:themeColor="accent3"/>
          <w:right w:val="single" w:sz="8" w:space="0" w:color="D7DDE9" w:themeColor="accent3"/>
          <w:insideV w:val="single" w:sz="8" w:space="0" w:color="D7DDE9" w:themeColor="accent3"/>
        </w:tcBorders>
      </w:tcPr>
    </w:tblStylePr>
  </w:style>
  <w:style w:type="paragraph" w:customStyle="1" w:styleId="Lettertext">
    <w:name w:val="Letter text"/>
    <w:basedOn w:val="BodyText"/>
    <w:qFormat/>
    <w:rsid w:val="00E64480"/>
    <w:pPr>
      <w:spacing w:before="240" w:after="0"/>
    </w:pPr>
    <w:rPr>
      <w:rFonts w:ascii="Times New Roman" w:hAnsi="Times New Roman"/>
      <w:spacing w:val="0"/>
      <w:sz w:val="24"/>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000000"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Bullet1">
    <w:name w:val="Bullet 1"/>
    <w:basedOn w:val="ListParagraph"/>
    <w:link w:val="Bullet1Char"/>
    <w:qFormat/>
    <w:rsid w:val="00BC2D25"/>
    <w:pPr>
      <w:keepNext/>
      <w:keepLines/>
      <w:numPr>
        <w:numId w:val="13"/>
      </w:numPr>
      <w:spacing w:before="240" w:line="240" w:lineRule="auto"/>
      <w:ind w:left="284" w:hanging="284"/>
      <w:contextualSpacing w:val="0"/>
    </w:pPr>
    <w:rPr>
      <w:rFonts w:ascii="Times New Roman" w:hAnsi="Times New Roman" w:cs="Times New Roman"/>
      <w:sz w:val="24"/>
      <w:szCs w:val="24"/>
    </w:rPr>
  </w:style>
  <w:style w:type="character" w:customStyle="1" w:styleId="Bullet1Char">
    <w:name w:val="Bullet 1 Char"/>
    <w:basedOn w:val="DefaultParagraphFont"/>
    <w:link w:val="Bullet1"/>
    <w:rsid w:val="00BC2D25"/>
    <w:rPr>
      <w:rFonts w:ascii="Times New Roman" w:hAnsi="Times New Roman" w:cs="Times New Roman"/>
      <w:sz w:val="24"/>
      <w:szCs w:val="24"/>
    </w:rPr>
  </w:style>
  <w:style w:type="paragraph" w:styleId="ListParagraph">
    <w:name w:val="List Paragraph"/>
    <w:basedOn w:val="Normal"/>
    <w:uiPriority w:val="39"/>
    <w:rsid w:val="00BC2D25"/>
    <w:pPr>
      <w:ind w:left="720"/>
      <w:contextualSpacing/>
    </w:pPr>
  </w:style>
  <w:style w:type="character" w:styleId="CommentReference">
    <w:name w:val="annotation reference"/>
    <w:basedOn w:val="DefaultParagraphFont"/>
    <w:semiHidden/>
    <w:unhideWhenUsed/>
    <w:rsid w:val="007F7892"/>
    <w:rPr>
      <w:sz w:val="16"/>
      <w:szCs w:val="16"/>
    </w:rPr>
  </w:style>
  <w:style w:type="paragraph" w:styleId="CommentText">
    <w:name w:val="annotation text"/>
    <w:basedOn w:val="Normal"/>
    <w:link w:val="CommentTextChar"/>
    <w:semiHidden/>
    <w:unhideWhenUsed/>
    <w:rsid w:val="007F7892"/>
    <w:pPr>
      <w:spacing w:line="240" w:lineRule="auto"/>
    </w:pPr>
    <w:rPr>
      <w:sz w:val="20"/>
      <w:szCs w:val="20"/>
    </w:rPr>
  </w:style>
  <w:style w:type="character" w:customStyle="1" w:styleId="CommentTextChar">
    <w:name w:val="Comment Text Char"/>
    <w:basedOn w:val="DefaultParagraphFont"/>
    <w:link w:val="CommentText"/>
    <w:semiHidden/>
    <w:rsid w:val="007F7892"/>
    <w:rPr>
      <w:sz w:val="20"/>
      <w:szCs w:val="20"/>
    </w:rPr>
  </w:style>
  <w:style w:type="paragraph" w:styleId="CommentSubject">
    <w:name w:val="annotation subject"/>
    <w:basedOn w:val="CommentText"/>
    <w:next w:val="CommentText"/>
    <w:link w:val="CommentSubjectChar"/>
    <w:semiHidden/>
    <w:unhideWhenUsed/>
    <w:rsid w:val="007F7892"/>
    <w:rPr>
      <w:b/>
      <w:bCs/>
    </w:rPr>
  </w:style>
  <w:style w:type="character" w:customStyle="1" w:styleId="CommentSubjectChar">
    <w:name w:val="Comment Subject Char"/>
    <w:basedOn w:val="CommentTextChar"/>
    <w:link w:val="CommentSubject"/>
    <w:semiHidden/>
    <w:rsid w:val="007F7892"/>
    <w:rPr>
      <w:b/>
      <w:bCs/>
      <w:sz w:val="20"/>
      <w:szCs w:val="20"/>
    </w:rPr>
  </w:style>
  <w:style w:type="paragraph" w:styleId="Revision">
    <w:name w:val="Revision"/>
    <w:hidden/>
    <w:uiPriority w:val="99"/>
    <w:semiHidden/>
    <w:rsid w:val="00960518"/>
    <w:pPr>
      <w:spacing w:line="240" w:lineRule="auto"/>
    </w:pPr>
  </w:style>
  <w:style w:type="table" w:customStyle="1" w:styleId="LightGrid-Accent61">
    <w:name w:val="Light Grid - Accent 61"/>
    <w:basedOn w:val="TableNormal"/>
    <w:next w:val="LightGrid-Accent6"/>
    <w:uiPriority w:val="62"/>
    <w:rsid w:val="00EF29E8"/>
    <w:pPr>
      <w:spacing w:line="240" w:lineRule="auto"/>
    </w:pPr>
    <w:tblPr>
      <w:tblStyleRowBandSize w:val="1"/>
      <w:tblStyleColBandSize w:val="1"/>
      <w:tblBorders>
        <w:top w:val="single" w:sz="8" w:space="0" w:color="788184" w:themeColor="accent6"/>
        <w:left w:val="single" w:sz="8" w:space="0" w:color="788184" w:themeColor="accent6"/>
        <w:bottom w:val="single" w:sz="8" w:space="0" w:color="788184" w:themeColor="accent6"/>
        <w:right w:val="single" w:sz="8" w:space="0" w:color="788184" w:themeColor="accent6"/>
        <w:insideH w:val="single" w:sz="8" w:space="0" w:color="788184" w:themeColor="accent6"/>
        <w:insideV w:val="single" w:sz="8" w:space="0" w:color="78818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18" w:space="0" w:color="788184" w:themeColor="accent6"/>
          <w:right w:val="single" w:sz="8" w:space="0" w:color="788184" w:themeColor="accent6"/>
          <w:insideH w:val="nil"/>
          <w:insideV w:val="single" w:sz="8" w:space="0" w:color="78818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4" w:themeColor="accent6"/>
          <w:left w:val="single" w:sz="8" w:space="0" w:color="788184" w:themeColor="accent6"/>
          <w:bottom w:val="single" w:sz="8" w:space="0" w:color="788184" w:themeColor="accent6"/>
          <w:right w:val="single" w:sz="8" w:space="0" w:color="788184" w:themeColor="accent6"/>
          <w:insideH w:val="nil"/>
          <w:insideV w:val="single" w:sz="8" w:space="0" w:color="78818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tcPr>
    </w:tblStylePr>
    <w:tblStylePr w:type="band1Vert">
      <w:tblPr/>
      <w:tcPr>
        <w:tcBorders>
          <w:top w:val="single" w:sz="8" w:space="0" w:color="788184" w:themeColor="accent6"/>
          <w:left w:val="single" w:sz="8" w:space="0" w:color="788184" w:themeColor="accent6"/>
          <w:bottom w:val="single" w:sz="8" w:space="0" w:color="788184" w:themeColor="accent6"/>
          <w:right w:val="single" w:sz="8" w:space="0" w:color="788184" w:themeColor="accent6"/>
        </w:tcBorders>
        <w:shd w:val="clear" w:color="auto" w:fill="DDDFE0" w:themeFill="accent6" w:themeFillTint="3F"/>
      </w:tcPr>
    </w:tblStylePr>
    <w:tblStylePr w:type="band1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shd w:val="clear" w:color="auto" w:fill="DDDFE0" w:themeFill="accent6" w:themeFillTint="3F"/>
      </w:tcPr>
    </w:tblStylePr>
    <w:tblStylePr w:type="band2Horz">
      <w:tblPr/>
      <w:tcPr>
        <w:tcBorders>
          <w:top w:val="single" w:sz="8" w:space="0" w:color="788184" w:themeColor="accent6"/>
          <w:left w:val="single" w:sz="8" w:space="0" w:color="788184" w:themeColor="accent6"/>
          <w:bottom w:val="single" w:sz="8" w:space="0" w:color="788184" w:themeColor="accent6"/>
          <w:right w:val="single" w:sz="8" w:space="0" w:color="788184" w:themeColor="accent6"/>
          <w:insideV w:val="single" w:sz="8" w:space="0" w:color="788184"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113078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BO v1">
      <a:dk1>
        <a:srgbClr val="000000"/>
      </a:dk1>
      <a:lt1>
        <a:srgbClr val="FFFFFF"/>
      </a:lt1>
      <a:dk2>
        <a:srgbClr val="2B3B5F"/>
      </a:dk2>
      <a:lt2>
        <a:srgbClr val="788184"/>
      </a:lt2>
      <a:accent1>
        <a:srgbClr val="2B3B5F"/>
      </a:accent1>
      <a:accent2>
        <a:srgbClr val="95A4C6"/>
      </a:accent2>
      <a:accent3>
        <a:srgbClr val="D7DDE9"/>
      </a:accent3>
      <a:accent4>
        <a:srgbClr val="751D71"/>
      </a:accent4>
      <a:accent5>
        <a:srgbClr val="B267B3"/>
      </a:accent5>
      <a:accent6>
        <a:srgbClr val="788184"/>
      </a:accent6>
      <a:hlink>
        <a:srgbClr val="000000"/>
      </a:hlink>
      <a:folHlink>
        <a:srgbClr val="000000"/>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Com16</b:Tag>
    <b:SourceType>Report</b:SourceType>
    <b:Guid>{5B4EC681-07DE-47A5-8D75-A81C9B5C55A0}</b:Guid>
    <b:Author>
      <b:Author>
        <b:Corporate>Commonwealth of Australia</b:Corporate>
      </b:Author>
    </b:Author>
    <b:Title>2016-17 Budget</b:Title>
    <b:Year>2016</b:Year>
    <b:Publisher>Commonwealth of Australia</b:Publisher>
    <b:City>Canberra</b:City>
    <b:RefOrder>1</b:RefOrder>
  </b:Source>
</b:Sources>
</file>

<file path=customXml/itemProps1.xml><?xml version="1.0" encoding="utf-8"?>
<ds:datastoreItem xmlns:ds="http://schemas.openxmlformats.org/officeDocument/2006/customXml" ds:itemID="{3D50C338-B754-4BF9-AEBF-658BF7F7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1111</Words>
  <Characters>5849</Characters>
  <Application>Microsoft Office Word</Application>
  <DocSecurity>0</DocSecurity>
  <Lines>389</Lines>
  <Paragraphs>331</Paragraphs>
  <ScaleCrop>false</ScaleCrop>
  <HeadingPairs>
    <vt:vector size="2" baseType="variant">
      <vt:variant>
        <vt:lpstr>Title</vt:lpstr>
      </vt:variant>
      <vt:variant>
        <vt:i4>1</vt:i4>
      </vt:variant>
    </vt:vector>
  </HeadingPairs>
  <TitlesOfParts>
    <vt:vector size="1" baseType="lpstr">
      <vt:lpstr>Labour market</vt:lpstr>
    </vt:vector>
  </TitlesOfParts>
  <Company>Parliament of Australia</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market</dc:title>
  <dc:creator>Parliamentary Budget Office</dc:creator>
  <cp:lastModifiedBy>Pratley, Lauren (PBO)</cp:lastModifiedBy>
  <cp:revision>6</cp:revision>
  <cp:lastPrinted>2016-10-31T23:16:00Z</cp:lastPrinted>
  <dcterms:created xsi:type="dcterms:W3CDTF">2017-08-25T00:45:00Z</dcterms:created>
  <dcterms:modified xsi:type="dcterms:W3CDTF">2017-09-01T05:29:00Z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y fmtid="{D5CDD505-2E9C-101B-9397-08002B2CF9AE}" pid="12" name="_MarkAsFinal">
    <vt:bool>true</vt:bool>
  </property>
</Properties>
</file>