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E" w:rsidRDefault="00AA478E" w:rsidP="00AA478E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r w:rsidRPr="008D4FA9">
        <w:rPr>
          <w:sz w:val="32"/>
        </w:rPr>
        <w:t xml:space="preserve">Policy costing 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35"/>
        <w:gridCol w:w="2807"/>
      </w:tblGrid>
      <w:tr w:rsidR="00AA478E" w:rsidRPr="008D77AF" w:rsidTr="00013620">
        <w:tc>
          <w:tcPr>
            <w:tcW w:w="5000" w:type="pct"/>
            <w:gridSpan w:val="3"/>
            <w:shd w:val="clear" w:color="auto" w:fill="D7DDE9" w:themeFill="accent3"/>
          </w:tcPr>
          <w:p w:rsidR="00AA478E" w:rsidRPr="008D77AF" w:rsidRDefault="00F11452" w:rsidP="00013620">
            <w:pPr>
              <w:pStyle w:val="Nameofproposal"/>
            </w:pPr>
            <w:bookmarkStart w:id="0" w:name="_GoBack"/>
            <w:r>
              <w:t>Improving wage growth</w:t>
            </w:r>
            <w:bookmarkEnd w:id="0"/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013620">
            <w:pPr>
              <w:pStyle w:val="PullOutBoxBodyText"/>
              <w:ind w:left="0" w:right="0"/>
            </w:pPr>
            <w:r w:rsidRPr="008D77AF">
              <w:t>Person/party requesting the costing:</w:t>
            </w:r>
          </w:p>
        </w:tc>
        <w:tc>
          <w:tcPr>
            <w:tcW w:w="3043" w:type="pct"/>
            <w:gridSpan w:val="2"/>
            <w:tcBorders>
              <w:bottom w:val="single" w:sz="8" w:space="0" w:color="788184" w:themeColor="accent6"/>
            </w:tcBorders>
          </w:tcPr>
          <w:p w:rsidR="00AA478E" w:rsidRPr="008D77AF" w:rsidRDefault="008510BA" w:rsidP="00013620">
            <w:pPr>
              <w:pStyle w:val="PullOutBoxBodyText"/>
              <w:ind w:left="0" w:right="0"/>
            </w:pPr>
            <w:r>
              <w:t>Senator Richard Di Natale, Australian Greens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013620">
            <w:pPr>
              <w:pStyle w:val="PullOutBoxBodyText"/>
              <w:ind w:left="0" w:right="0"/>
            </w:pPr>
            <w:r w:rsidRPr="008D77AF">
              <w:t>Date costing completed:</w:t>
            </w:r>
          </w:p>
        </w:tc>
        <w:tc>
          <w:tcPr>
            <w:tcW w:w="3043" w:type="pct"/>
            <w:gridSpan w:val="2"/>
          </w:tcPr>
          <w:p w:rsidR="00AA478E" w:rsidRPr="008D77AF" w:rsidRDefault="00393A83" w:rsidP="00393A83">
            <w:pPr>
              <w:pStyle w:val="PullOutBoxBodyText"/>
              <w:ind w:left="0" w:right="0"/>
            </w:pPr>
            <w:r>
              <w:t>23</w:t>
            </w:r>
            <w:r w:rsidR="00F11452">
              <w:t xml:space="preserve"> November 2017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013620">
            <w:pPr>
              <w:pStyle w:val="PullOutBoxBodyText"/>
              <w:ind w:left="0" w:right="0"/>
            </w:pPr>
            <w:r w:rsidRPr="008D77AF">
              <w:t>Expiry date of the costing:</w:t>
            </w:r>
          </w:p>
        </w:tc>
        <w:tc>
          <w:tcPr>
            <w:tcW w:w="3043" w:type="pct"/>
            <w:gridSpan w:val="2"/>
          </w:tcPr>
          <w:p w:rsidR="00AA478E" w:rsidRPr="008D77AF" w:rsidRDefault="00AA478E" w:rsidP="00013620">
            <w:pPr>
              <w:pStyle w:val="PullOutBoxBodyText"/>
              <w:ind w:left="0" w:right="0"/>
            </w:pPr>
            <w:r w:rsidRPr="008D77AF">
              <w:t>Release of the next economic and fiscal outlook report.</w:t>
            </w:r>
          </w:p>
        </w:tc>
      </w:tr>
      <w:tr w:rsidR="00AA478E" w:rsidTr="00013620">
        <w:tc>
          <w:tcPr>
            <w:tcW w:w="1957" w:type="pct"/>
            <w:vMerge w:val="restart"/>
          </w:tcPr>
          <w:p w:rsidR="00AA478E" w:rsidRDefault="00AA478E" w:rsidP="00013620">
            <w:pPr>
              <w:pStyle w:val="PullOutBoxBodyText"/>
              <w:ind w:left="0" w:right="0"/>
            </w:pPr>
            <w:r>
              <w:t>Status at time of request</w:t>
            </w:r>
            <w:r w:rsidRPr="008D77AF">
              <w:t>:</w:t>
            </w:r>
          </w:p>
        </w:tc>
        <w:tc>
          <w:tcPr>
            <w:tcW w:w="3043" w:type="pct"/>
            <w:gridSpan w:val="2"/>
            <w:tcBorders>
              <w:bottom w:val="nil"/>
              <w:right w:val="single" w:sz="8" w:space="0" w:color="788184" w:themeColor="accent6"/>
            </w:tcBorders>
          </w:tcPr>
          <w:p w:rsidR="00AA478E" w:rsidRDefault="00AA478E" w:rsidP="00013620">
            <w:pPr>
              <w:pStyle w:val="PullOutBoxBodyText"/>
              <w:spacing w:after="0"/>
              <w:ind w:left="0" w:right="0"/>
            </w:pPr>
            <w:r>
              <w:t>Submitted outside the caretaker period</w:t>
            </w:r>
          </w:p>
        </w:tc>
      </w:tr>
      <w:tr w:rsidR="00AA478E" w:rsidRPr="008D77AF" w:rsidTr="00013620">
        <w:tc>
          <w:tcPr>
            <w:tcW w:w="1957" w:type="pct"/>
            <w:vMerge/>
          </w:tcPr>
          <w:p w:rsidR="00AA478E" w:rsidRPr="008D77AF" w:rsidRDefault="00AA478E" w:rsidP="00013620">
            <w:pPr>
              <w:pStyle w:val="PullOutBoxBodyText"/>
              <w:ind w:left="0" w:right="0"/>
            </w:pPr>
          </w:p>
        </w:tc>
        <w:tc>
          <w:tcPr>
            <w:tcW w:w="1529" w:type="pct"/>
            <w:tcBorders>
              <w:top w:val="nil"/>
              <w:right w:val="nil"/>
            </w:tcBorders>
          </w:tcPr>
          <w:p w:rsidR="00AA478E" w:rsidRPr="008D77AF" w:rsidRDefault="00E5554C" w:rsidP="00013620">
            <w:pPr>
              <w:pStyle w:val="PullOutBoxBodyText"/>
              <w:ind w:left="0" w:right="0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5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8D77AF">
              <w:t xml:space="preserve"> </w:t>
            </w:r>
            <w:r w:rsidR="00AA478E">
              <w:t>Confidential</w:t>
            </w:r>
          </w:p>
        </w:tc>
        <w:tc>
          <w:tcPr>
            <w:tcW w:w="1514" w:type="pct"/>
            <w:tcBorders>
              <w:top w:val="nil"/>
              <w:left w:val="nil"/>
              <w:right w:val="single" w:sz="8" w:space="0" w:color="788184" w:themeColor="accent6"/>
            </w:tcBorders>
          </w:tcPr>
          <w:p w:rsidR="00AA478E" w:rsidRPr="008D77AF" w:rsidRDefault="00E5554C" w:rsidP="00013620">
            <w:pPr>
              <w:pStyle w:val="PullOutBoxBodyText"/>
              <w:ind w:left="0" w:right="0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8E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8D77AF">
              <w:t xml:space="preserve"> No</w:t>
            </w:r>
            <w:r w:rsidR="00AA478E">
              <w:t>t confidential</w:t>
            </w:r>
          </w:p>
        </w:tc>
      </w:tr>
      <w:tr w:rsidR="00AA478E" w:rsidRPr="008D77AF" w:rsidTr="00013620">
        <w:tc>
          <w:tcPr>
            <w:tcW w:w="5000" w:type="pct"/>
            <w:gridSpan w:val="3"/>
          </w:tcPr>
          <w:p w:rsidR="00AA478E" w:rsidRPr="00E75D5E" w:rsidRDefault="00AA478E" w:rsidP="00013620">
            <w:pPr>
              <w:pStyle w:val="ListBullet"/>
              <w:numPr>
                <w:ilvl w:val="0"/>
                <w:numId w:val="0"/>
              </w:numPr>
              <w:ind w:left="454" w:hanging="454"/>
            </w:pPr>
            <w:r w:rsidRPr="00E75D5E">
              <w:t>Summary of proposal:</w:t>
            </w:r>
          </w:p>
          <w:p w:rsidR="00AA478E" w:rsidRDefault="00F11452" w:rsidP="00F11452">
            <w:pPr>
              <w:pStyle w:val="BodyText"/>
            </w:pPr>
            <w:r>
              <w:t>The proposal would increase the salaries of public servants with Australian Public Service (APS) classification level</w:t>
            </w:r>
            <w:r w:rsidR="008510BA">
              <w:t xml:space="preserve">s </w:t>
            </w:r>
            <w:r>
              <w:t>below the Ex</w:t>
            </w:r>
            <w:r w:rsidR="008510BA">
              <w:t xml:space="preserve">ecutive Level 1 classification </w:t>
            </w:r>
            <w:r>
              <w:t>to:</w:t>
            </w:r>
          </w:p>
          <w:p w:rsidR="00F11452" w:rsidRDefault="00F11452" w:rsidP="00F11452">
            <w:pPr>
              <w:pStyle w:val="ListBullet"/>
            </w:pPr>
            <w:r>
              <w:t>Option 1: 4.0 per cent per annum.</w:t>
            </w:r>
          </w:p>
          <w:p w:rsidR="00F11452" w:rsidRDefault="00F11452" w:rsidP="00F11452">
            <w:pPr>
              <w:pStyle w:val="ListBullet"/>
            </w:pPr>
            <w:r>
              <w:t>Option 2: 5.0 per cent per annum.</w:t>
            </w:r>
          </w:p>
          <w:p w:rsidR="00F11452" w:rsidRDefault="00F11452" w:rsidP="00F11452">
            <w:pPr>
              <w:pStyle w:val="ListBullet"/>
              <w:numPr>
                <w:ilvl w:val="0"/>
                <w:numId w:val="0"/>
              </w:numPr>
            </w:pPr>
            <w:r>
              <w:t>The increase in departmental appropriations would be exempt from the efficiency dividend.</w:t>
            </w:r>
          </w:p>
          <w:p w:rsidR="00F11452" w:rsidRPr="008D77AF" w:rsidRDefault="00F11452" w:rsidP="00AC17F3">
            <w:pPr>
              <w:pStyle w:val="ListBullet"/>
              <w:numPr>
                <w:ilvl w:val="0"/>
                <w:numId w:val="0"/>
              </w:numPr>
            </w:pPr>
            <w:r>
              <w:t>The proposal would</w:t>
            </w:r>
            <w:r w:rsidR="00627762">
              <w:t xml:space="preserve"> </w:t>
            </w:r>
            <w:r w:rsidR="000E0E0C">
              <w:t xml:space="preserve">commence on </w:t>
            </w:r>
            <w:r>
              <w:t xml:space="preserve">1 July 2018 </w:t>
            </w:r>
            <w:r w:rsidR="000E0E0C">
              <w:t>and terminate on 30 June 2023</w:t>
            </w:r>
            <w:r>
              <w:t>.</w:t>
            </w:r>
          </w:p>
        </w:tc>
      </w:tr>
    </w:tbl>
    <w:p w:rsidR="00AA478E" w:rsidRDefault="00AA478E" w:rsidP="00AA478E">
      <w:pPr>
        <w:pStyle w:val="Heading1"/>
      </w:pPr>
      <w:r w:rsidRPr="008D77AF">
        <w:t>Costing overview</w:t>
      </w:r>
    </w:p>
    <w:p w:rsidR="00F11452" w:rsidRDefault="00F11452" w:rsidP="00F11452">
      <w:pPr>
        <w:pStyle w:val="Heading2"/>
      </w:pPr>
      <w:r>
        <w:t xml:space="preserve">Option 1: 4.0 per cent </w:t>
      </w:r>
      <w:r w:rsidR="0024224C">
        <w:t>per annum salary increase</w:t>
      </w:r>
      <w:r>
        <w:t xml:space="preserve"> for five years</w:t>
      </w:r>
    </w:p>
    <w:p w:rsidR="00F11452" w:rsidRDefault="00F11452" w:rsidP="00F11452">
      <w:pPr>
        <w:pStyle w:val="BodyText"/>
      </w:pPr>
      <w:r>
        <w:t>This option would be expected to decrease the fiscal and underlying cash balances by $96</w:t>
      </w:r>
      <w:r w:rsidR="00725466">
        <w:t>3</w:t>
      </w:r>
      <w:r>
        <w:t xml:space="preserve"> million over the 2017-18 Budget forward estimates period.  This </w:t>
      </w:r>
      <w:r w:rsidR="004730F4">
        <w:t xml:space="preserve">impact </w:t>
      </w:r>
      <w:r>
        <w:t xml:space="preserve">reflects an increase in </w:t>
      </w:r>
      <w:r w:rsidR="00725466">
        <w:t>departmental expenses of $1,393</w:t>
      </w:r>
      <w:r>
        <w:t xml:space="preserve"> million</w:t>
      </w:r>
      <w:r w:rsidR="00627762">
        <w:t>,</w:t>
      </w:r>
      <w:r>
        <w:t xml:space="preserve"> which would be partially offset by an increase in revenue of $430 million.</w:t>
      </w:r>
    </w:p>
    <w:p w:rsidR="00F11452" w:rsidRPr="000E0E0C" w:rsidRDefault="00F11452" w:rsidP="004730F4">
      <w:pPr>
        <w:pStyle w:val="Caption"/>
        <w:keepNext w:val="0"/>
        <w:widowControl w:val="0"/>
      </w:pPr>
      <w:r w:rsidRPr="000E0E0C">
        <w:t xml:space="preserve">Table </w:t>
      </w:r>
      <w:fldSimple w:instr=" SEQ AppendixTable\s 8 ">
        <w:r w:rsidR="00CD68FE">
          <w:rPr>
            <w:noProof/>
          </w:rPr>
          <w:t>1</w:t>
        </w:r>
      </w:fldSimple>
      <w:r w:rsidRPr="000E0E0C">
        <w:t xml:space="preserve">: </w:t>
      </w:r>
      <w:r w:rsidRPr="00F11452">
        <w:t xml:space="preserve">Option 1 – </w:t>
      </w:r>
      <w:r w:rsidR="006555C8">
        <w:t>4.0</w:t>
      </w:r>
      <w:r w:rsidRPr="00F11452">
        <w:t xml:space="preserve"> per </w:t>
      </w:r>
      <w:r w:rsidR="00661434">
        <w:t xml:space="preserve">cent </w:t>
      </w:r>
      <w:r w:rsidR="0024224C">
        <w:t>per annum salary increase</w:t>
      </w:r>
      <w:r w:rsidR="00661434">
        <w:t xml:space="preserve"> for five years </w:t>
      </w:r>
      <w:r w:rsidRPr="00F11452">
        <w:t xml:space="preserve">– </w:t>
      </w:r>
      <w:r w:rsidRPr="000E0E0C">
        <w:t>Financial implications ($m</w:t>
      </w:r>
      <w:proofErr w:type="gramStart"/>
      <w:r w:rsidRPr="000E0E0C">
        <w:t>)</w:t>
      </w:r>
      <w:r w:rsidRPr="000E0E0C">
        <w:rPr>
          <w:vertAlign w:val="superscript"/>
        </w:rPr>
        <w:t>(</w:t>
      </w:r>
      <w:proofErr w:type="gramEnd"/>
      <w:r w:rsidRPr="000E0E0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742"/>
        <w:gridCol w:w="1310"/>
        <w:gridCol w:w="1309"/>
        <w:gridCol w:w="1309"/>
        <w:gridCol w:w="1309"/>
        <w:gridCol w:w="1307"/>
      </w:tblGrid>
      <w:tr w:rsidR="00F11452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F11452" w:rsidRPr="000E0E0C" w:rsidRDefault="00F11452" w:rsidP="004730F4">
            <w:pPr>
              <w:pStyle w:val="TableHeading"/>
              <w:keepNext w:val="0"/>
              <w:keepLines w:val="0"/>
              <w:widowControl w:val="0"/>
              <w:rPr>
                <w:b w:val="0"/>
                <w:sz w:val="22"/>
              </w:rPr>
            </w:pP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4730F4">
            <w:pPr>
              <w:pStyle w:val="TableHeadingRight"/>
              <w:keepNext w:val="0"/>
              <w:keepLines w:val="0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4730F4">
            <w:pPr>
              <w:pStyle w:val="TableHeadingRight"/>
              <w:keepNext w:val="0"/>
              <w:keepLines w:val="0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4730F4">
            <w:pPr>
              <w:pStyle w:val="TableHeadingRight"/>
              <w:keepNext w:val="0"/>
              <w:keepLines w:val="0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2019–20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4730F4">
            <w:pPr>
              <w:pStyle w:val="TableHeadingRight"/>
              <w:keepNext w:val="0"/>
              <w:keepLines w:val="0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2020–21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F11452" w:rsidRPr="009B70E6" w:rsidRDefault="00F11452" w:rsidP="004730F4">
            <w:pPr>
              <w:pStyle w:val="TableHeadingRight"/>
              <w:keepNext w:val="0"/>
              <w:keepLines w:val="0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B70E6">
              <w:rPr>
                <w:sz w:val="22"/>
              </w:rPr>
              <w:t>Total to 2020–21</w:t>
            </w:r>
          </w:p>
        </w:tc>
      </w:tr>
      <w:tr w:rsidR="00725466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725466" w:rsidRPr="009B70E6" w:rsidRDefault="00725466" w:rsidP="004730F4">
            <w:pPr>
              <w:pStyle w:val="TableHeading"/>
              <w:keepNext w:val="0"/>
              <w:keepLines w:val="0"/>
              <w:widowControl w:val="0"/>
              <w:rPr>
                <w:rFonts w:asciiTheme="majorHAnsi" w:hAnsiTheme="majorHAnsi"/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-168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-317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-477</w:t>
            </w:r>
          </w:p>
        </w:tc>
        <w:tc>
          <w:tcPr>
            <w:tcW w:w="704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-963</w:t>
            </w:r>
          </w:p>
        </w:tc>
      </w:tr>
      <w:tr w:rsidR="00725466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725466" w:rsidRPr="009B70E6" w:rsidRDefault="00725466" w:rsidP="004730F4">
            <w:pPr>
              <w:pStyle w:val="TableHeading"/>
              <w:keepNext w:val="0"/>
              <w:keepLines w:val="0"/>
              <w:widowControl w:val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-168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-317</w:t>
            </w:r>
          </w:p>
        </w:tc>
        <w:tc>
          <w:tcPr>
            <w:tcW w:w="705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-477</w:t>
            </w:r>
          </w:p>
        </w:tc>
        <w:tc>
          <w:tcPr>
            <w:tcW w:w="704" w:type="pct"/>
            <w:vAlign w:val="center"/>
          </w:tcPr>
          <w:p w:rsidR="00725466" w:rsidRDefault="00725466" w:rsidP="004730F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-963</w:t>
            </w:r>
          </w:p>
        </w:tc>
      </w:tr>
    </w:tbl>
    <w:p w:rsidR="00F11452" w:rsidRPr="00A162FE" w:rsidRDefault="00F11452" w:rsidP="005264E1">
      <w:pPr>
        <w:widowControl w:val="0"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(a)</w:t>
      </w:r>
      <w:r w:rsidRPr="00A162FE">
        <w:rPr>
          <w:sz w:val="20"/>
          <w:szCs w:val="20"/>
        </w:rPr>
        <w:tab/>
        <w:t>A positive number represents an increase in the relevant budget balance; a negative number represents a decrease.</w:t>
      </w:r>
    </w:p>
    <w:p w:rsidR="00F11452" w:rsidRPr="00A162FE" w:rsidRDefault="00F11452" w:rsidP="005264E1">
      <w:pPr>
        <w:widowControl w:val="0"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(b)</w:t>
      </w:r>
      <w:r w:rsidRPr="00A162FE">
        <w:rPr>
          <w:sz w:val="20"/>
          <w:szCs w:val="20"/>
        </w:rPr>
        <w:tab/>
        <w:t>Figures may not sum to totals due to rounding.</w:t>
      </w:r>
    </w:p>
    <w:p w:rsidR="00F11452" w:rsidRDefault="00F11452" w:rsidP="005264E1">
      <w:pPr>
        <w:pStyle w:val="TableFootnotes"/>
        <w:keepLines w:val="0"/>
        <w:widowControl w:val="0"/>
        <w:numPr>
          <w:ilvl w:val="0"/>
          <w:numId w:val="11"/>
        </w:numPr>
        <w:ind w:left="284" w:hanging="284"/>
      </w:pPr>
      <w:r>
        <w:t>Indicates nil.</w:t>
      </w:r>
    </w:p>
    <w:p w:rsidR="00F11452" w:rsidRDefault="00F11452" w:rsidP="00F11452">
      <w:pPr>
        <w:pStyle w:val="Heading2"/>
      </w:pPr>
      <w:r>
        <w:lastRenderedPageBreak/>
        <w:t xml:space="preserve">Option 2: 5.0 per cent </w:t>
      </w:r>
      <w:r w:rsidR="0024224C">
        <w:t>per annum salary increase</w:t>
      </w:r>
      <w:r>
        <w:t xml:space="preserve"> for five years</w:t>
      </w:r>
    </w:p>
    <w:p w:rsidR="00F11452" w:rsidRDefault="00F11452" w:rsidP="00F11452">
      <w:pPr>
        <w:pStyle w:val="BodyText"/>
      </w:pPr>
      <w:r>
        <w:t>This option would be expected to decrease the fiscal and underlying cash balances by $</w:t>
      </w:r>
      <w:r w:rsidR="00725466">
        <w:t>1</w:t>
      </w:r>
      <w:r w:rsidR="000E0E0C">
        <w:t>,</w:t>
      </w:r>
      <w:r w:rsidR="00725466">
        <w:t xml:space="preserve">342 </w:t>
      </w:r>
      <w:r>
        <w:t xml:space="preserve">million over the 2017-18 Budget forward estimates period.  This </w:t>
      </w:r>
      <w:r w:rsidR="004730F4">
        <w:t xml:space="preserve">impact </w:t>
      </w:r>
      <w:r>
        <w:t>reflects an increase in departmental expenses of $1</w:t>
      </w:r>
      <w:r w:rsidR="00725466">
        <w:t>,954</w:t>
      </w:r>
      <w:r>
        <w:t xml:space="preserve"> million, which would be partially offset by an increase in revenue of $</w:t>
      </w:r>
      <w:r w:rsidR="009B5E95">
        <w:t>612</w:t>
      </w:r>
      <w:r>
        <w:t> million.</w:t>
      </w:r>
    </w:p>
    <w:p w:rsidR="00F11452" w:rsidRPr="000E0E0C" w:rsidRDefault="00F11452" w:rsidP="00790768">
      <w:pPr>
        <w:pStyle w:val="Caption"/>
        <w:keepLines/>
      </w:pPr>
      <w:r w:rsidRPr="000E0E0C">
        <w:t xml:space="preserve">Table </w:t>
      </w:r>
      <w:r w:rsidR="009B5E95">
        <w:t>2</w:t>
      </w:r>
      <w:r w:rsidRPr="000E0E0C">
        <w:t xml:space="preserve">: </w:t>
      </w:r>
      <w:r w:rsidR="00661434">
        <w:t xml:space="preserve">Option 2 – </w:t>
      </w:r>
      <w:r w:rsidRPr="00F11452">
        <w:t>5.0 per cent</w:t>
      </w:r>
      <w:r w:rsidR="0024224C">
        <w:t xml:space="preserve"> per annum salary increase</w:t>
      </w:r>
      <w:r w:rsidRPr="00F11452">
        <w:t xml:space="preserve"> for five years – </w:t>
      </w:r>
      <w:r w:rsidRPr="000E0E0C">
        <w:t>Financial implications ($m</w:t>
      </w:r>
      <w:proofErr w:type="gramStart"/>
      <w:r w:rsidRPr="000E0E0C">
        <w:t>)</w:t>
      </w:r>
      <w:r w:rsidRPr="000E0E0C">
        <w:rPr>
          <w:vertAlign w:val="superscript"/>
        </w:rPr>
        <w:t>(</w:t>
      </w:r>
      <w:proofErr w:type="gramEnd"/>
      <w:r w:rsidRPr="000E0E0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742"/>
        <w:gridCol w:w="1310"/>
        <w:gridCol w:w="1309"/>
        <w:gridCol w:w="1309"/>
        <w:gridCol w:w="1309"/>
        <w:gridCol w:w="1307"/>
      </w:tblGrid>
      <w:tr w:rsidR="00F11452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F11452" w:rsidRPr="000E0E0C" w:rsidRDefault="00F11452" w:rsidP="00013620">
            <w:pPr>
              <w:pStyle w:val="TableHeading"/>
              <w:rPr>
                <w:b w:val="0"/>
                <w:sz w:val="22"/>
              </w:rPr>
            </w:pP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01362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01362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01362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2019–20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11452" w:rsidRPr="009B70E6" w:rsidRDefault="00F11452" w:rsidP="0001362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2020–21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F11452" w:rsidRPr="009B70E6" w:rsidRDefault="00F11452" w:rsidP="0001362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B70E6">
              <w:rPr>
                <w:sz w:val="22"/>
              </w:rPr>
              <w:t>Total to 2020–21</w:t>
            </w:r>
          </w:p>
        </w:tc>
      </w:tr>
      <w:tr w:rsidR="00725466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725466" w:rsidRPr="009B70E6" w:rsidRDefault="00725466" w:rsidP="00013620">
            <w:pPr>
              <w:pStyle w:val="TableHeading"/>
              <w:rPr>
                <w:rFonts w:asciiTheme="majorHAnsi" w:hAnsiTheme="majorHAnsi"/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-233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-444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-665</w:t>
            </w:r>
          </w:p>
        </w:tc>
        <w:tc>
          <w:tcPr>
            <w:tcW w:w="704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-1,342</w:t>
            </w:r>
          </w:p>
        </w:tc>
      </w:tr>
      <w:tr w:rsidR="00725466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725466" w:rsidRPr="009B70E6" w:rsidRDefault="00725466" w:rsidP="00013620">
            <w:pPr>
              <w:pStyle w:val="TableHeading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-233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-444</w:t>
            </w:r>
          </w:p>
        </w:tc>
        <w:tc>
          <w:tcPr>
            <w:tcW w:w="705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-665</w:t>
            </w:r>
          </w:p>
        </w:tc>
        <w:tc>
          <w:tcPr>
            <w:tcW w:w="704" w:type="pct"/>
            <w:vAlign w:val="center"/>
          </w:tcPr>
          <w:p w:rsidR="00725466" w:rsidRDefault="007254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-1,342</w:t>
            </w:r>
          </w:p>
        </w:tc>
      </w:tr>
    </w:tbl>
    <w:p w:rsidR="00F11452" w:rsidRPr="00A162FE" w:rsidRDefault="00F11452" w:rsidP="005264E1">
      <w:pPr>
        <w:widowControl w:val="0"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(a)</w:t>
      </w:r>
      <w:r w:rsidRPr="00A162FE">
        <w:rPr>
          <w:sz w:val="20"/>
          <w:szCs w:val="20"/>
        </w:rPr>
        <w:tab/>
        <w:t>A positive number represents an increase in the relevant budget balance; a negative number represents a decrease.</w:t>
      </w:r>
    </w:p>
    <w:p w:rsidR="00F11452" w:rsidRPr="00A162FE" w:rsidRDefault="00F11452" w:rsidP="005264E1">
      <w:pPr>
        <w:widowControl w:val="0"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(b)</w:t>
      </w:r>
      <w:r w:rsidRPr="00A162FE">
        <w:rPr>
          <w:sz w:val="20"/>
          <w:szCs w:val="20"/>
        </w:rPr>
        <w:tab/>
        <w:t>Figures may not sum to totals due to rounding.</w:t>
      </w:r>
    </w:p>
    <w:p w:rsidR="00F11452" w:rsidRDefault="00F11452" w:rsidP="005264E1">
      <w:pPr>
        <w:pStyle w:val="TableFootnotes"/>
        <w:keepLines w:val="0"/>
        <w:widowControl w:val="0"/>
        <w:numPr>
          <w:ilvl w:val="0"/>
          <w:numId w:val="11"/>
        </w:numPr>
        <w:ind w:left="284" w:hanging="284"/>
      </w:pPr>
      <w:r>
        <w:t>Indicates nil.</w:t>
      </w:r>
    </w:p>
    <w:p w:rsidR="00F11452" w:rsidRDefault="008510BA" w:rsidP="00627762">
      <w:pPr>
        <w:pStyle w:val="BodyText"/>
        <w:spacing w:before="360"/>
      </w:pPr>
      <w:r>
        <w:t>Each option in this proposal</w:t>
      </w:r>
      <w:r w:rsidR="002424DB">
        <w:t xml:space="preserve"> would</w:t>
      </w:r>
      <w:r w:rsidR="000E0E0C">
        <w:t xml:space="preserve"> be expected to </w:t>
      </w:r>
      <w:r w:rsidR="002424DB">
        <w:t>have ongoing impact</w:t>
      </w:r>
      <w:r>
        <w:t>s</w:t>
      </w:r>
      <w:r w:rsidR="002424DB">
        <w:t xml:space="preserve"> beyond the 2017-18 Budget forward estimates period.  </w:t>
      </w:r>
      <w:r>
        <w:t xml:space="preserve">A breakdown of the </w:t>
      </w:r>
      <w:r w:rsidR="002424DB">
        <w:t xml:space="preserve">financial </w:t>
      </w:r>
      <w:r w:rsidR="000E0E0C">
        <w:t xml:space="preserve">implications of each option over </w:t>
      </w:r>
      <w:r w:rsidR="002424DB">
        <w:t>the period 2017</w:t>
      </w:r>
      <w:r w:rsidR="000E0E0C">
        <w:noBreakHyphen/>
      </w:r>
      <w:r w:rsidR="002424DB">
        <w:t>18 to 2027</w:t>
      </w:r>
      <w:r w:rsidR="000E0E0C">
        <w:noBreakHyphen/>
      </w:r>
      <w:r w:rsidR="002424DB">
        <w:t xml:space="preserve">28 </w:t>
      </w:r>
      <w:r>
        <w:t>has been</w:t>
      </w:r>
      <w:r w:rsidR="002424DB">
        <w:t xml:space="preserve"> provided at </w:t>
      </w:r>
      <w:r w:rsidR="002424DB">
        <w:rPr>
          <w:u w:val="single"/>
        </w:rPr>
        <w:t>Attachment A</w:t>
      </w:r>
      <w:r w:rsidR="002424DB">
        <w:t>.</w:t>
      </w:r>
    </w:p>
    <w:p w:rsidR="002424DB" w:rsidRPr="002424DB" w:rsidRDefault="002424DB" w:rsidP="00F11452">
      <w:pPr>
        <w:pStyle w:val="BodyText"/>
      </w:pPr>
      <w:r>
        <w:t>The financial implications of this proposal are sensitive to the assumption</w:t>
      </w:r>
      <w:r w:rsidR="008510BA">
        <w:t>s</w:t>
      </w:r>
      <w:r>
        <w:t xml:space="preserve"> </w:t>
      </w:r>
      <w:r w:rsidR="009D3CAB">
        <w:t xml:space="preserve">regarding </w:t>
      </w:r>
      <w:r>
        <w:t>the size and structure of the APS</w:t>
      </w:r>
      <w:r w:rsidR="0024224C">
        <w:t>,</w:t>
      </w:r>
      <w:r>
        <w:t xml:space="preserve"> and </w:t>
      </w:r>
      <w:r w:rsidR="00481FFA">
        <w:t xml:space="preserve">the </w:t>
      </w:r>
      <w:r w:rsidR="000E0E0C">
        <w:t xml:space="preserve">baseline </w:t>
      </w:r>
      <w:r w:rsidR="00481FFA">
        <w:t>wage growth estimates</w:t>
      </w:r>
      <w:r>
        <w:t>.</w:t>
      </w:r>
    </w:p>
    <w:p w:rsidR="00FE3B13" w:rsidRPr="00CA06C8" w:rsidRDefault="00FE3B13" w:rsidP="00CA06C8">
      <w:pPr>
        <w:pStyle w:val="Heading1"/>
      </w:pPr>
      <w:r w:rsidRPr="00CA06C8">
        <w:t>Key assumptions</w:t>
      </w:r>
    </w:p>
    <w:p w:rsidR="006C3668" w:rsidRDefault="00481FFA" w:rsidP="002424DB">
      <w:pPr>
        <w:pStyle w:val="BodyText"/>
      </w:pPr>
      <w:r>
        <w:t>The Parliamentary Budget Office has</w:t>
      </w:r>
      <w:r w:rsidR="003159D9">
        <w:t xml:space="preserve"> made the following assumptions</w:t>
      </w:r>
      <w:r w:rsidR="004730F4">
        <w:t>.</w:t>
      </w:r>
    </w:p>
    <w:p w:rsidR="00857C91" w:rsidRDefault="00481FFA" w:rsidP="00857C91">
      <w:pPr>
        <w:pStyle w:val="ListBullet"/>
      </w:pPr>
      <w:r>
        <w:t>T</w:t>
      </w:r>
      <w:r w:rsidR="002424DB">
        <w:t>he size and structure of the APS would remain constant</w:t>
      </w:r>
      <w:r w:rsidR="009D3CAB">
        <w:t xml:space="preserve"> over the period 2017-18 to 2027-28</w:t>
      </w:r>
      <w:r>
        <w:t>.</w:t>
      </w:r>
      <w:r w:rsidR="00393A83">
        <w:t xml:space="preserve">  </w:t>
      </w:r>
      <w:r w:rsidR="009D3CAB">
        <w:t xml:space="preserve">This reflects the fact that </w:t>
      </w:r>
      <w:r w:rsidR="00903293">
        <w:t xml:space="preserve">total APS staff below the EL1 level have both grown and shrunk from year to year over the recent past. </w:t>
      </w:r>
    </w:p>
    <w:p w:rsidR="002424DB" w:rsidRDefault="0024224C" w:rsidP="00857C91">
      <w:pPr>
        <w:pStyle w:val="ListBullet"/>
      </w:pPr>
      <w:r>
        <w:t xml:space="preserve">Salary growth rates </w:t>
      </w:r>
      <w:r w:rsidR="002424DB">
        <w:t xml:space="preserve">would return to </w:t>
      </w:r>
      <w:r w:rsidR="00481FFA">
        <w:t xml:space="preserve">the </w:t>
      </w:r>
      <w:r>
        <w:t>baseline projections</w:t>
      </w:r>
      <w:r w:rsidR="009D3CAB">
        <w:t xml:space="preserve"> </w:t>
      </w:r>
      <w:r w:rsidR="00481FFA">
        <w:t>at the end of 2022-23</w:t>
      </w:r>
      <w:r w:rsidR="002424DB">
        <w:t>.</w:t>
      </w:r>
    </w:p>
    <w:p w:rsidR="00FE3B13" w:rsidRDefault="00FE3B13" w:rsidP="0056001A">
      <w:pPr>
        <w:pStyle w:val="Heading1"/>
      </w:pPr>
      <w:r>
        <w:t>Methodology</w:t>
      </w:r>
    </w:p>
    <w:p w:rsidR="00481FFA" w:rsidRDefault="00481FFA" w:rsidP="002424DB">
      <w:pPr>
        <w:pStyle w:val="BodyText"/>
      </w:pPr>
      <w:r>
        <w:t xml:space="preserve">The expense impact of this proposal was calculated by subtracting the total salary expenditure for the affected public servants under the proposal from the total salary expenditure that </w:t>
      </w:r>
      <w:r w:rsidR="009D3CAB">
        <w:t>is estimated to</w:t>
      </w:r>
      <w:r w:rsidR="00C22798">
        <w:t xml:space="preserve"> </w:t>
      </w:r>
      <w:r>
        <w:t>occur in the absence of the proposal.</w:t>
      </w:r>
    </w:p>
    <w:p w:rsidR="00481FFA" w:rsidRDefault="00481FFA" w:rsidP="00481FFA">
      <w:pPr>
        <w:pStyle w:val="ListBullet"/>
      </w:pPr>
      <w:r>
        <w:t>Future b</w:t>
      </w:r>
      <w:r w:rsidR="00AC17F3">
        <w:t>aseline</w:t>
      </w:r>
      <w:r>
        <w:t xml:space="preserve"> salary expenditure</w:t>
      </w:r>
      <w:r w:rsidR="00AC17F3">
        <w:t xml:space="preserve"> was estimated </w:t>
      </w:r>
      <w:r>
        <w:t>by growing 2016-17 salary expenditure by the appropriate wage cost index net of the efficiency dividend as at the 2017-18 Budget.</w:t>
      </w:r>
      <w:r w:rsidR="00AC17F3">
        <w:t xml:space="preserve">  </w:t>
      </w:r>
    </w:p>
    <w:p w:rsidR="00AC17F3" w:rsidRDefault="00AC17F3" w:rsidP="00E9674A">
      <w:pPr>
        <w:pStyle w:val="ListBullet"/>
      </w:pPr>
      <w:r>
        <w:t xml:space="preserve">Under the proposal, </w:t>
      </w:r>
      <w:r w:rsidR="009D3CAB">
        <w:t xml:space="preserve">salary expenditure was estimated by growing 2016-17 salary expenditure by the rate specified in </w:t>
      </w:r>
      <w:r>
        <w:t xml:space="preserve">the </w:t>
      </w:r>
      <w:r w:rsidR="00B02EA4">
        <w:t>option</w:t>
      </w:r>
      <w:r w:rsidR="009D3CAB">
        <w:t xml:space="preserve"> for the period 2018-19 to 2022-23</w:t>
      </w:r>
      <w:r w:rsidR="00B02EA4">
        <w:t xml:space="preserve">.  Outside this period, expenditure growth under the proposal </w:t>
      </w:r>
      <w:r w:rsidR="005D2C33">
        <w:t>i</w:t>
      </w:r>
      <w:r w:rsidR="00B02EA4">
        <w:t>s the same as in the baseline.</w:t>
      </w:r>
    </w:p>
    <w:p w:rsidR="002424DB" w:rsidRDefault="002424DB" w:rsidP="000B4195">
      <w:pPr>
        <w:pStyle w:val="BodyText"/>
        <w:keepLines/>
      </w:pPr>
      <w:r>
        <w:lastRenderedPageBreak/>
        <w:t>The</w:t>
      </w:r>
      <w:r w:rsidR="00E9674A">
        <w:t xml:space="preserve"> personal income tax</w:t>
      </w:r>
      <w:r>
        <w:t xml:space="preserve"> revenue impact of this proposal was calculated by</w:t>
      </w:r>
      <w:r w:rsidR="0024224C">
        <w:t xml:space="preserve"> </w:t>
      </w:r>
      <w:r>
        <w:t xml:space="preserve">applying the </w:t>
      </w:r>
      <w:r w:rsidR="00B02EA4">
        <w:t xml:space="preserve">appropriate </w:t>
      </w:r>
      <w:r>
        <w:t>average marginal income tax rate and the Medicare levy to the differ</w:t>
      </w:r>
      <w:r w:rsidR="00E9674A">
        <w:t>ence in the total salary expenditures</w:t>
      </w:r>
      <w:r>
        <w:t xml:space="preserve"> for each </w:t>
      </w:r>
      <w:r w:rsidR="00E9674A">
        <w:t xml:space="preserve">affected </w:t>
      </w:r>
      <w:r>
        <w:t xml:space="preserve">APS classification </w:t>
      </w:r>
      <w:r w:rsidRPr="00E9674A">
        <w:t>level and adding</w:t>
      </w:r>
      <w:r w:rsidR="002C74F6">
        <w:t xml:space="preserve"> </w:t>
      </w:r>
      <w:r w:rsidRPr="00E9674A">
        <w:t xml:space="preserve">the additional tax raised on </w:t>
      </w:r>
      <w:r w:rsidR="005D2C33">
        <w:t xml:space="preserve">the </w:t>
      </w:r>
      <w:r w:rsidRPr="00E9674A">
        <w:t>increased superannuation contributions.</w:t>
      </w:r>
    </w:p>
    <w:p w:rsidR="00FE3B13" w:rsidRDefault="00FE3B13" w:rsidP="00FE3B13">
      <w:pPr>
        <w:pStyle w:val="Heading1"/>
      </w:pPr>
      <w:r>
        <w:t>Data sources</w:t>
      </w:r>
    </w:p>
    <w:p w:rsidR="00E9674A" w:rsidRDefault="00E9674A" w:rsidP="00B311BA">
      <w:pPr>
        <w:pStyle w:val="BodyText"/>
      </w:pPr>
      <w:r>
        <w:t>The Department of Finance provided the wage cost index and efficiency dividend data as at the 2017</w:t>
      </w:r>
      <w:r>
        <w:noBreakHyphen/>
        <w:t>18 Budget.</w:t>
      </w:r>
    </w:p>
    <w:p w:rsidR="0046444F" w:rsidRDefault="002424DB" w:rsidP="00B311BA">
      <w:pPr>
        <w:pStyle w:val="BodyText"/>
      </w:pPr>
      <w:r w:rsidRPr="002424DB">
        <w:t>C</w:t>
      </w:r>
      <w:r>
        <w:t xml:space="preserve">ommonwealth of Australia, 2017. </w:t>
      </w:r>
      <w:r>
        <w:rPr>
          <w:i/>
        </w:rPr>
        <w:t>2017-18 Budget Fiscal Outlook</w:t>
      </w:r>
      <w:r>
        <w:t>, Canberra: Commonwealth of Australia.</w:t>
      </w:r>
    </w:p>
    <w:p w:rsidR="002424DB" w:rsidRPr="002424DB" w:rsidRDefault="002424DB" w:rsidP="00B311BA">
      <w:pPr>
        <w:pStyle w:val="BodyText"/>
        <w:sectPr w:rsidR="002424DB" w:rsidRPr="002424DB" w:rsidSect="007A423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  <w:r>
        <w:t xml:space="preserve">Australian Public Service Commission, 2017. </w:t>
      </w:r>
      <w:r>
        <w:rPr>
          <w:i/>
        </w:rPr>
        <w:t>APS Remuneration Report 2016</w:t>
      </w:r>
      <w:r>
        <w:t>, Canberra: Commonwealth of Australia.</w:t>
      </w:r>
    </w:p>
    <w:p w:rsidR="00016D53" w:rsidRDefault="00016D53" w:rsidP="00B538BA">
      <w:pPr>
        <w:pStyle w:val="Heading8"/>
        <w:spacing w:before="240" w:after="120"/>
      </w:pPr>
      <w:r w:rsidRPr="002D239A">
        <w:lastRenderedPageBreak/>
        <w:t xml:space="preserve">– </w:t>
      </w:r>
      <w:r w:rsidR="00E5554C">
        <w:fldChar w:fldCharType="begin"/>
      </w:r>
      <w:r w:rsidR="00E5554C">
        <w:instrText xml:space="preserve"> STYLEREF  "Name of proposal"  \* MERGEFORMAT </w:instrText>
      </w:r>
      <w:r w:rsidR="00E5554C">
        <w:fldChar w:fldCharType="separate"/>
      </w:r>
      <w:r w:rsidR="00CD68FE">
        <w:rPr>
          <w:noProof/>
        </w:rPr>
        <w:t>Improving wage growth</w:t>
      </w:r>
      <w:r w:rsidR="00E5554C">
        <w:rPr>
          <w:noProof/>
        </w:rPr>
        <w:fldChar w:fldCharType="end"/>
      </w:r>
      <w:r w:rsidR="00326E3E">
        <w:t xml:space="preserve"> – </w:t>
      </w:r>
      <w:r w:rsidRPr="00482F63">
        <w:t>financial</w:t>
      </w:r>
      <w:r w:rsidRPr="002D239A">
        <w:t> implications</w:t>
      </w:r>
    </w:p>
    <w:p w:rsidR="008C3202" w:rsidRDefault="008C3202" w:rsidP="008C3202">
      <w:pPr>
        <w:pStyle w:val="Caption"/>
        <w:widowControl w:val="0"/>
        <w:tabs>
          <w:tab w:val="left" w:pos="9356"/>
        </w:tabs>
        <w:spacing w:before="360" w:after="120"/>
        <w:rPr>
          <w:vertAlign w:val="superscript"/>
        </w:rPr>
      </w:pPr>
      <w:r w:rsidRPr="002D239A">
        <w:t xml:space="preserve">Table </w:t>
      </w:r>
      <w:fldSimple w:instr=" STYLEREF 8 \s ">
        <w:r w:rsidR="00CD68FE">
          <w:rPr>
            <w:noProof/>
          </w:rPr>
          <w:t>A</w:t>
        </w:r>
      </w:fldSimple>
      <w:fldSimple w:instr=" SEQ AppendixTable\s 8 ">
        <w:r w:rsidR="00CD68FE">
          <w:rPr>
            <w:noProof/>
          </w:rPr>
          <w:t>1</w:t>
        </w:r>
      </w:fldSimple>
      <w:r w:rsidRPr="002D239A">
        <w:t xml:space="preserve">: </w:t>
      </w:r>
      <w:r w:rsidR="00E5554C">
        <w:fldChar w:fldCharType="begin"/>
      </w:r>
      <w:r w:rsidR="00E5554C">
        <w:instrText xml:space="preserve"> STYLEREF  "Name of proposal"  \* MERGEFORMAT </w:instrText>
      </w:r>
      <w:r w:rsidR="00E5554C">
        <w:fldChar w:fldCharType="separate"/>
      </w:r>
      <w:r w:rsidR="00CD68FE">
        <w:rPr>
          <w:noProof/>
        </w:rPr>
        <w:t>Improving wage growth</w:t>
      </w:r>
      <w:r w:rsidR="00E5554C">
        <w:rPr>
          <w:noProof/>
        </w:rPr>
        <w:fldChar w:fldCharType="end"/>
      </w:r>
      <w:r>
        <w:t xml:space="preserve"> </w:t>
      </w:r>
      <w:r w:rsidRPr="008C3202">
        <w:t>– Option 1 – 4.0 per cent</w:t>
      </w:r>
      <w:r w:rsidR="0024224C">
        <w:t xml:space="preserve"> per annum salary increase</w:t>
      </w:r>
      <w:r w:rsidRPr="008C3202">
        <w:t xml:space="preserve"> for five years – Fiscal</w:t>
      </w:r>
      <w:r>
        <w:t xml:space="preserve"> and underlying cash balances ($m)</w:t>
      </w:r>
      <w:r w:rsidRPr="002D239A">
        <w:rPr>
          <w:vertAlign w:val="superscript"/>
        </w:rPr>
        <w:t>(a)(b)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1730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737"/>
        <w:gridCol w:w="737"/>
      </w:tblGrid>
      <w:tr w:rsidR="00B41009" w:rsidRPr="009F2A5C" w:rsidTr="00336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2017–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2020–21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8C3202" w:rsidRPr="009F2A5C" w:rsidRDefault="008C3202" w:rsidP="008C320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2027–28</w:t>
            </w:r>
          </w:p>
        </w:tc>
      </w:tr>
      <w:tr w:rsidR="003361A7" w:rsidRPr="009F2A5C" w:rsidTr="00336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Align w:val="center"/>
          </w:tcPr>
          <w:p w:rsidR="003361A7" w:rsidRPr="00C81552" w:rsidRDefault="003361A7" w:rsidP="00D757B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Administered revenue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315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408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432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459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363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363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3,386</w:t>
            </w:r>
          </w:p>
        </w:tc>
      </w:tr>
      <w:tr w:rsidR="003361A7" w:rsidRPr="009F2A5C" w:rsidTr="00336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Align w:val="center"/>
          </w:tcPr>
          <w:p w:rsidR="003361A7" w:rsidRPr="00C81552" w:rsidRDefault="003361A7" w:rsidP="00D757B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C81552">
              <w:rPr>
                <w:rFonts w:asciiTheme="minorHAnsi" w:hAnsiTheme="minorHAnsi"/>
                <w:sz w:val="16"/>
                <w:szCs w:val="16"/>
              </w:rPr>
              <w:t>Departmental expenses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-234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-459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-700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-952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-1,215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-1,235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-1,255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-1,275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-1,296</w:t>
            </w:r>
          </w:p>
        </w:tc>
        <w:tc>
          <w:tcPr>
            <w:tcW w:w="311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-1,316</w:t>
            </w:r>
          </w:p>
        </w:tc>
        <w:tc>
          <w:tcPr>
            <w:tcW w:w="363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-1,393</w:t>
            </w:r>
          </w:p>
        </w:tc>
        <w:tc>
          <w:tcPr>
            <w:tcW w:w="363" w:type="pct"/>
            <w:vAlign w:val="center"/>
          </w:tcPr>
          <w:p w:rsidR="003361A7" w:rsidRDefault="003361A7" w:rsidP="00D757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-9,937</w:t>
            </w:r>
          </w:p>
        </w:tc>
      </w:tr>
      <w:tr w:rsidR="003361A7" w:rsidRPr="009F2A5C" w:rsidTr="00336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D7DDE9" w:themeFill="accent3"/>
            <w:vAlign w:val="center"/>
          </w:tcPr>
          <w:p w:rsidR="003361A7" w:rsidRPr="009F2A5C" w:rsidRDefault="003361A7" w:rsidP="008C3202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-168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-317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-477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-637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-807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-809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-823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-825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-838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-851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-963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3361A7" w:rsidRPr="00B41009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4100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-6,551</w:t>
            </w:r>
          </w:p>
        </w:tc>
      </w:tr>
    </w:tbl>
    <w:p w:rsidR="008C3202" w:rsidRPr="009F2A5C" w:rsidRDefault="008C3202" w:rsidP="008C3202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8C3202" w:rsidRPr="009F2A5C" w:rsidRDefault="008C3202" w:rsidP="008C3202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8C3202" w:rsidRPr="009F2A5C" w:rsidRDefault="008C3202" w:rsidP="008C3202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8C3202" w:rsidRDefault="008C3202" w:rsidP="008C3202">
      <w:pPr>
        <w:pStyle w:val="Caption"/>
        <w:widowControl w:val="0"/>
        <w:tabs>
          <w:tab w:val="left" w:pos="9356"/>
        </w:tabs>
        <w:spacing w:before="360" w:after="120"/>
        <w:rPr>
          <w:vertAlign w:val="superscript"/>
        </w:rPr>
      </w:pPr>
      <w:r w:rsidRPr="002D239A">
        <w:t xml:space="preserve">Table </w:t>
      </w:r>
      <w:fldSimple w:instr=" STYLEREF 8 \s ">
        <w:r w:rsidR="00CD68FE">
          <w:rPr>
            <w:noProof/>
          </w:rPr>
          <w:t>A</w:t>
        </w:r>
      </w:fldSimple>
      <w:r>
        <w:rPr>
          <w:noProof/>
        </w:rPr>
        <w:t>2</w:t>
      </w:r>
      <w:r w:rsidRPr="002D239A">
        <w:t xml:space="preserve">: </w:t>
      </w:r>
      <w:r w:rsidR="00E5554C">
        <w:fldChar w:fldCharType="begin"/>
      </w:r>
      <w:r w:rsidR="00E5554C">
        <w:instrText xml:space="preserve"> STYLEREF  "Name of proposal"  \* MERGEFORMAT </w:instrText>
      </w:r>
      <w:r w:rsidR="00E5554C">
        <w:fldChar w:fldCharType="separate"/>
      </w:r>
      <w:r w:rsidR="00CD68FE">
        <w:rPr>
          <w:noProof/>
        </w:rPr>
        <w:t>Improving wage growth</w:t>
      </w:r>
      <w:r w:rsidR="00E5554C">
        <w:rPr>
          <w:noProof/>
        </w:rPr>
        <w:fldChar w:fldCharType="end"/>
      </w:r>
      <w:r>
        <w:t xml:space="preserve"> </w:t>
      </w:r>
      <w:r w:rsidRPr="008C3202">
        <w:t xml:space="preserve">– Option </w:t>
      </w:r>
      <w:r>
        <w:t>2</w:t>
      </w:r>
      <w:r w:rsidRPr="008C3202">
        <w:t xml:space="preserve"> –</w:t>
      </w:r>
      <w:r w:rsidR="00661434">
        <w:t xml:space="preserve"> </w:t>
      </w:r>
      <w:r>
        <w:t>5</w:t>
      </w:r>
      <w:r w:rsidRPr="008C3202">
        <w:t>.0 per cent</w:t>
      </w:r>
      <w:r w:rsidR="0024224C">
        <w:t xml:space="preserve"> per annum salary increase</w:t>
      </w:r>
      <w:r w:rsidRPr="008C3202">
        <w:t xml:space="preserve"> for five years – Fiscal</w:t>
      </w:r>
      <w:r>
        <w:t xml:space="preserve"> and underlying cash balances ($m)</w:t>
      </w:r>
      <w:r w:rsidRPr="002D239A">
        <w:rPr>
          <w:vertAlign w:val="superscript"/>
        </w:rPr>
        <w:t>(a)(b)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1730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737"/>
        <w:gridCol w:w="737"/>
      </w:tblGrid>
      <w:tr w:rsidR="00B41009" w:rsidRPr="009F2A5C" w:rsidTr="00B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2017–</w:t>
            </w:r>
          </w:p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B41009" w:rsidRPr="00B41009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B41009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2020–21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B41009" w:rsidRPr="009F2A5C" w:rsidRDefault="00B41009" w:rsidP="001F7342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9F2A5C">
              <w:rPr>
                <w:rFonts w:asciiTheme="minorHAnsi" w:hAnsiTheme="minorHAnsi"/>
                <w:sz w:val="16"/>
                <w:szCs w:val="16"/>
              </w:rPr>
              <w:t>Total to 2027–28</w:t>
            </w:r>
          </w:p>
        </w:tc>
      </w:tr>
      <w:tr w:rsidR="003361A7" w:rsidRPr="009F2A5C" w:rsidTr="00B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Align w:val="center"/>
          </w:tcPr>
          <w:p w:rsidR="003361A7" w:rsidRPr="00C81552" w:rsidRDefault="003361A7" w:rsidP="00D757B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Administered revenue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449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598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626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635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655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665</w:t>
            </w:r>
          </w:p>
        </w:tc>
        <w:tc>
          <w:tcPr>
            <w:tcW w:w="363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612</w:t>
            </w:r>
          </w:p>
        </w:tc>
        <w:tc>
          <w:tcPr>
            <w:tcW w:w="363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4,884</w:t>
            </w:r>
          </w:p>
        </w:tc>
      </w:tr>
      <w:tr w:rsidR="003361A7" w:rsidRPr="009F2A5C" w:rsidTr="00B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Align w:val="center"/>
          </w:tcPr>
          <w:p w:rsidR="003361A7" w:rsidRPr="00C81552" w:rsidRDefault="003361A7" w:rsidP="00D757B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C81552">
              <w:rPr>
                <w:rFonts w:asciiTheme="minorHAnsi" w:hAnsiTheme="minorHAnsi"/>
                <w:sz w:val="16"/>
                <w:szCs w:val="16"/>
              </w:rPr>
              <w:t>Departmental expenses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-324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-643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-987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-1,350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-1,732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-1,759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-1,787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-1,815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-1,844</w:t>
            </w:r>
          </w:p>
        </w:tc>
        <w:tc>
          <w:tcPr>
            <w:tcW w:w="311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-1,873</w:t>
            </w:r>
          </w:p>
        </w:tc>
        <w:tc>
          <w:tcPr>
            <w:tcW w:w="363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-1,954</w:t>
            </w:r>
          </w:p>
        </w:tc>
        <w:tc>
          <w:tcPr>
            <w:tcW w:w="363" w:type="pct"/>
            <w:vAlign w:val="center"/>
          </w:tcPr>
          <w:p w:rsid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-14,114</w:t>
            </w:r>
          </w:p>
        </w:tc>
      </w:tr>
      <w:tr w:rsidR="003361A7" w:rsidRPr="009F2A5C" w:rsidTr="00B41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shd w:val="clear" w:color="auto" w:fill="D7DDE9" w:themeFill="accent3"/>
            <w:vAlign w:val="center"/>
          </w:tcPr>
          <w:p w:rsidR="003361A7" w:rsidRPr="009F2A5C" w:rsidRDefault="003361A7" w:rsidP="001F7342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-444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-665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-902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-1,134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-1,133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-1,152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-1,170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-1,189</w:t>
            </w:r>
          </w:p>
        </w:tc>
        <w:tc>
          <w:tcPr>
            <w:tcW w:w="311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-1,209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-1,342</w:t>
            </w:r>
          </w:p>
        </w:tc>
        <w:tc>
          <w:tcPr>
            <w:tcW w:w="363" w:type="pct"/>
            <w:shd w:val="clear" w:color="auto" w:fill="D7DDE9" w:themeFill="accent3"/>
            <w:vAlign w:val="center"/>
          </w:tcPr>
          <w:p w:rsidR="003361A7" w:rsidRPr="003361A7" w:rsidRDefault="003361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361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-9,230</w:t>
            </w:r>
          </w:p>
        </w:tc>
      </w:tr>
    </w:tbl>
    <w:p w:rsidR="00B41009" w:rsidRPr="009F2A5C" w:rsidRDefault="00B41009" w:rsidP="00B41009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B41009" w:rsidRPr="009F2A5C" w:rsidRDefault="00B41009" w:rsidP="00B41009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B41009" w:rsidRPr="009F2A5C" w:rsidRDefault="00B41009" w:rsidP="00B41009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131861" w:rsidRPr="00131861" w:rsidRDefault="00131861" w:rsidP="00131861">
      <w:pPr>
        <w:pStyle w:val="BodyText"/>
      </w:pPr>
    </w:p>
    <w:sectPr w:rsidR="00131861" w:rsidRPr="00131861" w:rsidSect="00131861">
      <w:footerReference w:type="default" r:id="rId13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02" w:rsidRDefault="008C3202" w:rsidP="00A20802">
      <w:pPr>
        <w:spacing w:line="240" w:lineRule="auto"/>
      </w:pPr>
      <w:r>
        <w:separator/>
      </w:r>
    </w:p>
    <w:p w:rsidR="008C3202" w:rsidRDefault="008C3202"/>
    <w:p w:rsidR="008C3202" w:rsidRDefault="008C3202"/>
  </w:endnote>
  <w:endnote w:type="continuationSeparator" w:id="0">
    <w:p w:rsidR="008C3202" w:rsidRDefault="008C3202" w:rsidP="00A20802">
      <w:pPr>
        <w:spacing w:line="240" w:lineRule="auto"/>
      </w:pPr>
      <w:r>
        <w:continuationSeparator/>
      </w:r>
    </w:p>
    <w:p w:rsidR="008C3202" w:rsidRDefault="008C3202"/>
    <w:p w:rsidR="008C3202" w:rsidRDefault="008C3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02" w:rsidRPr="00015E04" w:rsidRDefault="008C3202" w:rsidP="0042553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12500B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2500B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12500B">
      <w:rPr>
        <w:rStyle w:val="FooterChar"/>
        <w:b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02" w:rsidRPr="007A47D0" w:rsidRDefault="00472907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</w:rPr>
      <w:t xml:space="preserve">PBO reference </w:t>
    </w:r>
    <w:r w:rsidR="008C3202">
      <w:rPr>
        <w:rStyle w:val="FooterChar"/>
        <w:rFonts w:ascii="Calibri" w:hAnsi="Calibri" w:cs="Arial"/>
        <w:b/>
      </w:rPr>
      <w:t>PR17/00434</w:t>
    </w:r>
    <w:r w:rsidR="008C3202" w:rsidRPr="009B70E6">
      <w:rPr>
        <w:rStyle w:val="FooterChar"/>
        <w:rFonts w:ascii="Calibri" w:hAnsi="Calibri" w:cs="Arial"/>
        <w:b/>
        <w:sz w:val="20"/>
        <w:szCs w:val="20"/>
      </w:rPr>
      <w:tab/>
    </w:r>
    <w:r w:rsidR="008C3202" w:rsidRPr="0012500B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 w:rsidR="008C3202"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="008C3202" w:rsidRPr="002C4DA6">
      <w:rPr>
        <w:rStyle w:val="FooterChar"/>
        <w:b/>
      </w:rPr>
      <w:t xml:space="preserve">Page </w:t>
    </w:r>
    <w:r w:rsidR="008C3202" w:rsidRPr="002C4DA6">
      <w:rPr>
        <w:rStyle w:val="FooterChar"/>
        <w:b/>
      </w:rPr>
      <w:fldChar w:fldCharType="begin"/>
    </w:r>
    <w:r w:rsidR="008C3202" w:rsidRPr="002C4DA6">
      <w:rPr>
        <w:rStyle w:val="FooterChar"/>
        <w:b/>
      </w:rPr>
      <w:instrText xml:space="preserve"> PAGE  \* Arabic  \* MERGEFORMAT </w:instrText>
    </w:r>
    <w:r w:rsidR="008C3202" w:rsidRPr="002C4DA6">
      <w:rPr>
        <w:rStyle w:val="FooterChar"/>
        <w:b/>
      </w:rPr>
      <w:fldChar w:fldCharType="separate"/>
    </w:r>
    <w:r w:rsidR="0012500B">
      <w:rPr>
        <w:rStyle w:val="FooterChar"/>
        <w:b/>
        <w:noProof/>
      </w:rPr>
      <w:t>1</w:t>
    </w:r>
    <w:r w:rsidR="008C3202" w:rsidRPr="002C4DA6">
      <w:rPr>
        <w:rStyle w:val="FooterChar"/>
        <w:b/>
      </w:rPr>
      <w:fldChar w:fldCharType="end"/>
    </w:r>
    <w:r w:rsidR="008C3202" w:rsidRPr="002C4DA6">
      <w:rPr>
        <w:rStyle w:val="FooterChar"/>
        <w:b/>
      </w:rPr>
      <w:t xml:space="preserve"> of </w:t>
    </w:r>
    <w:r w:rsidR="0012500B">
      <w:rPr>
        <w:rStyle w:val="FooterChar"/>
        <w:b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02" w:rsidRPr="00015E04" w:rsidRDefault="008C3202" w:rsidP="002E5CE6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12500B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2500B">
      <w:rPr>
        <w:rStyle w:val="FooterChar"/>
        <w:b/>
        <w:noProof/>
      </w:rPr>
      <w:t>4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12500B">
      <w:rPr>
        <w:rStyle w:val="FooterChar"/>
        <w:b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02" w:rsidRPr="000557A7" w:rsidRDefault="008C3202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  <w:p w:rsidR="008C3202" w:rsidRDefault="008C3202"/>
  </w:footnote>
  <w:footnote w:type="continuationSeparator" w:id="0">
    <w:p w:rsidR="008C3202" w:rsidRDefault="008C3202" w:rsidP="00A20802">
      <w:pPr>
        <w:spacing w:line="240" w:lineRule="auto"/>
      </w:pPr>
      <w:r>
        <w:continuationSeparator/>
      </w:r>
    </w:p>
    <w:p w:rsidR="008C3202" w:rsidRDefault="008C3202"/>
    <w:p w:rsidR="008C3202" w:rsidRDefault="008C32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0B" w:rsidRPr="0012500B" w:rsidRDefault="0012500B" w:rsidP="0012500B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12500B">
      <w:rPr>
        <w:rFonts w:ascii="Calibri" w:hAnsi="Calibri"/>
        <w:b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02" w:rsidRPr="0012500B" w:rsidRDefault="008C3202" w:rsidP="002C4DA6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12500B">
      <w:rPr>
        <w:rFonts w:ascii="Calibri" w:hAnsi="Calibri"/>
        <w:b/>
        <w:strike/>
        <w:color w:val="FF0000"/>
        <w:sz w:val="40"/>
        <w:szCs w:val="40"/>
      </w:rPr>
      <w:t>Sensitive</w:t>
    </w:r>
  </w:p>
  <w:p w:rsidR="008C3202" w:rsidRPr="0046444F" w:rsidRDefault="008C3202" w:rsidP="0046444F">
    <w:pPr>
      <w:pStyle w:val="Header"/>
    </w:pPr>
    <w:r>
      <w:rPr>
        <w:noProof/>
        <w:lang w:eastAsia="en-AU"/>
      </w:rPr>
      <w:drawing>
        <wp:inline distT="0" distB="0" distL="0" distR="0" wp14:anchorId="4432DF61" wp14:editId="6EB0712A">
          <wp:extent cx="2696845" cy="572135"/>
          <wp:effectExtent l="0" t="0" r="8255" b="0"/>
          <wp:docPr id="1" name="Picture 1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448"/>
    <w:multiLevelType w:val="multilevel"/>
    <w:tmpl w:val="9F868A2C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3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9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1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30"/>
  </w:num>
  <w:num w:numId="4">
    <w:abstractNumId w:val="12"/>
  </w:num>
  <w:num w:numId="5">
    <w:abstractNumId w:val="10"/>
  </w:num>
  <w:num w:numId="6">
    <w:abstractNumId w:val="28"/>
  </w:num>
  <w:num w:numId="7">
    <w:abstractNumId w:val="4"/>
  </w:num>
  <w:num w:numId="8">
    <w:abstractNumId w:val="6"/>
  </w:num>
  <w:num w:numId="9">
    <w:abstractNumId w:val="27"/>
  </w:num>
  <w:num w:numId="10">
    <w:abstractNumId w:val="3"/>
  </w:num>
  <w:num w:numId="11">
    <w:abstractNumId w:val="8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9"/>
  </w:num>
  <w:num w:numId="18">
    <w:abstractNumId w:val="32"/>
  </w:num>
  <w:num w:numId="19">
    <w:abstractNumId w:val="0"/>
  </w:num>
  <w:num w:numId="20">
    <w:abstractNumId w:val="18"/>
  </w:num>
  <w:num w:numId="21">
    <w:abstractNumId w:val="20"/>
  </w:num>
  <w:num w:numId="22">
    <w:abstractNumId w:val="14"/>
  </w:num>
  <w:num w:numId="23">
    <w:abstractNumId w:val="15"/>
  </w:num>
  <w:num w:numId="24">
    <w:abstractNumId w:val="24"/>
  </w:num>
  <w:num w:numId="25">
    <w:abstractNumId w:val="13"/>
  </w:num>
  <w:num w:numId="26">
    <w:abstractNumId w:val="5"/>
  </w:num>
  <w:num w:numId="27">
    <w:abstractNumId w:val="23"/>
  </w:num>
  <w:num w:numId="28">
    <w:abstractNumId w:val="21"/>
  </w:num>
  <w:num w:numId="29">
    <w:abstractNumId w:val="25"/>
  </w:num>
  <w:num w:numId="30">
    <w:abstractNumId w:val="31"/>
  </w:num>
  <w:num w:numId="31">
    <w:abstractNumId w:val="19"/>
  </w:num>
  <w:num w:numId="32">
    <w:abstractNumId w:val="11"/>
  </w:num>
  <w:num w:numId="33">
    <w:abstractNumId w:val="16"/>
  </w:num>
  <w:num w:numId="34">
    <w:abstractNumId w:val="9"/>
  </w:num>
  <w:num w:numId="35">
    <w:abstractNumId w:val="3"/>
  </w:num>
  <w:num w:numId="36">
    <w:abstractNumId w:val="1"/>
  </w:num>
  <w:num w:numId="37">
    <w:abstractNumId w:val="7"/>
  </w:num>
  <w:num w:numId="38">
    <w:abstractNumId w:val="4"/>
  </w:num>
  <w:num w:numId="39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F11452"/>
    <w:rsid w:val="0000071C"/>
    <w:rsid w:val="0000322C"/>
    <w:rsid w:val="00003CDD"/>
    <w:rsid w:val="00013620"/>
    <w:rsid w:val="0001406F"/>
    <w:rsid w:val="00015E04"/>
    <w:rsid w:val="000168A7"/>
    <w:rsid w:val="00016D53"/>
    <w:rsid w:val="000278D0"/>
    <w:rsid w:val="00027E62"/>
    <w:rsid w:val="000307C8"/>
    <w:rsid w:val="00030F73"/>
    <w:rsid w:val="00033326"/>
    <w:rsid w:val="00035ADE"/>
    <w:rsid w:val="0004224B"/>
    <w:rsid w:val="00046226"/>
    <w:rsid w:val="000505FB"/>
    <w:rsid w:val="0005330D"/>
    <w:rsid w:val="000557A7"/>
    <w:rsid w:val="00055805"/>
    <w:rsid w:val="00056CB3"/>
    <w:rsid w:val="0005793B"/>
    <w:rsid w:val="00061758"/>
    <w:rsid w:val="00065125"/>
    <w:rsid w:val="00066D54"/>
    <w:rsid w:val="00067A28"/>
    <w:rsid w:val="0007260F"/>
    <w:rsid w:val="000739CB"/>
    <w:rsid w:val="00073C89"/>
    <w:rsid w:val="0007488E"/>
    <w:rsid w:val="000805D5"/>
    <w:rsid w:val="0008103B"/>
    <w:rsid w:val="00085F97"/>
    <w:rsid w:val="000879B1"/>
    <w:rsid w:val="00092A33"/>
    <w:rsid w:val="000973F9"/>
    <w:rsid w:val="00097A23"/>
    <w:rsid w:val="000A0848"/>
    <w:rsid w:val="000A2440"/>
    <w:rsid w:val="000A2FEC"/>
    <w:rsid w:val="000A348F"/>
    <w:rsid w:val="000B1B0C"/>
    <w:rsid w:val="000B4195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3182"/>
    <w:rsid w:val="000D45C4"/>
    <w:rsid w:val="000D46B3"/>
    <w:rsid w:val="000E0E0C"/>
    <w:rsid w:val="000E18F3"/>
    <w:rsid w:val="000E19AC"/>
    <w:rsid w:val="000E266E"/>
    <w:rsid w:val="000E4C7B"/>
    <w:rsid w:val="000F1515"/>
    <w:rsid w:val="000F16B5"/>
    <w:rsid w:val="000F616E"/>
    <w:rsid w:val="000F7D50"/>
    <w:rsid w:val="00110D43"/>
    <w:rsid w:val="001159EA"/>
    <w:rsid w:val="00120A75"/>
    <w:rsid w:val="0012500B"/>
    <w:rsid w:val="00125410"/>
    <w:rsid w:val="00130858"/>
    <w:rsid w:val="00131861"/>
    <w:rsid w:val="00136C26"/>
    <w:rsid w:val="0014059F"/>
    <w:rsid w:val="00141551"/>
    <w:rsid w:val="001417CE"/>
    <w:rsid w:val="0014479F"/>
    <w:rsid w:val="00146B30"/>
    <w:rsid w:val="00146EAD"/>
    <w:rsid w:val="001541BF"/>
    <w:rsid w:val="00154DC5"/>
    <w:rsid w:val="00160C8D"/>
    <w:rsid w:val="001629C0"/>
    <w:rsid w:val="00165122"/>
    <w:rsid w:val="00165854"/>
    <w:rsid w:val="00166078"/>
    <w:rsid w:val="00166A15"/>
    <w:rsid w:val="001711BC"/>
    <w:rsid w:val="001738DB"/>
    <w:rsid w:val="001738F5"/>
    <w:rsid w:val="00173DFD"/>
    <w:rsid w:val="00180FF9"/>
    <w:rsid w:val="0019204F"/>
    <w:rsid w:val="00195228"/>
    <w:rsid w:val="00195696"/>
    <w:rsid w:val="00196532"/>
    <w:rsid w:val="001A1EFC"/>
    <w:rsid w:val="001A48EF"/>
    <w:rsid w:val="001A49CC"/>
    <w:rsid w:val="001A5553"/>
    <w:rsid w:val="001A716E"/>
    <w:rsid w:val="001B18C6"/>
    <w:rsid w:val="001B2C65"/>
    <w:rsid w:val="001B4255"/>
    <w:rsid w:val="001B7058"/>
    <w:rsid w:val="001C3A4F"/>
    <w:rsid w:val="001C4121"/>
    <w:rsid w:val="001C48DE"/>
    <w:rsid w:val="001C7F8D"/>
    <w:rsid w:val="001D30C1"/>
    <w:rsid w:val="001D52E3"/>
    <w:rsid w:val="001D576F"/>
    <w:rsid w:val="001D7C29"/>
    <w:rsid w:val="001E0475"/>
    <w:rsid w:val="001E33C2"/>
    <w:rsid w:val="001E3B4C"/>
    <w:rsid w:val="001E708A"/>
    <w:rsid w:val="001F2AAD"/>
    <w:rsid w:val="001F5C90"/>
    <w:rsid w:val="001F767C"/>
    <w:rsid w:val="001F7B10"/>
    <w:rsid w:val="00203A7B"/>
    <w:rsid w:val="002057EF"/>
    <w:rsid w:val="00205C6E"/>
    <w:rsid w:val="00210074"/>
    <w:rsid w:val="00210FCF"/>
    <w:rsid w:val="002179B6"/>
    <w:rsid w:val="00222EFF"/>
    <w:rsid w:val="002240D5"/>
    <w:rsid w:val="002261A7"/>
    <w:rsid w:val="00226AEC"/>
    <w:rsid w:val="00235C95"/>
    <w:rsid w:val="0024224C"/>
    <w:rsid w:val="002424DB"/>
    <w:rsid w:val="002545F3"/>
    <w:rsid w:val="0026344F"/>
    <w:rsid w:val="00266A17"/>
    <w:rsid w:val="00270372"/>
    <w:rsid w:val="00275534"/>
    <w:rsid w:val="00277075"/>
    <w:rsid w:val="002775D2"/>
    <w:rsid w:val="00281ADD"/>
    <w:rsid w:val="0028563E"/>
    <w:rsid w:val="00287823"/>
    <w:rsid w:val="0028792D"/>
    <w:rsid w:val="00293E0D"/>
    <w:rsid w:val="00293E80"/>
    <w:rsid w:val="002973B0"/>
    <w:rsid w:val="00297C14"/>
    <w:rsid w:val="002A220F"/>
    <w:rsid w:val="002A24F1"/>
    <w:rsid w:val="002A43A0"/>
    <w:rsid w:val="002A5778"/>
    <w:rsid w:val="002A6E3B"/>
    <w:rsid w:val="002B1C24"/>
    <w:rsid w:val="002B1E84"/>
    <w:rsid w:val="002B2085"/>
    <w:rsid w:val="002B3EC4"/>
    <w:rsid w:val="002C37D5"/>
    <w:rsid w:val="002C4DA6"/>
    <w:rsid w:val="002C60A0"/>
    <w:rsid w:val="002C74F6"/>
    <w:rsid w:val="002D0BAB"/>
    <w:rsid w:val="002D18E1"/>
    <w:rsid w:val="002D239A"/>
    <w:rsid w:val="002D34DB"/>
    <w:rsid w:val="002D48BE"/>
    <w:rsid w:val="002D4B11"/>
    <w:rsid w:val="002E5633"/>
    <w:rsid w:val="002E5CE6"/>
    <w:rsid w:val="002F1963"/>
    <w:rsid w:val="002F5B6E"/>
    <w:rsid w:val="002F61B5"/>
    <w:rsid w:val="00300066"/>
    <w:rsid w:val="0030209B"/>
    <w:rsid w:val="003116DE"/>
    <w:rsid w:val="00312494"/>
    <w:rsid w:val="003127E4"/>
    <w:rsid w:val="00312C42"/>
    <w:rsid w:val="00313215"/>
    <w:rsid w:val="00313DA1"/>
    <w:rsid w:val="003159D9"/>
    <w:rsid w:val="003174C3"/>
    <w:rsid w:val="003230D5"/>
    <w:rsid w:val="0032557A"/>
    <w:rsid w:val="00326E3E"/>
    <w:rsid w:val="003318BA"/>
    <w:rsid w:val="003326F7"/>
    <w:rsid w:val="003361A7"/>
    <w:rsid w:val="00340778"/>
    <w:rsid w:val="00343205"/>
    <w:rsid w:val="00344D2C"/>
    <w:rsid w:val="003458CE"/>
    <w:rsid w:val="00345A57"/>
    <w:rsid w:val="00346D90"/>
    <w:rsid w:val="00351F62"/>
    <w:rsid w:val="0035792C"/>
    <w:rsid w:val="003601F4"/>
    <w:rsid w:val="00361150"/>
    <w:rsid w:val="003671E2"/>
    <w:rsid w:val="00370320"/>
    <w:rsid w:val="00372AE6"/>
    <w:rsid w:val="00376C3A"/>
    <w:rsid w:val="0038082C"/>
    <w:rsid w:val="003837E1"/>
    <w:rsid w:val="0038584D"/>
    <w:rsid w:val="00386769"/>
    <w:rsid w:val="0039257F"/>
    <w:rsid w:val="003931DE"/>
    <w:rsid w:val="00393A83"/>
    <w:rsid w:val="00397D1A"/>
    <w:rsid w:val="003A163C"/>
    <w:rsid w:val="003A2B4E"/>
    <w:rsid w:val="003A2FBB"/>
    <w:rsid w:val="003A3799"/>
    <w:rsid w:val="003A4913"/>
    <w:rsid w:val="003A54A9"/>
    <w:rsid w:val="003A62A5"/>
    <w:rsid w:val="003A7083"/>
    <w:rsid w:val="003B2CF2"/>
    <w:rsid w:val="003B3103"/>
    <w:rsid w:val="003B38B3"/>
    <w:rsid w:val="003B3A97"/>
    <w:rsid w:val="003B3D44"/>
    <w:rsid w:val="003B47BC"/>
    <w:rsid w:val="003C2540"/>
    <w:rsid w:val="003C6BB5"/>
    <w:rsid w:val="003C7CC2"/>
    <w:rsid w:val="003D3379"/>
    <w:rsid w:val="003D50B6"/>
    <w:rsid w:val="003E05DF"/>
    <w:rsid w:val="003E1562"/>
    <w:rsid w:val="003E6085"/>
    <w:rsid w:val="003E6CA3"/>
    <w:rsid w:val="003F4C96"/>
    <w:rsid w:val="00401C49"/>
    <w:rsid w:val="00404CFE"/>
    <w:rsid w:val="00406002"/>
    <w:rsid w:val="00406AD3"/>
    <w:rsid w:val="00410731"/>
    <w:rsid w:val="00412E42"/>
    <w:rsid w:val="00413EC1"/>
    <w:rsid w:val="00415776"/>
    <w:rsid w:val="0042112A"/>
    <w:rsid w:val="00425534"/>
    <w:rsid w:val="00425C05"/>
    <w:rsid w:val="00426356"/>
    <w:rsid w:val="00426929"/>
    <w:rsid w:val="00433D11"/>
    <w:rsid w:val="00440108"/>
    <w:rsid w:val="00441A6D"/>
    <w:rsid w:val="00442C16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716E3"/>
    <w:rsid w:val="00472907"/>
    <w:rsid w:val="004730F4"/>
    <w:rsid w:val="00474BB7"/>
    <w:rsid w:val="00476133"/>
    <w:rsid w:val="00476800"/>
    <w:rsid w:val="004816D7"/>
    <w:rsid w:val="00481FFA"/>
    <w:rsid w:val="00482F63"/>
    <w:rsid w:val="0048342E"/>
    <w:rsid w:val="00487478"/>
    <w:rsid w:val="0048782D"/>
    <w:rsid w:val="00490873"/>
    <w:rsid w:val="00494DC1"/>
    <w:rsid w:val="004A3F56"/>
    <w:rsid w:val="004A4F1C"/>
    <w:rsid w:val="004A5E21"/>
    <w:rsid w:val="004A666A"/>
    <w:rsid w:val="004B143F"/>
    <w:rsid w:val="004B3022"/>
    <w:rsid w:val="004B49A0"/>
    <w:rsid w:val="004C6306"/>
    <w:rsid w:val="004C6F5E"/>
    <w:rsid w:val="004C7E94"/>
    <w:rsid w:val="004D4551"/>
    <w:rsid w:val="004D7CF8"/>
    <w:rsid w:val="004D7EDA"/>
    <w:rsid w:val="004E0E49"/>
    <w:rsid w:val="004E197A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0F08"/>
    <w:rsid w:val="0050132A"/>
    <w:rsid w:val="00503253"/>
    <w:rsid w:val="00503BB0"/>
    <w:rsid w:val="00503E03"/>
    <w:rsid w:val="00511F0B"/>
    <w:rsid w:val="00512226"/>
    <w:rsid w:val="00512B31"/>
    <w:rsid w:val="005147C6"/>
    <w:rsid w:val="005159B1"/>
    <w:rsid w:val="00522502"/>
    <w:rsid w:val="00522530"/>
    <w:rsid w:val="005255A1"/>
    <w:rsid w:val="00525825"/>
    <w:rsid w:val="0052641C"/>
    <w:rsid w:val="005264E1"/>
    <w:rsid w:val="005311C2"/>
    <w:rsid w:val="0053795D"/>
    <w:rsid w:val="00544522"/>
    <w:rsid w:val="00545D37"/>
    <w:rsid w:val="005467E2"/>
    <w:rsid w:val="005468AB"/>
    <w:rsid w:val="005501A0"/>
    <w:rsid w:val="00550831"/>
    <w:rsid w:val="005525B0"/>
    <w:rsid w:val="00554273"/>
    <w:rsid w:val="0056001A"/>
    <w:rsid w:val="005642B6"/>
    <w:rsid w:val="00566A97"/>
    <w:rsid w:val="00571D5E"/>
    <w:rsid w:val="005814CA"/>
    <w:rsid w:val="005823D0"/>
    <w:rsid w:val="00582D54"/>
    <w:rsid w:val="00583AAF"/>
    <w:rsid w:val="00587AF9"/>
    <w:rsid w:val="005962D5"/>
    <w:rsid w:val="005979D8"/>
    <w:rsid w:val="005A2748"/>
    <w:rsid w:val="005A443F"/>
    <w:rsid w:val="005A5215"/>
    <w:rsid w:val="005A7C26"/>
    <w:rsid w:val="005B0970"/>
    <w:rsid w:val="005B0E43"/>
    <w:rsid w:val="005B54F9"/>
    <w:rsid w:val="005B58D4"/>
    <w:rsid w:val="005B5B58"/>
    <w:rsid w:val="005B7DC9"/>
    <w:rsid w:val="005C07B3"/>
    <w:rsid w:val="005C284E"/>
    <w:rsid w:val="005C47D4"/>
    <w:rsid w:val="005D2C33"/>
    <w:rsid w:val="005D51D0"/>
    <w:rsid w:val="005D6F83"/>
    <w:rsid w:val="005D7877"/>
    <w:rsid w:val="005D7CCF"/>
    <w:rsid w:val="005E04CF"/>
    <w:rsid w:val="005E58C4"/>
    <w:rsid w:val="005E5D8F"/>
    <w:rsid w:val="005F5A5C"/>
    <w:rsid w:val="005F5CD9"/>
    <w:rsid w:val="00602664"/>
    <w:rsid w:val="0061135C"/>
    <w:rsid w:val="006136DD"/>
    <w:rsid w:val="006149F0"/>
    <w:rsid w:val="006220A5"/>
    <w:rsid w:val="00622D86"/>
    <w:rsid w:val="00624AC8"/>
    <w:rsid w:val="00627762"/>
    <w:rsid w:val="00633812"/>
    <w:rsid w:val="00633C60"/>
    <w:rsid w:val="0064126D"/>
    <w:rsid w:val="006451B8"/>
    <w:rsid w:val="00645722"/>
    <w:rsid w:val="006509C3"/>
    <w:rsid w:val="00652432"/>
    <w:rsid w:val="006555C8"/>
    <w:rsid w:val="00657840"/>
    <w:rsid w:val="0066003C"/>
    <w:rsid w:val="0066041E"/>
    <w:rsid w:val="00661434"/>
    <w:rsid w:val="006619BB"/>
    <w:rsid w:val="00673CCC"/>
    <w:rsid w:val="00675C98"/>
    <w:rsid w:val="0069026B"/>
    <w:rsid w:val="006956EA"/>
    <w:rsid w:val="006A0D82"/>
    <w:rsid w:val="006A490C"/>
    <w:rsid w:val="006A5881"/>
    <w:rsid w:val="006A766E"/>
    <w:rsid w:val="006B4F7D"/>
    <w:rsid w:val="006B63B1"/>
    <w:rsid w:val="006C114C"/>
    <w:rsid w:val="006C3668"/>
    <w:rsid w:val="006C3864"/>
    <w:rsid w:val="006C5383"/>
    <w:rsid w:val="006C5E72"/>
    <w:rsid w:val="006D2AEC"/>
    <w:rsid w:val="006D438F"/>
    <w:rsid w:val="006D4B1C"/>
    <w:rsid w:val="006D4C8E"/>
    <w:rsid w:val="006E19D1"/>
    <w:rsid w:val="006E1CBB"/>
    <w:rsid w:val="006E4B27"/>
    <w:rsid w:val="006E5E7E"/>
    <w:rsid w:val="006F100B"/>
    <w:rsid w:val="006F239A"/>
    <w:rsid w:val="006F2C9D"/>
    <w:rsid w:val="006F4201"/>
    <w:rsid w:val="006F6B51"/>
    <w:rsid w:val="007048DB"/>
    <w:rsid w:val="0070637D"/>
    <w:rsid w:val="007071DD"/>
    <w:rsid w:val="0070771F"/>
    <w:rsid w:val="00712A14"/>
    <w:rsid w:val="00713208"/>
    <w:rsid w:val="00716C04"/>
    <w:rsid w:val="00717180"/>
    <w:rsid w:val="007179D2"/>
    <w:rsid w:val="00720750"/>
    <w:rsid w:val="00725466"/>
    <w:rsid w:val="0072549C"/>
    <w:rsid w:val="00725A80"/>
    <w:rsid w:val="00726E61"/>
    <w:rsid w:val="0073102A"/>
    <w:rsid w:val="00733970"/>
    <w:rsid w:val="007375FE"/>
    <w:rsid w:val="00741D0B"/>
    <w:rsid w:val="00754C58"/>
    <w:rsid w:val="0077436E"/>
    <w:rsid w:val="00776E78"/>
    <w:rsid w:val="0078138A"/>
    <w:rsid w:val="00783014"/>
    <w:rsid w:val="007834DC"/>
    <w:rsid w:val="00790768"/>
    <w:rsid w:val="007959D8"/>
    <w:rsid w:val="0079630F"/>
    <w:rsid w:val="007A04C2"/>
    <w:rsid w:val="007A4238"/>
    <w:rsid w:val="007A47D0"/>
    <w:rsid w:val="007A571D"/>
    <w:rsid w:val="007B146A"/>
    <w:rsid w:val="007B57C9"/>
    <w:rsid w:val="007C0E7C"/>
    <w:rsid w:val="007C0EAA"/>
    <w:rsid w:val="007C19C3"/>
    <w:rsid w:val="007C44B2"/>
    <w:rsid w:val="007C4C12"/>
    <w:rsid w:val="007C54EE"/>
    <w:rsid w:val="007C6496"/>
    <w:rsid w:val="007C745E"/>
    <w:rsid w:val="007D0ABE"/>
    <w:rsid w:val="007E0E53"/>
    <w:rsid w:val="007E319A"/>
    <w:rsid w:val="007E356F"/>
    <w:rsid w:val="007E3F8C"/>
    <w:rsid w:val="007F2058"/>
    <w:rsid w:val="007F41A3"/>
    <w:rsid w:val="007F7685"/>
    <w:rsid w:val="0080011D"/>
    <w:rsid w:val="00800EA5"/>
    <w:rsid w:val="00801C01"/>
    <w:rsid w:val="008112CC"/>
    <w:rsid w:val="008130BB"/>
    <w:rsid w:val="00813D7D"/>
    <w:rsid w:val="008147C6"/>
    <w:rsid w:val="00817406"/>
    <w:rsid w:val="008208A7"/>
    <w:rsid w:val="008237FA"/>
    <w:rsid w:val="00825D37"/>
    <w:rsid w:val="008369B0"/>
    <w:rsid w:val="008372D1"/>
    <w:rsid w:val="00845C1E"/>
    <w:rsid w:val="008510BA"/>
    <w:rsid w:val="0085732C"/>
    <w:rsid w:val="00857C91"/>
    <w:rsid w:val="00860B45"/>
    <w:rsid w:val="00861F68"/>
    <w:rsid w:val="00863860"/>
    <w:rsid w:val="008638B5"/>
    <w:rsid w:val="00866B47"/>
    <w:rsid w:val="008734DB"/>
    <w:rsid w:val="0087390B"/>
    <w:rsid w:val="00874035"/>
    <w:rsid w:val="008745A1"/>
    <w:rsid w:val="008768E9"/>
    <w:rsid w:val="0087751B"/>
    <w:rsid w:val="00890995"/>
    <w:rsid w:val="008914FB"/>
    <w:rsid w:val="00892516"/>
    <w:rsid w:val="0089737A"/>
    <w:rsid w:val="00897E99"/>
    <w:rsid w:val="00897F60"/>
    <w:rsid w:val="008A4829"/>
    <w:rsid w:val="008B2384"/>
    <w:rsid w:val="008B38D6"/>
    <w:rsid w:val="008B4802"/>
    <w:rsid w:val="008B69E3"/>
    <w:rsid w:val="008C1FD1"/>
    <w:rsid w:val="008C24A8"/>
    <w:rsid w:val="008C3202"/>
    <w:rsid w:val="008C35EF"/>
    <w:rsid w:val="008C5996"/>
    <w:rsid w:val="008D4FA9"/>
    <w:rsid w:val="008D5A11"/>
    <w:rsid w:val="008D5E23"/>
    <w:rsid w:val="008D77AF"/>
    <w:rsid w:val="008E6D59"/>
    <w:rsid w:val="008F30C7"/>
    <w:rsid w:val="008F4527"/>
    <w:rsid w:val="008F5D66"/>
    <w:rsid w:val="009028AA"/>
    <w:rsid w:val="00903293"/>
    <w:rsid w:val="00903E3F"/>
    <w:rsid w:val="009049C3"/>
    <w:rsid w:val="00904AB8"/>
    <w:rsid w:val="009057D9"/>
    <w:rsid w:val="0090774A"/>
    <w:rsid w:val="00910D07"/>
    <w:rsid w:val="00914B2F"/>
    <w:rsid w:val="009150E6"/>
    <w:rsid w:val="00916290"/>
    <w:rsid w:val="00917F89"/>
    <w:rsid w:val="009223BE"/>
    <w:rsid w:val="0092499B"/>
    <w:rsid w:val="009255EE"/>
    <w:rsid w:val="00925603"/>
    <w:rsid w:val="00925F76"/>
    <w:rsid w:val="00925FCE"/>
    <w:rsid w:val="00932E89"/>
    <w:rsid w:val="0093359D"/>
    <w:rsid w:val="00933F2B"/>
    <w:rsid w:val="00942EEB"/>
    <w:rsid w:val="0094468E"/>
    <w:rsid w:val="00944B6E"/>
    <w:rsid w:val="00945261"/>
    <w:rsid w:val="00947377"/>
    <w:rsid w:val="009506A5"/>
    <w:rsid w:val="00951452"/>
    <w:rsid w:val="009541CC"/>
    <w:rsid w:val="00956564"/>
    <w:rsid w:val="009567A6"/>
    <w:rsid w:val="00956D5A"/>
    <w:rsid w:val="00961B2C"/>
    <w:rsid w:val="00961DBB"/>
    <w:rsid w:val="00963D2B"/>
    <w:rsid w:val="0096618E"/>
    <w:rsid w:val="009758AE"/>
    <w:rsid w:val="00981433"/>
    <w:rsid w:val="0098222F"/>
    <w:rsid w:val="0098244F"/>
    <w:rsid w:val="00983122"/>
    <w:rsid w:val="00985C07"/>
    <w:rsid w:val="00995B4F"/>
    <w:rsid w:val="00995FA3"/>
    <w:rsid w:val="00997582"/>
    <w:rsid w:val="009A0887"/>
    <w:rsid w:val="009A2C21"/>
    <w:rsid w:val="009A3E58"/>
    <w:rsid w:val="009A5F02"/>
    <w:rsid w:val="009A7AB1"/>
    <w:rsid w:val="009B5E95"/>
    <w:rsid w:val="009B6408"/>
    <w:rsid w:val="009B70E6"/>
    <w:rsid w:val="009C6DAA"/>
    <w:rsid w:val="009D0E74"/>
    <w:rsid w:val="009D1A96"/>
    <w:rsid w:val="009D370B"/>
    <w:rsid w:val="009D3CAB"/>
    <w:rsid w:val="009D7EE0"/>
    <w:rsid w:val="009E2087"/>
    <w:rsid w:val="009E252B"/>
    <w:rsid w:val="009E3265"/>
    <w:rsid w:val="009E3353"/>
    <w:rsid w:val="009E446D"/>
    <w:rsid w:val="009E7C09"/>
    <w:rsid w:val="009F146D"/>
    <w:rsid w:val="009F4F1E"/>
    <w:rsid w:val="009F5D6A"/>
    <w:rsid w:val="00A015E4"/>
    <w:rsid w:val="00A075BC"/>
    <w:rsid w:val="00A11222"/>
    <w:rsid w:val="00A12C39"/>
    <w:rsid w:val="00A134FB"/>
    <w:rsid w:val="00A162FE"/>
    <w:rsid w:val="00A20802"/>
    <w:rsid w:val="00A25B4F"/>
    <w:rsid w:val="00A261B3"/>
    <w:rsid w:val="00A27E8B"/>
    <w:rsid w:val="00A311CF"/>
    <w:rsid w:val="00A442BF"/>
    <w:rsid w:val="00A517D0"/>
    <w:rsid w:val="00A51B96"/>
    <w:rsid w:val="00A53716"/>
    <w:rsid w:val="00A5629E"/>
    <w:rsid w:val="00A64832"/>
    <w:rsid w:val="00A65858"/>
    <w:rsid w:val="00A732DB"/>
    <w:rsid w:val="00A75338"/>
    <w:rsid w:val="00A838D2"/>
    <w:rsid w:val="00A86F04"/>
    <w:rsid w:val="00A946C4"/>
    <w:rsid w:val="00AA478E"/>
    <w:rsid w:val="00AB137D"/>
    <w:rsid w:val="00AC01F8"/>
    <w:rsid w:val="00AC059A"/>
    <w:rsid w:val="00AC17F3"/>
    <w:rsid w:val="00AC3BE3"/>
    <w:rsid w:val="00AC41CF"/>
    <w:rsid w:val="00AD0308"/>
    <w:rsid w:val="00AD377A"/>
    <w:rsid w:val="00AD67BB"/>
    <w:rsid w:val="00AE1CC1"/>
    <w:rsid w:val="00AE3EA4"/>
    <w:rsid w:val="00AE51FE"/>
    <w:rsid w:val="00AF1B02"/>
    <w:rsid w:val="00AF41E4"/>
    <w:rsid w:val="00AF568A"/>
    <w:rsid w:val="00B02EA4"/>
    <w:rsid w:val="00B05262"/>
    <w:rsid w:val="00B06A75"/>
    <w:rsid w:val="00B06BC3"/>
    <w:rsid w:val="00B15A0F"/>
    <w:rsid w:val="00B17FB2"/>
    <w:rsid w:val="00B20236"/>
    <w:rsid w:val="00B20937"/>
    <w:rsid w:val="00B220A0"/>
    <w:rsid w:val="00B22B64"/>
    <w:rsid w:val="00B22D72"/>
    <w:rsid w:val="00B22FEA"/>
    <w:rsid w:val="00B24321"/>
    <w:rsid w:val="00B30FEB"/>
    <w:rsid w:val="00B311BA"/>
    <w:rsid w:val="00B35B47"/>
    <w:rsid w:val="00B40AA3"/>
    <w:rsid w:val="00B41009"/>
    <w:rsid w:val="00B43AF9"/>
    <w:rsid w:val="00B44478"/>
    <w:rsid w:val="00B4609C"/>
    <w:rsid w:val="00B508DA"/>
    <w:rsid w:val="00B538BA"/>
    <w:rsid w:val="00B6002C"/>
    <w:rsid w:val="00B620EE"/>
    <w:rsid w:val="00B80FB4"/>
    <w:rsid w:val="00B85366"/>
    <w:rsid w:val="00B87F60"/>
    <w:rsid w:val="00B9079B"/>
    <w:rsid w:val="00B93B5E"/>
    <w:rsid w:val="00B93D3D"/>
    <w:rsid w:val="00B96341"/>
    <w:rsid w:val="00BA471F"/>
    <w:rsid w:val="00BB5013"/>
    <w:rsid w:val="00BB528E"/>
    <w:rsid w:val="00BB615A"/>
    <w:rsid w:val="00BB78CD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E0D9A"/>
    <w:rsid w:val="00BE1A50"/>
    <w:rsid w:val="00BE2F0D"/>
    <w:rsid w:val="00BE5E2E"/>
    <w:rsid w:val="00BF0BD5"/>
    <w:rsid w:val="00BF0D35"/>
    <w:rsid w:val="00BF55F8"/>
    <w:rsid w:val="00C051FD"/>
    <w:rsid w:val="00C1744F"/>
    <w:rsid w:val="00C20C7D"/>
    <w:rsid w:val="00C20DEF"/>
    <w:rsid w:val="00C22798"/>
    <w:rsid w:val="00C24B25"/>
    <w:rsid w:val="00C24E89"/>
    <w:rsid w:val="00C32C2F"/>
    <w:rsid w:val="00C3738A"/>
    <w:rsid w:val="00C40859"/>
    <w:rsid w:val="00C4315A"/>
    <w:rsid w:val="00C43F5E"/>
    <w:rsid w:val="00C44074"/>
    <w:rsid w:val="00C4651F"/>
    <w:rsid w:val="00C51D0B"/>
    <w:rsid w:val="00C52207"/>
    <w:rsid w:val="00C52A50"/>
    <w:rsid w:val="00C642D4"/>
    <w:rsid w:val="00C66AF6"/>
    <w:rsid w:val="00C730F4"/>
    <w:rsid w:val="00C74311"/>
    <w:rsid w:val="00C80200"/>
    <w:rsid w:val="00C80E0A"/>
    <w:rsid w:val="00C81552"/>
    <w:rsid w:val="00C8270B"/>
    <w:rsid w:val="00C841A9"/>
    <w:rsid w:val="00C8728F"/>
    <w:rsid w:val="00C91D48"/>
    <w:rsid w:val="00C97FBC"/>
    <w:rsid w:val="00CA06C8"/>
    <w:rsid w:val="00CA0B7E"/>
    <w:rsid w:val="00CA37B6"/>
    <w:rsid w:val="00CA4C28"/>
    <w:rsid w:val="00CA4E33"/>
    <w:rsid w:val="00CA5598"/>
    <w:rsid w:val="00CA5EF8"/>
    <w:rsid w:val="00CB28A3"/>
    <w:rsid w:val="00CB3D10"/>
    <w:rsid w:val="00CB73EC"/>
    <w:rsid w:val="00CC00A0"/>
    <w:rsid w:val="00CC0FED"/>
    <w:rsid w:val="00CC3C34"/>
    <w:rsid w:val="00CC5455"/>
    <w:rsid w:val="00CC6C06"/>
    <w:rsid w:val="00CD1526"/>
    <w:rsid w:val="00CD1546"/>
    <w:rsid w:val="00CD2807"/>
    <w:rsid w:val="00CD5509"/>
    <w:rsid w:val="00CD68FE"/>
    <w:rsid w:val="00CE0215"/>
    <w:rsid w:val="00CE1EB0"/>
    <w:rsid w:val="00CE3DF2"/>
    <w:rsid w:val="00CF04D5"/>
    <w:rsid w:val="00CF0C0F"/>
    <w:rsid w:val="00CF1690"/>
    <w:rsid w:val="00CF1F2A"/>
    <w:rsid w:val="00CF5CE3"/>
    <w:rsid w:val="00CF7412"/>
    <w:rsid w:val="00D030F8"/>
    <w:rsid w:val="00D077B7"/>
    <w:rsid w:val="00D20297"/>
    <w:rsid w:val="00D21E6B"/>
    <w:rsid w:val="00D2336A"/>
    <w:rsid w:val="00D23634"/>
    <w:rsid w:val="00D34551"/>
    <w:rsid w:val="00D36D27"/>
    <w:rsid w:val="00D41664"/>
    <w:rsid w:val="00D4569D"/>
    <w:rsid w:val="00D457D6"/>
    <w:rsid w:val="00D64CE2"/>
    <w:rsid w:val="00D661D4"/>
    <w:rsid w:val="00D702E1"/>
    <w:rsid w:val="00D719B9"/>
    <w:rsid w:val="00D7270F"/>
    <w:rsid w:val="00D7596A"/>
    <w:rsid w:val="00D7751B"/>
    <w:rsid w:val="00D815DC"/>
    <w:rsid w:val="00D822B5"/>
    <w:rsid w:val="00D83D3C"/>
    <w:rsid w:val="00D84451"/>
    <w:rsid w:val="00D867AE"/>
    <w:rsid w:val="00D87BBB"/>
    <w:rsid w:val="00D87C87"/>
    <w:rsid w:val="00D921C4"/>
    <w:rsid w:val="00D9296A"/>
    <w:rsid w:val="00D93C23"/>
    <w:rsid w:val="00D95638"/>
    <w:rsid w:val="00D9584C"/>
    <w:rsid w:val="00D97180"/>
    <w:rsid w:val="00D97C79"/>
    <w:rsid w:val="00DA14D9"/>
    <w:rsid w:val="00DB13AD"/>
    <w:rsid w:val="00DB23F9"/>
    <w:rsid w:val="00DB58BE"/>
    <w:rsid w:val="00DB602E"/>
    <w:rsid w:val="00DB6176"/>
    <w:rsid w:val="00DB6AA0"/>
    <w:rsid w:val="00DB7C3A"/>
    <w:rsid w:val="00DD14EE"/>
    <w:rsid w:val="00DD32AB"/>
    <w:rsid w:val="00DD5BF6"/>
    <w:rsid w:val="00DD64DC"/>
    <w:rsid w:val="00DE1865"/>
    <w:rsid w:val="00DE6CEF"/>
    <w:rsid w:val="00DF11C2"/>
    <w:rsid w:val="00DF2134"/>
    <w:rsid w:val="00DF4593"/>
    <w:rsid w:val="00DF64E0"/>
    <w:rsid w:val="00E10D05"/>
    <w:rsid w:val="00E2223E"/>
    <w:rsid w:val="00E22D98"/>
    <w:rsid w:val="00E24623"/>
    <w:rsid w:val="00E252E3"/>
    <w:rsid w:val="00E25B1B"/>
    <w:rsid w:val="00E40505"/>
    <w:rsid w:val="00E42A41"/>
    <w:rsid w:val="00E45766"/>
    <w:rsid w:val="00E45AC5"/>
    <w:rsid w:val="00E5554C"/>
    <w:rsid w:val="00E567E5"/>
    <w:rsid w:val="00E64480"/>
    <w:rsid w:val="00E65807"/>
    <w:rsid w:val="00E66103"/>
    <w:rsid w:val="00E6708B"/>
    <w:rsid w:val="00E73A8C"/>
    <w:rsid w:val="00E75050"/>
    <w:rsid w:val="00E75D5E"/>
    <w:rsid w:val="00E76F42"/>
    <w:rsid w:val="00E77D6D"/>
    <w:rsid w:val="00E915E6"/>
    <w:rsid w:val="00E9674A"/>
    <w:rsid w:val="00E97582"/>
    <w:rsid w:val="00EA3E11"/>
    <w:rsid w:val="00EA6EB3"/>
    <w:rsid w:val="00EB4A8E"/>
    <w:rsid w:val="00EB5EF3"/>
    <w:rsid w:val="00EB62F7"/>
    <w:rsid w:val="00EB664D"/>
    <w:rsid w:val="00EB695D"/>
    <w:rsid w:val="00EB7C6D"/>
    <w:rsid w:val="00EC38F3"/>
    <w:rsid w:val="00EC4241"/>
    <w:rsid w:val="00ED0404"/>
    <w:rsid w:val="00ED1407"/>
    <w:rsid w:val="00ED39CE"/>
    <w:rsid w:val="00ED4134"/>
    <w:rsid w:val="00ED7A9F"/>
    <w:rsid w:val="00EE05F1"/>
    <w:rsid w:val="00EE3226"/>
    <w:rsid w:val="00EE471A"/>
    <w:rsid w:val="00EE5492"/>
    <w:rsid w:val="00EE583A"/>
    <w:rsid w:val="00EF0A00"/>
    <w:rsid w:val="00EF7395"/>
    <w:rsid w:val="00F0183C"/>
    <w:rsid w:val="00F0379D"/>
    <w:rsid w:val="00F03C79"/>
    <w:rsid w:val="00F07BD5"/>
    <w:rsid w:val="00F11452"/>
    <w:rsid w:val="00F122D6"/>
    <w:rsid w:val="00F15BF4"/>
    <w:rsid w:val="00F171E0"/>
    <w:rsid w:val="00F17940"/>
    <w:rsid w:val="00F17DC0"/>
    <w:rsid w:val="00F2046C"/>
    <w:rsid w:val="00F20647"/>
    <w:rsid w:val="00F207FC"/>
    <w:rsid w:val="00F274DB"/>
    <w:rsid w:val="00F31392"/>
    <w:rsid w:val="00F348B5"/>
    <w:rsid w:val="00F3652B"/>
    <w:rsid w:val="00F36D95"/>
    <w:rsid w:val="00F377B9"/>
    <w:rsid w:val="00F45442"/>
    <w:rsid w:val="00F5145E"/>
    <w:rsid w:val="00F558EA"/>
    <w:rsid w:val="00F5681C"/>
    <w:rsid w:val="00F6045D"/>
    <w:rsid w:val="00F613CB"/>
    <w:rsid w:val="00F61F79"/>
    <w:rsid w:val="00F651DD"/>
    <w:rsid w:val="00F656A4"/>
    <w:rsid w:val="00F6665E"/>
    <w:rsid w:val="00F7075F"/>
    <w:rsid w:val="00F71D76"/>
    <w:rsid w:val="00F8349F"/>
    <w:rsid w:val="00F83FB7"/>
    <w:rsid w:val="00F85935"/>
    <w:rsid w:val="00F85D29"/>
    <w:rsid w:val="00F969D3"/>
    <w:rsid w:val="00F9789E"/>
    <w:rsid w:val="00FA190E"/>
    <w:rsid w:val="00FA54D8"/>
    <w:rsid w:val="00FB460E"/>
    <w:rsid w:val="00FC4FB7"/>
    <w:rsid w:val="00FC6998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069"/>
    <w:rsid w:val="00FE3B13"/>
    <w:rsid w:val="00FF0566"/>
    <w:rsid w:val="00FF15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LC%20and%20CM%20&#8211;%20costing.dotm" TargetMode="External"/></Relationship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D4BF0768-21C4-46F9-9547-19703ABF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CLC and CM – costing.dotm</Template>
  <TotalTime>4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wage growth</dc:title>
  <dc:creator>Parliamentary Budget Office</dc:creator>
  <cp:lastModifiedBy>Pratley, Lauren (PBO)</cp:lastModifiedBy>
  <cp:revision>4</cp:revision>
  <cp:lastPrinted>2017-11-23T02:15:00Z</cp:lastPrinted>
  <dcterms:created xsi:type="dcterms:W3CDTF">2017-12-14T03:11:00Z</dcterms:created>
  <dcterms:modified xsi:type="dcterms:W3CDTF">2017-12-14T03:16:00Z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