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rFonts w:ascii="Times New Roman"/>
          <w:sz w:val="8"/>
        </w:rPr>
      </w:pPr>
    </w:p>
    <w:p>
      <w:pPr>
        <w:pStyle w:val="BodyText"/>
        <w:ind w:left="658"/>
        <w:rPr>
          <w:rFonts w:ascii="Times New Roman"/>
          <w:sz w:val="20"/>
        </w:rPr>
      </w:pPr>
      <w:r>
        <w:rPr>
          <w:rFonts w:ascii="Times New Roman"/>
          <w:sz w:val="20"/>
        </w:rPr>
        <w:drawing>
          <wp:inline distT="0" distB="0" distL="0" distR="0">
            <wp:extent cx="1946268" cy="579501"/>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946268" cy="57950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10"/>
        <w:rPr>
          <w:rFonts w:ascii="Times New Roman"/>
          <w:sz w:val="17"/>
        </w:rPr>
      </w:pPr>
    </w:p>
    <w:p>
      <w:pPr>
        <w:spacing w:before="35"/>
        <w:ind w:left="658" w:right="0" w:firstLine="0"/>
        <w:jc w:val="left"/>
        <w:rPr>
          <w:sz w:val="32"/>
        </w:rPr>
      </w:pPr>
      <w:r>
        <w:rPr>
          <w:color w:val="3C4D7C"/>
          <w:sz w:val="32"/>
        </w:rPr>
        <w:t>Policy costing</w:t>
      </w:r>
    </w:p>
    <w:p>
      <w:pPr>
        <w:pStyle w:val="BodyText"/>
        <w:spacing w:before="11"/>
        <w:rPr>
          <w:sz w:val="19"/>
        </w:rPr>
      </w:pPr>
    </w:p>
    <w:tbl>
      <w:tblPr>
        <w:tblW w:w="0" w:type="auto"/>
        <w:jc w:val="left"/>
        <w:tblInd w:w="560" w:type="dxa"/>
        <w:tblBorders>
          <w:top w:val="single" w:sz="8" w:space="0" w:color="788183"/>
          <w:left w:val="single" w:sz="8" w:space="0" w:color="788183"/>
          <w:bottom w:val="single" w:sz="8" w:space="0" w:color="788183"/>
          <w:right w:val="single" w:sz="8" w:space="0" w:color="788183"/>
          <w:insideH w:val="single" w:sz="8" w:space="0" w:color="788183"/>
          <w:insideV w:val="single" w:sz="8" w:space="0" w:color="788183"/>
        </w:tblBorders>
        <w:tblLayout w:type="fixed"/>
        <w:tblCellMar>
          <w:top w:w="0" w:type="dxa"/>
          <w:left w:w="0" w:type="dxa"/>
          <w:bottom w:w="0" w:type="dxa"/>
          <w:right w:w="0" w:type="dxa"/>
        </w:tblCellMar>
        <w:tblLook w:val="01E0"/>
      </w:tblPr>
      <w:tblGrid>
        <w:gridCol w:w="108"/>
        <w:gridCol w:w="3521"/>
        <w:gridCol w:w="2198"/>
        <w:gridCol w:w="3444"/>
      </w:tblGrid>
      <w:tr>
        <w:trPr>
          <w:trHeight w:val="507" w:hRule="atLeast"/>
        </w:trPr>
        <w:tc>
          <w:tcPr>
            <w:tcW w:w="108" w:type="dxa"/>
            <w:tcBorders>
              <w:right w:val="nil"/>
            </w:tcBorders>
            <w:shd w:val="clear" w:color="auto" w:fill="A7B1D3"/>
          </w:tcPr>
          <w:p>
            <w:pPr>
              <w:pStyle w:val="TableParagraph"/>
              <w:jc w:val="left"/>
              <w:rPr>
                <w:rFonts w:ascii="Times New Roman"/>
                <w:sz w:val="22"/>
              </w:rPr>
            </w:pPr>
          </w:p>
        </w:tc>
        <w:tc>
          <w:tcPr>
            <w:tcW w:w="9163" w:type="dxa"/>
            <w:gridSpan w:val="3"/>
            <w:tcBorders>
              <w:left w:val="nil"/>
            </w:tcBorders>
            <w:shd w:val="clear" w:color="auto" w:fill="A7B1D3"/>
          </w:tcPr>
          <w:p>
            <w:pPr>
              <w:pStyle w:val="TableParagraph"/>
              <w:spacing w:before="116"/>
              <w:ind w:left="9"/>
              <w:jc w:val="left"/>
              <w:rPr>
                <w:b/>
                <w:sz w:val="22"/>
              </w:rPr>
            </w:pPr>
            <w:r>
              <w:rPr>
                <w:b/>
                <w:sz w:val="22"/>
              </w:rPr>
              <w:t>Impact of accelerating Stage 2 personal income tax cuts</w:t>
            </w:r>
          </w:p>
        </w:tc>
      </w:tr>
      <w:tr>
        <w:trPr>
          <w:trHeight w:val="510" w:hRule="atLeast"/>
        </w:trPr>
        <w:tc>
          <w:tcPr>
            <w:tcW w:w="3629" w:type="dxa"/>
            <w:gridSpan w:val="2"/>
          </w:tcPr>
          <w:p>
            <w:pPr>
              <w:pStyle w:val="TableParagraph"/>
              <w:spacing w:before="119"/>
              <w:ind w:left="107"/>
              <w:jc w:val="left"/>
              <w:rPr>
                <w:sz w:val="22"/>
              </w:rPr>
            </w:pPr>
            <w:r>
              <w:rPr>
                <w:sz w:val="22"/>
              </w:rPr>
              <w:t>Person/party requesting the costing:</w:t>
            </w:r>
          </w:p>
        </w:tc>
        <w:tc>
          <w:tcPr>
            <w:tcW w:w="5642" w:type="dxa"/>
            <w:gridSpan w:val="2"/>
          </w:tcPr>
          <w:p>
            <w:pPr>
              <w:pStyle w:val="TableParagraph"/>
              <w:spacing w:before="119"/>
              <w:ind w:left="107"/>
              <w:jc w:val="left"/>
              <w:rPr>
                <w:sz w:val="22"/>
              </w:rPr>
            </w:pPr>
            <w:r>
              <w:rPr>
                <w:sz w:val="22"/>
              </w:rPr>
              <w:t>Mr Adam Bandt MP, Australian Greens</w:t>
            </w:r>
          </w:p>
        </w:tc>
      </w:tr>
      <w:tr>
        <w:trPr>
          <w:trHeight w:val="507" w:hRule="atLeast"/>
        </w:trPr>
        <w:tc>
          <w:tcPr>
            <w:tcW w:w="3629" w:type="dxa"/>
            <w:gridSpan w:val="2"/>
          </w:tcPr>
          <w:p>
            <w:pPr>
              <w:pStyle w:val="TableParagraph"/>
              <w:spacing w:before="116"/>
              <w:ind w:left="107"/>
              <w:jc w:val="left"/>
              <w:rPr>
                <w:sz w:val="22"/>
              </w:rPr>
            </w:pPr>
            <w:r>
              <w:rPr>
                <w:sz w:val="22"/>
              </w:rPr>
              <w:t>Date costing completed:</w:t>
            </w:r>
          </w:p>
        </w:tc>
        <w:tc>
          <w:tcPr>
            <w:tcW w:w="5642" w:type="dxa"/>
            <w:gridSpan w:val="2"/>
          </w:tcPr>
          <w:p>
            <w:pPr>
              <w:pStyle w:val="TableParagraph"/>
              <w:spacing w:before="116"/>
              <w:ind w:left="107"/>
              <w:jc w:val="left"/>
              <w:rPr>
                <w:sz w:val="22"/>
              </w:rPr>
            </w:pPr>
            <w:r>
              <w:rPr>
                <w:sz w:val="22"/>
              </w:rPr>
              <w:t>20 July 2020</w:t>
            </w:r>
          </w:p>
        </w:tc>
      </w:tr>
      <w:tr>
        <w:trPr>
          <w:trHeight w:val="507" w:hRule="atLeast"/>
        </w:trPr>
        <w:tc>
          <w:tcPr>
            <w:tcW w:w="3629" w:type="dxa"/>
            <w:gridSpan w:val="2"/>
          </w:tcPr>
          <w:p>
            <w:pPr>
              <w:pStyle w:val="TableParagraph"/>
              <w:spacing w:before="116"/>
              <w:ind w:left="107"/>
              <w:jc w:val="left"/>
              <w:rPr>
                <w:sz w:val="22"/>
              </w:rPr>
            </w:pPr>
            <w:r>
              <w:rPr>
                <w:sz w:val="22"/>
              </w:rPr>
              <w:t>Expiry date of the costing:</w:t>
            </w:r>
          </w:p>
        </w:tc>
        <w:tc>
          <w:tcPr>
            <w:tcW w:w="5642" w:type="dxa"/>
            <w:gridSpan w:val="2"/>
          </w:tcPr>
          <w:p>
            <w:pPr>
              <w:pStyle w:val="TableParagraph"/>
              <w:spacing w:before="116"/>
              <w:ind w:left="107"/>
              <w:jc w:val="left"/>
              <w:rPr>
                <w:sz w:val="22"/>
              </w:rPr>
            </w:pPr>
            <w:r>
              <w:rPr>
                <w:sz w:val="22"/>
              </w:rPr>
              <w:t>Release of the next economic and fiscal outlook report.</w:t>
            </w:r>
          </w:p>
        </w:tc>
      </w:tr>
      <w:tr>
        <w:trPr>
          <w:trHeight w:val="519" w:hRule="atLeast"/>
        </w:trPr>
        <w:tc>
          <w:tcPr>
            <w:tcW w:w="3629" w:type="dxa"/>
            <w:gridSpan w:val="2"/>
            <w:vMerge w:val="restart"/>
          </w:tcPr>
          <w:p>
            <w:pPr>
              <w:pStyle w:val="TableParagraph"/>
              <w:spacing w:before="116"/>
              <w:ind w:left="107"/>
              <w:jc w:val="left"/>
              <w:rPr>
                <w:sz w:val="22"/>
              </w:rPr>
            </w:pPr>
            <w:r>
              <w:rPr>
                <w:sz w:val="22"/>
              </w:rPr>
              <w:t>Status at time of request:</w:t>
            </w:r>
          </w:p>
        </w:tc>
        <w:tc>
          <w:tcPr>
            <w:tcW w:w="5642" w:type="dxa"/>
            <w:gridSpan w:val="2"/>
            <w:tcBorders>
              <w:bottom w:val="nil"/>
            </w:tcBorders>
          </w:tcPr>
          <w:p>
            <w:pPr>
              <w:pStyle w:val="TableParagraph"/>
              <w:spacing w:before="116"/>
              <w:ind w:left="107"/>
              <w:jc w:val="left"/>
              <w:rPr>
                <w:sz w:val="22"/>
              </w:rPr>
            </w:pPr>
            <w:r>
              <w:rPr>
                <w:sz w:val="22"/>
              </w:rPr>
              <w:t>Submitted outside the caretaker period</w:t>
            </w:r>
          </w:p>
        </w:tc>
      </w:tr>
      <w:tr>
        <w:trPr>
          <w:trHeight w:val="512" w:hRule="atLeast"/>
        </w:trPr>
        <w:tc>
          <w:tcPr>
            <w:tcW w:w="3629" w:type="dxa"/>
            <w:gridSpan w:val="2"/>
            <w:vMerge/>
            <w:tcBorders>
              <w:top w:val="nil"/>
            </w:tcBorders>
          </w:tcPr>
          <w:p>
            <w:pPr>
              <w:rPr>
                <w:sz w:val="2"/>
                <w:szCs w:val="2"/>
              </w:rPr>
            </w:pPr>
          </w:p>
        </w:tc>
        <w:tc>
          <w:tcPr>
            <w:tcW w:w="2198" w:type="dxa"/>
            <w:tcBorders>
              <w:top w:val="nil"/>
              <w:right w:val="nil"/>
            </w:tcBorders>
          </w:tcPr>
          <w:p>
            <w:pPr>
              <w:pStyle w:val="TableParagraph"/>
              <w:spacing w:before="108"/>
              <w:ind w:left="107"/>
              <w:jc w:val="left"/>
              <w:rPr>
                <w:sz w:val="22"/>
              </w:rPr>
            </w:pPr>
            <w:r>
              <w:rPr>
                <w:rFonts w:ascii="MS Gothic" w:hAnsi="MS Gothic"/>
                <w:sz w:val="22"/>
              </w:rPr>
              <w:t>☒</w:t>
            </w:r>
            <w:r>
              <w:rPr>
                <w:rFonts w:ascii="MS Gothic" w:hAnsi="MS Gothic"/>
                <w:spacing w:val="-64"/>
                <w:sz w:val="22"/>
              </w:rPr>
              <w:t> </w:t>
            </w:r>
            <w:r>
              <w:rPr>
                <w:sz w:val="22"/>
              </w:rPr>
              <w:t>Confidential</w:t>
            </w:r>
          </w:p>
        </w:tc>
        <w:tc>
          <w:tcPr>
            <w:tcW w:w="3444" w:type="dxa"/>
            <w:tcBorders>
              <w:top w:val="nil"/>
              <w:left w:val="nil"/>
            </w:tcBorders>
          </w:tcPr>
          <w:p>
            <w:pPr>
              <w:pStyle w:val="TableParagraph"/>
              <w:numPr>
                <w:ilvl w:val="0"/>
                <w:numId w:val="1"/>
              </w:numPr>
              <w:tabs>
                <w:tab w:pos="1023" w:val="left" w:leader="none"/>
              </w:tabs>
              <w:spacing w:line="240" w:lineRule="auto" w:before="108" w:after="0"/>
              <w:ind w:left="1022" w:right="0" w:hanging="270"/>
              <w:jc w:val="left"/>
              <w:rPr>
                <w:sz w:val="22"/>
              </w:rPr>
            </w:pPr>
            <w:r>
              <w:rPr>
                <w:sz w:val="22"/>
              </w:rPr>
              <w:t>Not</w:t>
            </w:r>
            <w:r>
              <w:rPr>
                <w:spacing w:val="-5"/>
                <w:sz w:val="22"/>
              </w:rPr>
              <w:t> </w:t>
            </w:r>
            <w:r>
              <w:rPr>
                <w:sz w:val="22"/>
              </w:rPr>
              <w:t>confidential</w:t>
            </w:r>
          </w:p>
        </w:tc>
      </w:tr>
      <w:tr>
        <w:trPr>
          <w:trHeight w:val="3795" w:hRule="atLeast"/>
        </w:trPr>
        <w:tc>
          <w:tcPr>
            <w:tcW w:w="9271" w:type="dxa"/>
            <w:gridSpan w:val="4"/>
          </w:tcPr>
          <w:p>
            <w:pPr>
              <w:pStyle w:val="TableParagraph"/>
              <w:spacing w:before="119"/>
              <w:ind w:left="107"/>
              <w:jc w:val="both"/>
              <w:rPr>
                <w:sz w:val="22"/>
              </w:rPr>
            </w:pPr>
            <w:r>
              <w:rPr>
                <w:sz w:val="22"/>
              </w:rPr>
              <w:t>Summary of proposal:</w:t>
            </w:r>
          </w:p>
          <w:p>
            <w:pPr>
              <w:pStyle w:val="TableParagraph"/>
              <w:spacing w:before="120"/>
              <w:ind w:left="107"/>
              <w:jc w:val="both"/>
              <w:rPr>
                <w:sz w:val="22"/>
              </w:rPr>
            </w:pPr>
            <w:r>
              <w:rPr>
                <w:sz w:val="22"/>
              </w:rPr>
              <w:t>This request involves four options.</w:t>
            </w:r>
          </w:p>
          <w:p>
            <w:pPr>
              <w:pStyle w:val="TableParagraph"/>
              <w:numPr>
                <w:ilvl w:val="0"/>
                <w:numId w:val="2"/>
              </w:numPr>
              <w:tabs>
                <w:tab w:pos="391" w:val="left" w:leader="none"/>
              </w:tabs>
              <w:spacing w:line="240" w:lineRule="auto" w:before="120" w:after="0"/>
              <w:ind w:left="390" w:right="750" w:hanging="283"/>
              <w:jc w:val="both"/>
              <w:rPr>
                <w:sz w:val="22"/>
              </w:rPr>
            </w:pPr>
            <w:r>
              <w:rPr>
                <w:sz w:val="22"/>
              </w:rPr>
              <w:t>Option</w:t>
            </w:r>
            <w:r>
              <w:rPr>
                <w:spacing w:val="-11"/>
                <w:sz w:val="22"/>
              </w:rPr>
              <w:t> </w:t>
            </w:r>
            <w:r>
              <w:rPr>
                <w:sz w:val="22"/>
              </w:rPr>
              <w:t>1:</w:t>
            </w:r>
            <w:r>
              <w:rPr>
                <w:spacing w:val="-6"/>
                <w:sz w:val="22"/>
              </w:rPr>
              <w:t> </w:t>
            </w:r>
            <w:r>
              <w:rPr>
                <w:sz w:val="22"/>
              </w:rPr>
              <w:t>Bring</w:t>
            </w:r>
            <w:r>
              <w:rPr>
                <w:spacing w:val="-9"/>
                <w:sz w:val="22"/>
              </w:rPr>
              <w:t> </w:t>
            </w:r>
            <w:r>
              <w:rPr>
                <w:sz w:val="22"/>
              </w:rPr>
              <w:t>forward</w:t>
            </w:r>
            <w:r>
              <w:rPr>
                <w:spacing w:val="-10"/>
                <w:sz w:val="22"/>
              </w:rPr>
              <w:t> </w:t>
            </w:r>
            <w:r>
              <w:rPr>
                <w:sz w:val="22"/>
              </w:rPr>
              <w:t>the</w:t>
            </w:r>
            <w:r>
              <w:rPr>
                <w:spacing w:val="-7"/>
                <w:sz w:val="22"/>
              </w:rPr>
              <w:t> </w:t>
            </w:r>
            <w:r>
              <w:rPr>
                <w:sz w:val="22"/>
              </w:rPr>
              <w:t>scheduled</w:t>
            </w:r>
            <w:r>
              <w:rPr>
                <w:spacing w:val="-8"/>
                <w:sz w:val="22"/>
              </w:rPr>
              <w:t> </w:t>
            </w:r>
            <w:r>
              <w:rPr>
                <w:sz w:val="22"/>
              </w:rPr>
              <w:t>personal</w:t>
            </w:r>
            <w:r>
              <w:rPr>
                <w:spacing w:val="-7"/>
                <w:sz w:val="22"/>
              </w:rPr>
              <w:t> </w:t>
            </w:r>
            <w:r>
              <w:rPr>
                <w:sz w:val="22"/>
              </w:rPr>
              <w:t>income</w:t>
            </w:r>
            <w:r>
              <w:rPr>
                <w:spacing w:val="-7"/>
                <w:sz w:val="22"/>
              </w:rPr>
              <w:t> </w:t>
            </w:r>
            <w:r>
              <w:rPr>
                <w:sz w:val="22"/>
              </w:rPr>
              <w:t>tax</w:t>
            </w:r>
            <w:r>
              <w:rPr>
                <w:spacing w:val="-9"/>
                <w:sz w:val="22"/>
              </w:rPr>
              <w:t> </w:t>
            </w:r>
            <w:r>
              <w:rPr>
                <w:sz w:val="22"/>
              </w:rPr>
              <w:t>cuts</w:t>
            </w:r>
            <w:r>
              <w:rPr>
                <w:spacing w:val="-7"/>
                <w:sz w:val="22"/>
              </w:rPr>
              <w:t> </w:t>
            </w:r>
            <w:r>
              <w:rPr>
                <w:sz w:val="22"/>
              </w:rPr>
              <w:t>beginning</w:t>
            </w:r>
            <w:r>
              <w:rPr>
                <w:spacing w:val="-10"/>
                <w:sz w:val="22"/>
              </w:rPr>
              <w:t> </w:t>
            </w:r>
            <w:r>
              <w:rPr>
                <w:sz w:val="22"/>
              </w:rPr>
              <w:t>on</w:t>
            </w:r>
            <w:r>
              <w:rPr>
                <w:spacing w:val="-10"/>
                <w:sz w:val="22"/>
              </w:rPr>
              <w:t> </w:t>
            </w:r>
            <w:r>
              <w:rPr>
                <w:sz w:val="22"/>
              </w:rPr>
              <w:t>1</w:t>
            </w:r>
            <w:r>
              <w:rPr>
                <w:spacing w:val="-7"/>
                <w:sz w:val="22"/>
              </w:rPr>
              <w:t> </w:t>
            </w:r>
            <w:r>
              <w:rPr>
                <w:sz w:val="22"/>
              </w:rPr>
              <w:t>July</w:t>
            </w:r>
            <w:r>
              <w:rPr>
                <w:spacing w:val="-9"/>
                <w:sz w:val="22"/>
              </w:rPr>
              <w:t> </w:t>
            </w:r>
            <w:r>
              <w:rPr>
                <w:sz w:val="22"/>
              </w:rPr>
              <w:t>2022</w:t>
            </w:r>
            <w:r>
              <w:rPr>
                <w:spacing w:val="-6"/>
                <w:sz w:val="22"/>
              </w:rPr>
              <w:t> </w:t>
            </w:r>
            <w:r>
              <w:rPr>
                <w:sz w:val="22"/>
              </w:rPr>
              <w:t>to 1</w:t>
            </w:r>
            <w:r>
              <w:rPr>
                <w:spacing w:val="-4"/>
                <w:sz w:val="22"/>
              </w:rPr>
              <w:t> </w:t>
            </w:r>
            <w:r>
              <w:rPr>
                <w:sz w:val="22"/>
              </w:rPr>
              <w:t>July</w:t>
            </w:r>
            <w:r>
              <w:rPr>
                <w:spacing w:val="-6"/>
                <w:sz w:val="22"/>
              </w:rPr>
              <w:t> </w:t>
            </w:r>
            <w:r>
              <w:rPr>
                <w:sz w:val="22"/>
              </w:rPr>
              <w:t>2021,</w:t>
            </w:r>
            <w:r>
              <w:rPr>
                <w:spacing w:val="-7"/>
                <w:sz w:val="22"/>
              </w:rPr>
              <w:t> </w:t>
            </w:r>
            <w:r>
              <w:rPr>
                <w:sz w:val="22"/>
              </w:rPr>
              <w:t>without</w:t>
            </w:r>
            <w:r>
              <w:rPr>
                <w:spacing w:val="-6"/>
                <w:sz w:val="22"/>
              </w:rPr>
              <w:t> </w:t>
            </w:r>
            <w:r>
              <w:rPr>
                <w:sz w:val="22"/>
              </w:rPr>
              <w:t>adjusting</w:t>
            </w:r>
            <w:r>
              <w:rPr>
                <w:spacing w:val="-5"/>
                <w:sz w:val="22"/>
              </w:rPr>
              <w:t> </w:t>
            </w:r>
            <w:r>
              <w:rPr>
                <w:sz w:val="22"/>
              </w:rPr>
              <w:t>the</w:t>
            </w:r>
            <w:r>
              <w:rPr>
                <w:spacing w:val="-5"/>
                <w:sz w:val="22"/>
              </w:rPr>
              <w:t> </w:t>
            </w:r>
            <w:r>
              <w:rPr>
                <w:sz w:val="22"/>
              </w:rPr>
              <w:t>end</w:t>
            </w:r>
            <w:r>
              <w:rPr>
                <w:spacing w:val="-5"/>
                <w:sz w:val="22"/>
              </w:rPr>
              <w:t> </w:t>
            </w:r>
            <w:r>
              <w:rPr>
                <w:sz w:val="22"/>
              </w:rPr>
              <w:t>date</w:t>
            </w:r>
            <w:r>
              <w:rPr>
                <w:spacing w:val="-6"/>
                <w:sz w:val="22"/>
              </w:rPr>
              <w:t> </w:t>
            </w:r>
            <w:r>
              <w:rPr>
                <w:sz w:val="22"/>
              </w:rPr>
              <w:t>of</w:t>
            </w:r>
            <w:r>
              <w:rPr>
                <w:spacing w:val="-7"/>
                <w:sz w:val="22"/>
              </w:rPr>
              <w:t> </w:t>
            </w:r>
            <w:r>
              <w:rPr>
                <w:sz w:val="22"/>
              </w:rPr>
              <w:t>the</w:t>
            </w:r>
            <w:r>
              <w:rPr>
                <w:spacing w:val="-4"/>
                <w:sz w:val="22"/>
              </w:rPr>
              <w:t> </w:t>
            </w:r>
            <w:r>
              <w:rPr>
                <w:sz w:val="22"/>
              </w:rPr>
              <w:t>low</w:t>
            </w:r>
            <w:r>
              <w:rPr>
                <w:spacing w:val="-4"/>
                <w:sz w:val="22"/>
              </w:rPr>
              <w:t> </w:t>
            </w:r>
            <w:r>
              <w:rPr>
                <w:sz w:val="22"/>
              </w:rPr>
              <w:t>and</w:t>
            </w:r>
            <w:r>
              <w:rPr>
                <w:spacing w:val="-9"/>
                <w:sz w:val="22"/>
              </w:rPr>
              <w:t> </w:t>
            </w:r>
            <w:r>
              <w:rPr>
                <w:sz w:val="22"/>
              </w:rPr>
              <w:t>middle</w:t>
            </w:r>
            <w:r>
              <w:rPr>
                <w:spacing w:val="-4"/>
                <w:sz w:val="22"/>
              </w:rPr>
              <w:t> </w:t>
            </w:r>
            <w:r>
              <w:rPr>
                <w:sz w:val="22"/>
              </w:rPr>
              <w:t>income</w:t>
            </w:r>
            <w:r>
              <w:rPr>
                <w:spacing w:val="-4"/>
                <w:sz w:val="22"/>
              </w:rPr>
              <w:t> </w:t>
            </w:r>
            <w:r>
              <w:rPr>
                <w:sz w:val="22"/>
              </w:rPr>
              <w:t>tax</w:t>
            </w:r>
            <w:r>
              <w:rPr>
                <w:spacing w:val="-4"/>
                <w:sz w:val="22"/>
              </w:rPr>
              <w:t> </w:t>
            </w:r>
            <w:r>
              <w:rPr>
                <w:sz w:val="22"/>
              </w:rPr>
              <w:t>offset.</w:t>
            </w:r>
          </w:p>
          <w:p>
            <w:pPr>
              <w:pStyle w:val="TableParagraph"/>
              <w:numPr>
                <w:ilvl w:val="0"/>
                <w:numId w:val="2"/>
              </w:numPr>
              <w:tabs>
                <w:tab w:pos="390" w:val="left" w:leader="none"/>
              </w:tabs>
              <w:spacing w:line="240" w:lineRule="auto" w:before="118" w:after="0"/>
              <w:ind w:left="390" w:right="750" w:hanging="284"/>
              <w:jc w:val="both"/>
              <w:rPr>
                <w:sz w:val="22"/>
              </w:rPr>
            </w:pPr>
            <w:r>
              <w:rPr>
                <w:sz w:val="22"/>
              </w:rPr>
              <w:t>Option</w:t>
            </w:r>
            <w:r>
              <w:rPr>
                <w:spacing w:val="-11"/>
                <w:sz w:val="22"/>
              </w:rPr>
              <w:t> </w:t>
            </w:r>
            <w:r>
              <w:rPr>
                <w:sz w:val="22"/>
              </w:rPr>
              <w:t>2:</w:t>
            </w:r>
            <w:r>
              <w:rPr>
                <w:spacing w:val="-6"/>
                <w:sz w:val="22"/>
              </w:rPr>
              <w:t> </w:t>
            </w:r>
            <w:r>
              <w:rPr>
                <w:sz w:val="22"/>
              </w:rPr>
              <w:t>Bring</w:t>
            </w:r>
            <w:r>
              <w:rPr>
                <w:spacing w:val="-9"/>
                <w:sz w:val="22"/>
              </w:rPr>
              <w:t> </w:t>
            </w:r>
            <w:r>
              <w:rPr>
                <w:sz w:val="22"/>
              </w:rPr>
              <w:t>forward</w:t>
            </w:r>
            <w:r>
              <w:rPr>
                <w:spacing w:val="-10"/>
                <w:sz w:val="22"/>
              </w:rPr>
              <w:t> </w:t>
            </w:r>
            <w:r>
              <w:rPr>
                <w:sz w:val="22"/>
              </w:rPr>
              <w:t>the</w:t>
            </w:r>
            <w:r>
              <w:rPr>
                <w:spacing w:val="-7"/>
                <w:sz w:val="22"/>
              </w:rPr>
              <w:t> </w:t>
            </w:r>
            <w:r>
              <w:rPr>
                <w:sz w:val="22"/>
              </w:rPr>
              <w:t>scheduled</w:t>
            </w:r>
            <w:r>
              <w:rPr>
                <w:spacing w:val="-8"/>
                <w:sz w:val="22"/>
              </w:rPr>
              <w:t> </w:t>
            </w:r>
            <w:r>
              <w:rPr>
                <w:sz w:val="22"/>
              </w:rPr>
              <w:t>personal</w:t>
            </w:r>
            <w:r>
              <w:rPr>
                <w:spacing w:val="-8"/>
                <w:sz w:val="22"/>
              </w:rPr>
              <w:t> </w:t>
            </w:r>
            <w:r>
              <w:rPr>
                <w:sz w:val="22"/>
              </w:rPr>
              <w:t>income</w:t>
            </w:r>
            <w:r>
              <w:rPr>
                <w:spacing w:val="-8"/>
                <w:sz w:val="22"/>
              </w:rPr>
              <w:t> </w:t>
            </w:r>
            <w:r>
              <w:rPr>
                <w:sz w:val="22"/>
              </w:rPr>
              <w:t>tax</w:t>
            </w:r>
            <w:r>
              <w:rPr>
                <w:spacing w:val="-9"/>
                <w:sz w:val="22"/>
              </w:rPr>
              <w:t> </w:t>
            </w:r>
            <w:r>
              <w:rPr>
                <w:sz w:val="22"/>
              </w:rPr>
              <w:t>cuts</w:t>
            </w:r>
            <w:r>
              <w:rPr>
                <w:spacing w:val="-7"/>
                <w:sz w:val="22"/>
              </w:rPr>
              <w:t> </w:t>
            </w:r>
            <w:r>
              <w:rPr>
                <w:sz w:val="22"/>
              </w:rPr>
              <w:t>beginning</w:t>
            </w:r>
            <w:r>
              <w:rPr>
                <w:spacing w:val="-10"/>
                <w:sz w:val="22"/>
              </w:rPr>
              <w:t> </w:t>
            </w:r>
            <w:r>
              <w:rPr>
                <w:sz w:val="22"/>
              </w:rPr>
              <w:t>on</w:t>
            </w:r>
            <w:r>
              <w:rPr>
                <w:spacing w:val="-10"/>
                <w:sz w:val="22"/>
              </w:rPr>
              <w:t> </w:t>
            </w:r>
            <w:r>
              <w:rPr>
                <w:sz w:val="22"/>
              </w:rPr>
              <w:t>1</w:t>
            </w:r>
            <w:r>
              <w:rPr>
                <w:spacing w:val="-6"/>
                <w:sz w:val="22"/>
              </w:rPr>
              <w:t> </w:t>
            </w:r>
            <w:r>
              <w:rPr>
                <w:sz w:val="22"/>
              </w:rPr>
              <w:t>July</w:t>
            </w:r>
            <w:r>
              <w:rPr>
                <w:spacing w:val="-9"/>
                <w:sz w:val="22"/>
              </w:rPr>
              <w:t> </w:t>
            </w:r>
            <w:r>
              <w:rPr>
                <w:sz w:val="22"/>
              </w:rPr>
              <w:t>2022</w:t>
            </w:r>
            <w:r>
              <w:rPr>
                <w:spacing w:val="-6"/>
                <w:sz w:val="22"/>
              </w:rPr>
              <w:t> </w:t>
            </w:r>
            <w:r>
              <w:rPr>
                <w:sz w:val="22"/>
              </w:rPr>
              <w:t>to 1</w:t>
            </w:r>
            <w:r>
              <w:rPr>
                <w:spacing w:val="-4"/>
                <w:sz w:val="22"/>
              </w:rPr>
              <w:t> </w:t>
            </w:r>
            <w:r>
              <w:rPr>
                <w:sz w:val="22"/>
              </w:rPr>
              <w:t>July</w:t>
            </w:r>
            <w:r>
              <w:rPr>
                <w:spacing w:val="-6"/>
                <w:sz w:val="22"/>
              </w:rPr>
              <w:t> </w:t>
            </w:r>
            <w:r>
              <w:rPr>
                <w:sz w:val="22"/>
              </w:rPr>
              <w:t>2020,</w:t>
            </w:r>
            <w:r>
              <w:rPr>
                <w:spacing w:val="-7"/>
                <w:sz w:val="22"/>
              </w:rPr>
              <w:t> </w:t>
            </w:r>
            <w:r>
              <w:rPr>
                <w:sz w:val="22"/>
              </w:rPr>
              <w:t>without</w:t>
            </w:r>
            <w:r>
              <w:rPr>
                <w:spacing w:val="-6"/>
                <w:sz w:val="22"/>
              </w:rPr>
              <w:t> </w:t>
            </w:r>
            <w:r>
              <w:rPr>
                <w:sz w:val="22"/>
              </w:rPr>
              <w:t>adjusting</w:t>
            </w:r>
            <w:r>
              <w:rPr>
                <w:spacing w:val="-5"/>
                <w:sz w:val="22"/>
              </w:rPr>
              <w:t> </w:t>
            </w:r>
            <w:r>
              <w:rPr>
                <w:sz w:val="22"/>
              </w:rPr>
              <w:t>the</w:t>
            </w:r>
            <w:r>
              <w:rPr>
                <w:spacing w:val="-5"/>
                <w:sz w:val="22"/>
              </w:rPr>
              <w:t> </w:t>
            </w:r>
            <w:r>
              <w:rPr>
                <w:sz w:val="22"/>
              </w:rPr>
              <w:t>end</w:t>
            </w:r>
            <w:r>
              <w:rPr>
                <w:spacing w:val="-5"/>
                <w:sz w:val="22"/>
              </w:rPr>
              <w:t> </w:t>
            </w:r>
            <w:r>
              <w:rPr>
                <w:sz w:val="22"/>
              </w:rPr>
              <w:t>date</w:t>
            </w:r>
            <w:r>
              <w:rPr>
                <w:spacing w:val="-6"/>
                <w:sz w:val="22"/>
              </w:rPr>
              <w:t> </w:t>
            </w:r>
            <w:r>
              <w:rPr>
                <w:sz w:val="22"/>
              </w:rPr>
              <w:t>of</w:t>
            </w:r>
            <w:r>
              <w:rPr>
                <w:spacing w:val="-7"/>
                <w:sz w:val="22"/>
              </w:rPr>
              <w:t> </w:t>
            </w:r>
            <w:r>
              <w:rPr>
                <w:sz w:val="22"/>
              </w:rPr>
              <w:t>the</w:t>
            </w:r>
            <w:r>
              <w:rPr>
                <w:spacing w:val="-4"/>
                <w:sz w:val="22"/>
              </w:rPr>
              <w:t> </w:t>
            </w:r>
            <w:r>
              <w:rPr>
                <w:sz w:val="22"/>
              </w:rPr>
              <w:t>low</w:t>
            </w:r>
            <w:r>
              <w:rPr>
                <w:spacing w:val="-4"/>
                <w:sz w:val="22"/>
              </w:rPr>
              <w:t> </w:t>
            </w:r>
            <w:r>
              <w:rPr>
                <w:sz w:val="22"/>
              </w:rPr>
              <w:t>and</w:t>
            </w:r>
            <w:r>
              <w:rPr>
                <w:spacing w:val="-9"/>
                <w:sz w:val="22"/>
              </w:rPr>
              <w:t> </w:t>
            </w:r>
            <w:r>
              <w:rPr>
                <w:sz w:val="22"/>
              </w:rPr>
              <w:t>middle</w:t>
            </w:r>
            <w:r>
              <w:rPr>
                <w:spacing w:val="-4"/>
                <w:sz w:val="22"/>
              </w:rPr>
              <w:t> </w:t>
            </w:r>
            <w:r>
              <w:rPr>
                <w:sz w:val="22"/>
              </w:rPr>
              <w:t>income</w:t>
            </w:r>
            <w:r>
              <w:rPr>
                <w:spacing w:val="-4"/>
                <w:sz w:val="22"/>
              </w:rPr>
              <w:t> </w:t>
            </w:r>
            <w:r>
              <w:rPr>
                <w:sz w:val="22"/>
              </w:rPr>
              <w:t>tax</w:t>
            </w:r>
            <w:r>
              <w:rPr>
                <w:spacing w:val="-4"/>
                <w:sz w:val="22"/>
              </w:rPr>
              <w:t> </w:t>
            </w:r>
            <w:r>
              <w:rPr>
                <w:sz w:val="22"/>
              </w:rPr>
              <w:t>offset.</w:t>
            </w:r>
          </w:p>
          <w:p>
            <w:pPr>
              <w:pStyle w:val="TableParagraph"/>
              <w:numPr>
                <w:ilvl w:val="0"/>
                <w:numId w:val="2"/>
              </w:numPr>
              <w:tabs>
                <w:tab w:pos="390" w:val="left" w:leader="none"/>
              </w:tabs>
              <w:spacing w:line="240" w:lineRule="auto" w:before="121" w:after="0"/>
              <w:ind w:left="389" w:right="747" w:hanging="283"/>
              <w:jc w:val="both"/>
              <w:rPr>
                <w:sz w:val="22"/>
              </w:rPr>
            </w:pPr>
            <w:r>
              <w:rPr>
                <w:sz w:val="22"/>
              </w:rPr>
              <w:t>Option</w:t>
            </w:r>
            <w:r>
              <w:rPr>
                <w:spacing w:val="-11"/>
                <w:sz w:val="22"/>
              </w:rPr>
              <w:t> </w:t>
            </w:r>
            <w:r>
              <w:rPr>
                <w:sz w:val="22"/>
              </w:rPr>
              <w:t>3:</w:t>
            </w:r>
            <w:r>
              <w:rPr>
                <w:spacing w:val="-6"/>
                <w:sz w:val="22"/>
              </w:rPr>
              <w:t> </w:t>
            </w:r>
            <w:r>
              <w:rPr>
                <w:sz w:val="22"/>
              </w:rPr>
              <w:t>Bring</w:t>
            </w:r>
            <w:r>
              <w:rPr>
                <w:spacing w:val="-8"/>
                <w:sz w:val="22"/>
              </w:rPr>
              <w:t> </w:t>
            </w:r>
            <w:r>
              <w:rPr>
                <w:sz w:val="22"/>
              </w:rPr>
              <w:t>forward</w:t>
            </w:r>
            <w:r>
              <w:rPr>
                <w:spacing w:val="-11"/>
                <w:sz w:val="22"/>
              </w:rPr>
              <w:t> </w:t>
            </w:r>
            <w:r>
              <w:rPr>
                <w:sz w:val="22"/>
              </w:rPr>
              <w:t>the</w:t>
            </w:r>
            <w:r>
              <w:rPr>
                <w:spacing w:val="-7"/>
                <w:sz w:val="22"/>
              </w:rPr>
              <w:t> </w:t>
            </w:r>
            <w:r>
              <w:rPr>
                <w:sz w:val="22"/>
              </w:rPr>
              <w:t>scheduled</w:t>
            </w:r>
            <w:r>
              <w:rPr>
                <w:spacing w:val="-8"/>
                <w:sz w:val="22"/>
              </w:rPr>
              <w:t> </w:t>
            </w:r>
            <w:r>
              <w:rPr>
                <w:sz w:val="22"/>
              </w:rPr>
              <w:t>personal</w:t>
            </w:r>
            <w:r>
              <w:rPr>
                <w:spacing w:val="-8"/>
                <w:sz w:val="22"/>
              </w:rPr>
              <w:t> </w:t>
            </w:r>
            <w:r>
              <w:rPr>
                <w:sz w:val="22"/>
              </w:rPr>
              <w:t>income</w:t>
            </w:r>
            <w:r>
              <w:rPr>
                <w:spacing w:val="-7"/>
                <w:sz w:val="22"/>
              </w:rPr>
              <w:t> </w:t>
            </w:r>
            <w:r>
              <w:rPr>
                <w:sz w:val="22"/>
              </w:rPr>
              <w:t>tax</w:t>
            </w:r>
            <w:r>
              <w:rPr>
                <w:spacing w:val="-9"/>
                <w:sz w:val="22"/>
              </w:rPr>
              <w:t> </w:t>
            </w:r>
            <w:r>
              <w:rPr>
                <w:sz w:val="22"/>
              </w:rPr>
              <w:t>cuts</w:t>
            </w:r>
            <w:r>
              <w:rPr>
                <w:spacing w:val="-7"/>
                <w:sz w:val="22"/>
              </w:rPr>
              <w:t> </w:t>
            </w:r>
            <w:r>
              <w:rPr>
                <w:sz w:val="22"/>
              </w:rPr>
              <w:t>beginning</w:t>
            </w:r>
            <w:r>
              <w:rPr>
                <w:spacing w:val="-10"/>
                <w:sz w:val="22"/>
              </w:rPr>
              <w:t> </w:t>
            </w:r>
            <w:r>
              <w:rPr>
                <w:sz w:val="22"/>
              </w:rPr>
              <w:t>on</w:t>
            </w:r>
            <w:r>
              <w:rPr>
                <w:spacing w:val="-11"/>
                <w:sz w:val="22"/>
              </w:rPr>
              <w:t> </w:t>
            </w:r>
            <w:r>
              <w:rPr>
                <w:sz w:val="22"/>
              </w:rPr>
              <w:t>1</w:t>
            </w:r>
            <w:r>
              <w:rPr>
                <w:spacing w:val="-5"/>
                <w:sz w:val="22"/>
              </w:rPr>
              <w:t> </w:t>
            </w:r>
            <w:r>
              <w:rPr>
                <w:sz w:val="22"/>
              </w:rPr>
              <w:t>July</w:t>
            </w:r>
            <w:r>
              <w:rPr>
                <w:spacing w:val="-9"/>
                <w:sz w:val="22"/>
              </w:rPr>
              <w:t> </w:t>
            </w:r>
            <w:r>
              <w:rPr>
                <w:sz w:val="22"/>
              </w:rPr>
              <w:t>2022</w:t>
            </w:r>
            <w:r>
              <w:rPr>
                <w:spacing w:val="-6"/>
                <w:sz w:val="22"/>
              </w:rPr>
              <w:t> </w:t>
            </w:r>
            <w:r>
              <w:rPr>
                <w:sz w:val="22"/>
              </w:rPr>
              <w:t>to 1</w:t>
            </w:r>
            <w:r>
              <w:rPr>
                <w:spacing w:val="-6"/>
                <w:sz w:val="22"/>
              </w:rPr>
              <w:t> </w:t>
            </w:r>
            <w:r>
              <w:rPr>
                <w:sz w:val="22"/>
              </w:rPr>
              <w:t>July</w:t>
            </w:r>
            <w:r>
              <w:rPr>
                <w:spacing w:val="-8"/>
                <w:sz w:val="22"/>
              </w:rPr>
              <w:t> </w:t>
            </w:r>
            <w:r>
              <w:rPr>
                <w:sz w:val="22"/>
              </w:rPr>
              <w:t>2021,</w:t>
            </w:r>
            <w:r>
              <w:rPr>
                <w:spacing w:val="-9"/>
                <w:sz w:val="22"/>
              </w:rPr>
              <w:t> </w:t>
            </w:r>
            <w:r>
              <w:rPr>
                <w:sz w:val="22"/>
              </w:rPr>
              <w:t>and</w:t>
            </w:r>
            <w:r>
              <w:rPr>
                <w:spacing w:val="-8"/>
                <w:sz w:val="22"/>
              </w:rPr>
              <w:t> </w:t>
            </w:r>
            <w:r>
              <w:rPr>
                <w:sz w:val="22"/>
              </w:rPr>
              <w:t>remove</w:t>
            </w:r>
            <w:r>
              <w:rPr>
                <w:spacing w:val="-8"/>
                <w:sz w:val="22"/>
              </w:rPr>
              <w:t> </w:t>
            </w:r>
            <w:r>
              <w:rPr>
                <w:sz w:val="22"/>
              </w:rPr>
              <w:t>the</w:t>
            </w:r>
            <w:r>
              <w:rPr>
                <w:spacing w:val="-6"/>
                <w:sz w:val="22"/>
              </w:rPr>
              <w:t> </w:t>
            </w:r>
            <w:r>
              <w:rPr>
                <w:sz w:val="22"/>
              </w:rPr>
              <w:t>low</w:t>
            </w:r>
            <w:r>
              <w:rPr>
                <w:spacing w:val="-7"/>
                <w:sz w:val="22"/>
              </w:rPr>
              <w:t> </w:t>
            </w:r>
            <w:r>
              <w:rPr>
                <w:sz w:val="22"/>
              </w:rPr>
              <w:t>and</w:t>
            </w:r>
            <w:r>
              <w:rPr>
                <w:spacing w:val="-7"/>
                <w:sz w:val="22"/>
              </w:rPr>
              <w:t> </w:t>
            </w:r>
            <w:r>
              <w:rPr>
                <w:sz w:val="22"/>
              </w:rPr>
              <w:t>middle</w:t>
            </w:r>
            <w:r>
              <w:rPr>
                <w:spacing w:val="-8"/>
                <w:sz w:val="22"/>
              </w:rPr>
              <w:t> </w:t>
            </w:r>
            <w:r>
              <w:rPr>
                <w:sz w:val="22"/>
              </w:rPr>
              <w:t>income</w:t>
            </w:r>
            <w:r>
              <w:rPr>
                <w:spacing w:val="-9"/>
                <w:sz w:val="22"/>
              </w:rPr>
              <w:t> </w:t>
            </w:r>
            <w:r>
              <w:rPr>
                <w:sz w:val="22"/>
              </w:rPr>
              <w:t>tax</w:t>
            </w:r>
            <w:r>
              <w:rPr>
                <w:spacing w:val="-6"/>
                <w:sz w:val="22"/>
              </w:rPr>
              <w:t> </w:t>
            </w:r>
            <w:r>
              <w:rPr>
                <w:sz w:val="22"/>
              </w:rPr>
              <w:t>offset</w:t>
            </w:r>
            <w:r>
              <w:rPr>
                <w:spacing w:val="-8"/>
                <w:sz w:val="22"/>
              </w:rPr>
              <w:t> </w:t>
            </w:r>
            <w:r>
              <w:rPr>
                <w:sz w:val="22"/>
              </w:rPr>
              <w:t>for</w:t>
            </w:r>
            <w:r>
              <w:rPr>
                <w:spacing w:val="-7"/>
                <w:sz w:val="22"/>
              </w:rPr>
              <w:t> </w:t>
            </w:r>
            <w:r>
              <w:rPr>
                <w:spacing w:val="-2"/>
                <w:sz w:val="22"/>
              </w:rPr>
              <w:t>the</w:t>
            </w:r>
            <w:r>
              <w:rPr>
                <w:spacing w:val="-6"/>
                <w:sz w:val="22"/>
              </w:rPr>
              <w:t> </w:t>
            </w:r>
            <w:r>
              <w:rPr>
                <w:sz w:val="22"/>
              </w:rPr>
              <w:t>2021-22</w:t>
            </w:r>
            <w:r>
              <w:rPr>
                <w:spacing w:val="-5"/>
                <w:sz w:val="22"/>
              </w:rPr>
              <w:t> </w:t>
            </w:r>
            <w:r>
              <w:rPr>
                <w:sz w:val="22"/>
              </w:rPr>
              <w:t>income</w:t>
            </w:r>
            <w:r>
              <w:rPr>
                <w:spacing w:val="-9"/>
                <w:sz w:val="22"/>
              </w:rPr>
              <w:t> </w:t>
            </w:r>
            <w:r>
              <w:rPr>
                <w:sz w:val="22"/>
              </w:rPr>
              <w:t>year.</w:t>
            </w:r>
          </w:p>
          <w:p>
            <w:pPr>
              <w:pStyle w:val="TableParagraph"/>
              <w:numPr>
                <w:ilvl w:val="0"/>
                <w:numId w:val="2"/>
              </w:numPr>
              <w:tabs>
                <w:tab w:pos="389" w:val="left" w:leader="none"/>
              </w:tabs>
              <w:spacing w:line="240" w:lineRule="auto" w:before="120" w:after="0"/>
              <w:ind w:left="387" w:right="752" w:hanging="283"/>
              <w:jc w:val="both"/>
              <w:rPr>
                <w:sz w:val="22"/>
              </w:rPr>
            </w:pPr>
            <w:r>
              <w:rPr>
                <w:sz w:val="22"/>
              </w:rPr>
              <w:t>Option</w:t>
            </w:r>
            <w:r>
              <w:rPr>
                <w:spacing w:val="-11"/>
                <w:sz w:val="22"/>
              </w:rPr>
              <w:t> </w:t>
            </w:r>
            <w:r>
              <w:rPr>
                <w:sz w:val="22"/>
              </w:rPr>
              <w:t>4:</w:t>
            </w:r>
            <w:r>
              <w:rPr>
                <w:spacing w:val="-6"/>
                <w:sz w:val="22"/>
              </w:rPr>
              <w:t> </w:t>
            </w:r>
            <w:r>
              <w:rPr>
                <w:sz w:val="22"/>
              </w:rPr>
              <w:t>Bring</w:t>
            </w:r>
            <w:r>
              <w:rPr>
                <w:spacing w:val="-9"/>
                <w:sz w:val="22"/>
              </w:rPr>
              <w:t> </w:t>
            </w:r>
            <w:r>
              <w:rPr>
                <w:sz w:val="22"/>
              </w:rPr>
              <w:t>forward</w:t>
            </w:r>
            <w:r>
              <w:rPr>
                <w:spacing w:val="-10"/>
                <w:sz w:val="22"/>
              </w:rPr>
              <w:t> </w:t>
            </w:r>
            <w:r>
              <w:rPr>
                <w:sz w:val="22"/>
              </w:rPr>
              <w:t>the</w:t>
            </w:r>
            <w:r>
              <w:rPr>
                <w:spacing w:val="-7"/>
                <w:sz w:val="22"/>
              </w:rPr>
              <w:t> </w:t>
            </w:r>
            <w:r>
              <w:rPr>
                <w:sz w:val="22"/>
              </w:rPr>
              <w:t>scheduled</w:t>
            </w:r>
            <w:r>
              <w:rPr>
                <w:spacing w:val="-8"/>
                <w:sz w:val="22"/>
              </w:rPr>
              <w:t> </w:t>
            </w:r>
            <w:r>
              <w:rPr>
                <w:sz w:val="22"/>
              </w:rPr>
              <w:t>personal</w:t>
            </w:r>
            <w:r>
              <w:rPr>
                <w:spacing w:val="-8"/>
                <w:sz w:val="22"/>
              </w:rPr>
              <w:t> </w:t>
            </w:r>
            <w:r>
              <w:rPr>
                <w:sz w:val="22"/>
              </w:rPr>
              <w:t>income</w:t>
            </w:r>
            <w:r>
              <w:rPr>
                <w:spacing w:val="-8"/>
                <w:sz w:val="22"/>
              </w:rPr>
              <w:t> </w:t>
            </w:r>
            <w:r>
              <w:rPr>
                <w:sz w:val="22"/>
              </w:rPr>
              <w:t>tax</w:t>
            </w:r>
            <w:r>
              <w:rPr>
                <w:spacing w:val="-9"/>
                <w:sz w:val="22"/>
              </w:rPr>
              <w:t> </w:t>
            </w:r>
            <w:r>
              <w:rPr>
                <w:sz w:val="22"/>
              </w:rPr>
              <w:t>cuts</w:t>
            </w:r>
            <w:r>
              <w:rPr>
                <w:spacing w:val="-7"/>
                <w:sz w:val="22"/>
              </w:rPr>
              <w:t> </w:t>
            </w:r>
            <w:r>
              <w:rPr>
                <w:sz w:val="22"/>
              </w:rPr>
              <w:t>beginning</w:t>
            </w:r>
            <w:r>
              <w:rPr>
                <w:spacing w:val="-10"/>
                <w:sz w:val="22"/>
              </w:rPr>
              <w:t> </w:t>
            </w:r>
            <w:r>
              <w:rPr>
                <w:sz w:val="22"/>
              </w:rPr>
              <w:t>on</w:t>
            </w:r>
            <w:r>
              <w:rPr>
                <w:spacing w:val="-10"/>
                <w:sz w:val="22"/>
              </w:rPr>
              <w:t> </w:t>
            </w:r>
            <w:r>
              <w:rPr>
                <w:sz w:val="22"/>
              </w:rPr>
              <w:t>1</w:t>
            </w:r>
            <w:r>
              <w:rPr>
                <w:spacing w:val="-6"/>
                <w:sz w:val="22"/>
              </w:rPr>
              <w:t> </w:t>
            </w:r>
            <w:r>
              <w:rPr>
                <w:sz w:val="22"/>
              </w:rPr>
              <w:t>July</w:t>
            </w:r>
            <w:r>
              <w:rPr>
                <w:spacing w:val="-9"/>
                <w:sz w:val="22"/>
              </w:rPr>
              <w:t> </w:t>
            </w:r>
            <w:r>
              <w:rPr>
                <w:sz w:val="22"/>
              </w:rPr>
              <w:t>2022</w:t>
            </w:r>
            <w:r>
              <w:rPr>
                <w:spacing w:val="-6"/>
                <w:sz w:val="22"/>
              </w:rPr>
              <w:t> </w:t>
            </w:r>
            <w:r>
              <w:rPr>
                <w:sz w:val="22"/>
              </w:rPr>
              <w:t>to 1</w:t>
            </w:r>
            <w:r>
              <w:rPr>
                <w:spacing w:val="-6"/>
                <w:sz w:val="22"/>
              </w:rPr>
              <w:t> </w:t>
            </w:r>
            <w:r>
              <w:rPr>
                <w:sz w:val="22"/>
              </w:rPr>
              <w:t>July</w:t>
            </w:r>
            <w:r>
              <w:rPr>
                <w:spacing w:val="-7"/>
                <w:sz w:val="22"/>
              </w:rPr>
              <w:t> </w:t>
            </w:r>
            <w:r>
              <w:rPr>
                <w:sz w:val="22"/>
              </w:rPr>
              <w:t>2020,</w:t>
            </w:r>
            <w:r>
              <w:rPr>
                <w:spacing w:val="-9"/>
                <w:sz w:val="22"/>
              </w:rPr>
              <w:t> </w:t>
            </w:r>
            <w:r>
              <w:rPr>
                <w:sz w:val="22"/>
              </w:rPr>
              <w:t>and</w:t>
            </w:r>
            <w:r>
              <w:rPr>
                <w:spacing w:val="-7"/>
                <w:sz w:val="22"/>
              </w:rPr>
              <w:t> </w:t>
            </w:r>
            <w:r>
              <w:rPr>
                <w:sz w:val="22"/>
              </w:rPr>
              <w:t>remove</w:t>
            </w:r>
            <w:r>
              <w:rPr>
                <w:spacing w:val="-8"/>
                <w:sz w:val="22"/>
              </w:rPr>
              <w:t> </w:t>
            </w:r>
            <w:r>
              <w:rPr>
                <w:sz w:val="22"/>
              </w:rPr>
              <w:t>the</w:t>
            </w:r>
            <w:r>
              <w:rPr>
                <w:spacing w:val="-6"/>
                <w:sz w:val="22"/>
              </w:rPr>
              <w:t> </w:t>
            </w:r>
            <w:r>
              <w:rPr>
                <w:sz w:val="22"/>
              </w:rPr>
              <w:t>low</w:t>
            </w:r>
            <w:r>
              <w:rPr>
                <w:spacing w:val="-6"/>
                <w:sz w:val="22"/>
              </w:rPr>
              <w:t> </w:t>
            </w:r>
            <w:r>
              <w:rPr>
                <w:sz w:val="22"/>
              </w:rPr>
              <w:t>and</w:t>
            </w:r>
            <w:r>
              <w:rPr>
                <w:spacing w:val="-7"/>
                <w:sz w:val="22"/>
              </w:rPr>
              <w:t> </w:t>
            </w:r>
            <w:r>
              <w:rPr>
                <w:sz w:val="22"/>
              </w:rPr>
              <w:t>middle</w:t>
            </w:r>
            <w:r>
              <w:rPr>
                <w:spacing w:val="-8"/>
                <w:sz w:val="22"/>
              </w:rPr>
              <w:t> </w:t>
            </w:r>
            <w:r>
              <w:rPr>
                <w:sz w:val="22"/>
              </w:rPr>
              <w:t>income</w:t>
            </w:r>
            <w:r>
              <w:rPr>
                <w:spacing w:val="-7"/>
                <w:sz w:val="22"/>
              </w:rPr>
              <w:t> </w:t>
            </w:r>
            <w:r>
              <w:rPr>
                <w:sz w:val="22"/>
              </w:rPr>
              <w:t>tax</w:t>
            </w:r>
            <w:r>
              <w:rPr>
                <w:spacing w:val="-6"/>
                <w:sz w:val="22"/>
              </w:rPr>
              <w:t> </w:t>
            </w:r>
            <w:r>
              <w:rPr>
                <w:sz w:val="22"/>
              </w:rPr>
              <w:t>offset</w:t>
            </w:r>
            <w:r>
              <w:rPr>
                <w:spacing w:val="-8"/>
                <w:sz w:val="22"/>
              </w:rPr>
              <w:t> </w:t>
            </w:r>
            <w:r>
              <w:rPr>
                <w:sz w:val="22"/>
              </w:rPr>
              <w:t>for</w:t>
            </w:r>
            <w:r>
              <w:rPr>
                <w:spacing w:val="-6"/>
                <w:sz w:val="22"/>
              </w:rPr>
              <w:t> </w:t>
            </w:r>
            <w:r>
              <w:rPr>
                <w:spacing w:val="-2"/>
                <w:sz w:val="22"/>
              </w:rPr>
              <w:t>the</w:t>
            </w:r>
            <w:r>
              <w:rPr>
                <w:spacing w:val="-6"/>
                <w:sz w:val="22"/>
              </w:rPr>
              <w:t> </w:t>
            </w:r>
            <w:r>
              <w:rPr>
                <w:sz w:val="22"/>
              </w:rPr>
              <w:t>2020-21</w:t>
            </w:r>
            <w:r>
              <w:rPr>
                <w:spacing w:val="-8"/>
                <w:sz w:val="22"/>
              </w:rPr>
              <w:t> </w:t>
            </w:r>
            <w:r>
              <w:rPr>
                <w:sz w:val="22"/>
              </w:rPr>
              <w:t>and</w:t>
            </w:r>
            <w:r>
              <w:rPr>
                <w:spacing w:val="-7"/>
                <w:sz w:val="22"/>
              </w:rPr>
              <w:t> </w:t>
            </w:r>
            <w:r>
              <w:rPr>
                <w:sz w:val="22"/>
              </w:rPr>
              <w:t>2021-22 income</w:t>
            </w:r>
            <w:r>
              <w:rPr>
                <w:spacing w:val="-5"/>
                <w:sz w:val="22"/>
              </w:rPr>
              <w:t> </w:t>
            </w:r>
            <w:r>
              <w:rPr>
                <w:sz w:val="22"/>
              </w:rPr>
              <w:t>years.</w:t>
            </w:r>
          </w:p>
        </w:tc>
      </w:tr>
    </w:tbl>
    <w:p>
      <w:pPr>
        <w:pStyle w:val="BodyText"/>
        <w:spacing w:before="3"/>
        <w:rPr>
          <w:sz w:val="29"/>
        </w:rPr>
      </w:pPr>
    </w:p>
    <w:p>
      <w:pPr>
        <w:pStyle w:val="Heading1"/>
      </w:pPr>
      <w:r>
        <w:rPr>
          <w:color w:val="3C4D7C"/>
        </w:rPr>
        <w:t>Costing overview</w:t>
      </w:r>
    </w:p>
    <w:p>
      <w:pPr>
        <w:spacing w:line="268" w:lineRule="auto" w:before="214"/>
        <w:ind w:left="657" w:right="686" w:firstLine="0"/>
        <w:jc w:val="both"/>
        <w:rPr>
          <w:sz w:val="22"/>
        </w:rPr>
      </w:pPr>
      <w:r>
        <w:rPr>
          <w:sz w:val="22"/>
        </w:rPr>
        <w:t>The</w:t>
      </w:r>
      <w:r>
        <w:rPr>
          <w:spacing w:val="-9"/>
          <w:sz w:val="22"/>
        </w:rPr>
        <w:t> </w:t>
      </w:r>
      <w:r>
        <w:rPr>
          <w:sz w:val="22"/>
        </w:rPr>
        <w:t>2018-19</w:t>
      </w:r>
      <w:r>
        <w:rPr>
          <w:spacing w:val="-7"/>
          <w:sz w:val="22"/>
        </w:rPr>
        <w:t> </w:t>
      </w:r>
      <w:r>
        <w:rPr>
          <w:sz w:val="22"/>
        </w:rPr>
        <w:t>Budget</w:t>
      </w:r>
      <w:r>
        <w:rPr>
          <w:spacing w:val="-10"/>
          <w:sz w:val="22"/>
        </w:rPr>
        <w:t> </w:t>
      </w:r>
      <w:r>
        <w:rPr>
          <w:sz w:val="22"/>
        </w:rPr>
        <w:t>measure</w:t>
      </w:r>
      <w:r>
        <w:rPr>
          <w:spacing w:val="-10"/>
          <w:sz w:val="22"/>
        </w:rPr>
        <w:t> </w:t>
      </w:r>
      <w:r>
        <w:rPr>
          <w:i/>
          <w:sz w:val="22"/>
        </w:rPr>
        <w:t>Personal</w:t>
      </w:r>
      <w:r>
        <w:rPr>
          <w:i/>
          <w:spacing w:val="-10"/>
          <w:sz w:val="22"/>
        </w:rPr>
        <w:t> </w:t>
      </w:r>
      <w:r>
        <w:rPr>
          <w:i/>
          <w:sz w:val="22"/>
        </w:rPr>
        <w:t>income</w:t>
      </w:r>
      <w:r>
        <w:rPr>
          <w:i/>
          <w:spacing w:val="-11"/>
          <w:sz w:val="22"/>
        </w:rPr>
        <w:t> </w:t>
      </w:r>
      <w:r>
        <w:rPr>
          <w:i/>
          <w:sz w:val="22"/>
        </w:rPr>
        <w:t>tax</w:t>
      </w:r>
      <w:r>
        <w:rPr>
          <w:i/>
          <w:spacing w:val="-8"/>
          <w:sz w:val="22"/>
        </w:rPr>
        <w:t> </w:t>
      </w:r>
      <w:r>
        <w:rPr>
          <w:i/>
          <w:sz w:val="22"/>
        </w:rPr>
        <w:t>plan</w:t>
      </w:r>
      <w:r>
        <w:rPr>
          <w:i/>
          <w:spacing w:val="-8"/>
          <w:sz w:val="22"/>
        </w:rPr>
        <w:t> </w:t>
      </w:r>
      <w:r>
        <w:rPr>
          <w:sz w:val="22"/>
        </w:rPr>
        <w:t>and</w:t>
      </w:r>
      <w:r>
        <w:rPr>
          <w:spacing w:val="-9"/>
          <w:sz w:val="22"/>
        </w:rPr>
        <w:t> </w:t>
      </w:r>
      <w:r>
        <w:rPr>
          <w:sz w:val="22"/>
        </w:rPr>
        <w:t>the</w:t>
      </w:r>
      <w:r>
        <w:rPr>
          <w:spacing w:val="-11"/>
          <w:sz w:val="22"/>
        </w:rPr>
        <w:t> </w:t>
      </w:r>
      <w:r>
        <w:rPr>
          <w:sz w:val="22"/>
        </w:rPr>
        <w:t>2019-20</w:t>
      </w:r>
      <w:r>
        <w:rPr>
          <w:spacing w:val="-7"/>
          <w:sz w:val="22"/>
        </w:rPr>
        <w:t> </w:t>
      </w:r>
      <w:r>
        <w:rPr>
          <w:sz w:val="22"/>
        </w:rPr>
        <w:t>Budget</w:t>
      </w:r>
      <w:r>
        <w:rPr>
          <w:spacing w:val="-10"/>
          <w:sz w:val="22"/>
        </w:rPr>
        <w:t> </w:t>
      </w:r>
      <w:r>
        <w:rPr>
          <w:sz w:val="22"/>
        </w:rPr>
        <w:t>measure</w:t>
      </w:r>
      <w:r>
        <w:rPr>
          <w:spacing w:val="-10"/>
          <w:sz w:val="22"/>
        </w:rPr>
        <w:t> </w:t>
      </w:r>
      <w:r>
        <w:rPr>
          <w:i/>
          <w:sz w:val="22"/>
        </w:rPr>
        <w:t>Lower</w:t>
      </w:r>
      <w:r>
        <w:rPr>
          <w:i/>
          <w:spacing w:val="-8"/>
          <w:sz w:val="22"/>
        </w:rPr>
        <w:t> </w:t>
      </w:r>
      <w:r>
        <w:rPr>
          <w:i/>
          <w:sz w:val="22"/>
        </w:rPr>
        <w:t>taxes </w:t>
      </w:r>
      <w:r>
        <w:rPr>
          <w:i/>
          <w:sz w:val="22"/>
        </w:rPr>
        <w:t>for</w:t>
      </w:r>
      <w:r>
        <w:rPr>
          <w:i/>
          <w:spacing w:val="-8"/>
          <w:sz w:val="22"/>
        </w:rPr>
        <w:t> </w:t>
      </w:r>
      <w:r>
        <w:rPr>
          <w:i/>
          <w:sz w:val="22"/>
        </w:rPr>
        <w:t>hard-working</w:t>
      </w:r>
      <w:r>
        <w:rPr>
          <w:i/>
          <w:spacing w:val="-9"/>
          <w:sz w:val="22"/>
        </w:rPr>
        <w:t> </w:t>
      </w:r>
      <w:r>
        <w:rPr>
          <w:i/>
          <w:sz w:val="22"/>
        </w:rPr>
        <w:t>Australians:</w:t>
      </w:r>
      <w:r>
        <w:rPr>
          <w:i/>
          <w:spacing w:val="-8"/>
          <w:sz w:val="22"/>
        </w:rPr>
        <w:t> </w:t>
      </w:r>
      <w:r>
        <w:rPr>
          <w:i/>
          <w:sz w:val="22"/>
        </w:rPr>
        <w:t>Building</w:t>
      </w:r>
      <w:r>
        <w:rPr>
          <w:i/>
          <w:spacing w:val="-9"/>
          <w:sz w:val="22"/>
        </w:rPr>
        <w:t> </w:t>
      </w:r>
      <w:r>
        <w:rPr>
          <w:i/>
          <w:sz w:val="22"/>
        </w:rPr>
        <w:t>on</w:t>
      </w:r>
      <w:r>
        <w:rPr>
          <w:i/>
          <w:spacing w:val="-11"/>
          <w:sz w:val="22"/>
        </w:rPr>
        <w:t> </w:t>
      </w:r>
      <w:r>
        <w:rPr>
          <w:i/>
          <w:sz w:val="22"/>
        </w:rPr>
        <w:t>the</w:t>
      </w:r>
      <w:r>
        <w:rPr>
          <w:i/>
          <w:spacing w:val="-8"/>
          <w:sz w:val="22"/>
        </w:rPr>
        <w:t> </w:t>
      </w:r>
      <w:r>
        <w:rPr>
          <w:i/>
          <w:sz w:val="22"/>
        </w:rPr>
        <w:t>Personal</w:t>
      </w:r>
      <w:r>
        <w:rPr>
          <w:i/>
          <w:spacing w:val="-8"/>
          <w:sz w:val="22"/>
        </w:rPr>
        <w:t> </w:t>
      </w:r>
      <w:r>
        <w:rPr>
          <w:i/>
          <w:sz w:val="22"/>
        </w:rPr>
        <w:t>Income</w:t>
      </w:r>
      <w:r>
        <w:rPr>
          <w:i/>
          <w:spacing w:val="-11"/>
          <w:sz w:val="22"/>
        </w:rPr>
        <w:t> </w:t>
      </w:r>
      <w:r>
        <w:rPr>
          <w:i/>
          <w:sz w:val="22"/>
        </w:rPr>
        <w:t>Tax</w:t>
      </w:r>
      <w:r>
        <w:rPr>
          <w:i/>
          <w:spacing w:val="-10"/>
          <w:sz w:val="22"/>
        </w:rPr>
        <w:t> </w:t>
      </w:r>
      <w:r>
        <w:rPr>
          <w:i/>
          <w:sz w:val="22"/>
        </w:rPr>
        <w:t>Plan</w:t>
      </w:r>
      <w:r>
        <w:rPr>
          <w:i/>
          <w:spacing w:val="-9"/>
          <w:sz w:val="22"/>
        </w:rPr>
        <w:t> </w:t>
      </w:r>
      <w:r>
        <w:rPr>
          <w:sz w:val="22"/>
        </w:rPr>
        <w:t>include</w:t>
      </w:r>
      <w:r>
        <w:rPr>
          <w:spacing w:val="-9"/>
          <w:sz w:val="22"/>
        </w:rPr>
        <w:t> </w:t>
      </w:r>
      <w:r>
        <w:rPr>
          <w:spacing w:val="-3"/>
          <w:sz w:val="22"/>
        </w:rPr>
        <w:t>four</w:t>
      </w:r>
      <w:r>
        <w:rPr>
          <w:spacing w:val="-9"/>
          <w:sz w:val="22"/>
        </w:rPr>
        <w:t> </w:t>
      </w:r>
      <w:r>
        <w:rPr>
          <w:sz w:val="22"/>
        </w:rPr>
        <w:t>components</w:t>
      </w:r>
      <w:r>
        <w:rPr>
          <w:spacing w:val="-8"/>
          <w:sz w:val="22"/>
        </w:rPr>
        <w:t> </w:t>
      </w:r>
      <w:r>
        <w:rPr>
          <w:sz w:val="22"/>
        </w:rPr>
        <w:t>that are scheduled to begin on 1 July</w:t>
      </w:r>
      <w:r>
        <w:rPr>
          <w:spacing w:val="-19"/>
          <w:sz w:val="22"/>
        </w:rPr>
        <w:t> </w:t>
      </w:r>
      <w:r>
        <w:rPr>
          <w:sz w:val="22"/>
        </w:rPr>
        <w:t>2022.</w:t>
      </w:r>
    </w:p>
    <w:p>
      <w:pPr>
        <w:pStyle w:val="ListParagraph"/>
        <w:numPr>
          <w:ilvl w:val="0"/>
          <w:numId w:val="3"/>
        </w:numPr>
        <w:tabs>
          <w:tab w:pos="941" w:val="left" w:leader="none"/>
        </w:tabs>
        <w:spacing w:line="240" w:lineRule="auto" w:before="84" w:after="0"/>
        <w:ind w:left="940" w:right="0" w:hanging="284"/>
        <w:jc w:val="left"/>
        <w:rPr>
          <w:sz w:val="22"/>
        </w:rPr>
      </w:pPr>
      <w:r>
        <w:rPr>
          <w:sz w:val="22"/>
        </w:rPr>
        <w:t>Increase</w:t>
      </w:r>
      <w:r>
        <w:rPr>
          <w:spacing w:val="-7"/>
          <w:sz w:val="22"/>
        </w:rPr>
        <w:t> </w:t>
      </w:r>
      <w:r>
        <w:rPr>
          <w:sz w:val="22"/>
        </w:rPr>
        <w:t>the</w:t>
      </w:r>
      <w:r>
        <w:rPr>
          <w:spacing w:val="-4"/>
          <w:sz w:val="22"/>
        </w:rPr>
        <w:t> </w:t>
      </w:r>
      <w:r>
        <w:rPr>
          <w:sz w:val="22"/>
        </w:rPr>
        <w:t>upper</w:t>
      </w:r>
      <w:r>
        <w:rPr>
          <w:spacing w:val="-5"/>
          <w:sz w:val="22"/>
        </w:rPr>
        <w:t> </w:t>
      </w:r>
      <w:r>
        <w:rPr>
          <w:sz w:val="22"/>
        </w:rPr>
        <w:t>threshold</w:t>
      </w:r>
      <w:r>
        <w:rPr>
          <w:spacing w:val="-3"/>
          <w:sz w:val="22"/>
        </w:rPr>
        <w:t> </w:t>
      </w:r>
      <w:r>
        <w:rPr>
          <w:sz w:val="22"/>
        </w:rPr>
        <w:t>for</w:t>
      </w:r>
      <w:r>
        <w:rPr>
          <w:spacing w:val="-5"/>
          <w:sz w:val="22"/>
        </w:rPr>
        <w:t> </w:t>
      </w:r>
      <w:r>
        <w:rPr>
          <w:sz w:val="22"/>
        </w:rPr>
        <w:t>the</w:t>
      </w:r>
      <w:r>
        <w:rPr>
          <w:spacing w:val="-6"/>
          <w:sz w:val="22"/>
        </w:rPr>
        <w:t> </w:t>
      </w:r>
      <w:r>
        <w:rPr>
          <w:sz w:val="22"/>
        </w:rPr>
        <w:t>32.5</w:t>
      </w:r>
      <w:r>
        <w:rPr>
          <w:spacing w:val="-3"/>
          <w:sz w:val="22"/>
        </w:rPr>
        <w:t> </w:t>
      </w:r>
      <w:r>
        <w:rPr>
          <w:sz w:val="22"/>
        </w:rPr>
        <w:t>per</w:t>
      </w:r>
      <w:r>
        <w:rPr>
          <w:spacing w:val="-8"/>
          <w:sz w:val="22"/>
        </w:rPr>
        <w:t> </w:t>
      </w:r>
      <w:r>
        <w:rPr>
          <w:sz w:val="22"/>
        </w:rPr>
        <w:t>cent</w:t>
      </w:r>
      <w:r>
        <w:rPr>
          <w:spacing w:val="-4"/>
          <w:sz w:val="22"/>
        </w:rPr>
        <w:t> </w:t>
      </w:r>
      <w:r>
        <w:rPr>
          <w:sz w:val="22"/>
        </w:rPr>
        <w:t>marginal</w:t>
      </w:r>
      <w:r>
        <w:rPr>
          <w:spacing w:val="-4"/>
          <w:sz w:val="22"/>
        </w:rPr>
        <w:t> </w:t>
      </w:r>
      <w:r>
        <w:rPr>
          <w:sz w:val="22"/>
        </w:rPr>
        <w:t>tax</w:t>
      </w:r>
      <w:r>
        <w:rPr>
          <w:spacing w:val="-7"/>
          <w:sz w:val="22"/>
        </w:rPr>
        <w:t> </w:t>
      </w:r>
      <w:r>
        <w:rPr>
          <w:sz w:val="22"/>
        </w:rPr>
        <w:t>rate</w:t>
      </w:r>
      <w:r>
        <w:rPr>
          <w:spacing w:val="-4"/>
          <w:sz w:val="22"/>
        </w:rPr>
        <w:t> </w:t>
      </w:r>
      <w:r>
        <w:rPr>
          <w:sz w:val="22"/>
        </w:rPr>
        <w:t>from</w:t>
      </w:r>
      <w:r>
        <w:rPr>
          <w:spacing w:val="-6"/>
          <w:sz w:val="22"/>
        </w:rPr>
        <w:t> </w:t>
      </w:r>
      <w:r>
        <w:rPr>
          <w:sz w:val="22"/>
        </w:rPr>
        <w:t>$90,000</w:t>
      </w:r>
      <w:r>
        <w:rPr>
          <w:spacing w:val="-6"/>
          <w:sz w:val="22"/>
        </w:rPr>
        <w:t> </w:t>
      </w:r>
      <w:r>
        <w:rPr>
          <w:sz w:val="22"/>
        </w:rPr>
        <w:t>to</w:t>
      </w:r>
      <w:r>
        <w:rPr>
          <w:spacing w:val="-3"/>
          <w:sz w:val="22"/>
        </w:rPr>
        <w:t> </w:t>
      </w:r>
      <w:r>
        <w:rPr>
          <w:sz w:val="22"/>
        </w:rPr>
        <w:t>$120,000.</w:t>
      </w:r>
    </w:p>
    <w:p>
      <w:pPr>
        <w:pStyle w:val="ListParagraph"/>
        <w:numPr>
          <w:ilvl w:val="0"/>
          <w:numId w:val="3"/>
        </w:numPr>
        <w:tabs>
          <w:tab w:pos="941" w:val="left" w:leader="none"/>
        </w:tabs>
        <w:spacing w:line="240" w:lineRule="auto" w:before="121" w:after="0"/>
        <w:ind w:left="940" w:right="0" w:hanging="284"/>
        <w:jc w:val="left"/>
        <w:rPr>
          <w:sz w:val="22"/>
        </w:rPr>
      </w:pPr>
      <w:r>
        <w:rPr>
          <w:sz w:val="22"/>
        </w:rPr>
        <w:t>Increase</w:t>
      </w:r>
      <w:r>
        <w:rPr>
          <w:spacing w:val="-6"/>
          <w:sz w:val="22"/>
        </w:rPr>
        <w:t> </w:t>
      </w:r>
      <w:r>
        <w:rPr>
          <w:sz w:val="22"/>
        </w:rPr>
        <w:t>the</w:t>
      </w:r>
      <w:r>
        <w:rPr>
          <w:spacing w:val="-4"/>
          <w:sz w:val="22"/>
        </w:rPr>
        <w:t> </w:t>
      </w:r>
      <w:r>
        <w:rPr>
          <w:sz w:val="22"/>
        </w:rPr>
        <w:t>upper</w:t>
      </w:r>
      <w:r>
        <w:rPr>
          <w:spacing w:val="-4"/>
          <w:sz w:val="22"/>
        </w:rPr>
        <w:t> </w:t>
      </w:r>
      <w:r>
        <w:rPr>
          <w:sz w:val="22"/>
        </w:rPr>
        <w:t>threshold</w:t>
      </w:r>
      <w:r>
        <w:rPr>
          <w:spacing w:val="-3"/>
          <w:sz w:val="22"/>
        </w:rPr>
        <w:t> </w:t>
      </w:r>
      <w:r>
        <w:rPr>
          <w:sz w:val="22"/>
        </w:rPr>
        <w:t>for</w:t>
      </w:r>
      <w:r>
        <w:rPr>
          <w:spacing w:val="-4"/>
          <w:sz w:val="22"/>
        </w:rPr>
        <w:t> </w:t>
      </w:r>
      <w:r>
        <w:rPr>
          <w:sz w:val="22"/>
        </w:rPr>
        <w:t>the</w:t>
      </w:r>
      <w:r>
        <w:rPr>
          <w:spacing w:val="-6"/>
          <w:sz w:val="22"/>
        </w:rPr>
        <w:t> </w:t>
      </w:r>
      <w:r>
        <w:rPr>
          <w:sz w:val="22"/>
        </w:rPr>
        <w:t>19</w:t>
      </w:r>
      <w:r>
        <w:rPr>
          <w:spacing w:val="-3"/>
          <w:sz w:val="22"/>
        </w:rPr>
        <w:t> </w:t>
      </w:r>
      <w:r>
        <w:rPr>
          <w:sz w:val="22"/>
        </w:rPr>
        <w:t>per</w:t>
      </w:r>
      <w:r>
        <w:rPr>
          <w:spacing w:val="-7"/>
          <w:sz w:val="22"/>
        </w:rPr>
        <w:t> </w:t>
      </w:r>
      <w:r>
        <w:rPr>
          <w:sz w:val="22"/>
        </w:rPr>
        <w:t>cent</w:t>
      </w:r>
      <w:r>
        <w:rPr>
          <w:spacing w:val="-6"/>
          <w:sz w:val="22"/>
        </w:rPr>
        <w:t> </w:t>
      </w:r>
      <w:r>
        <w:rPr>
          <w:sz w:val="22"/>
        </w:rPr>
        <w:t>marginal</w:t>
      </w:r>
      <w:r>
        <w:rPr>
          <w:spacing w:val="-7"/>
          <w:sz w:val="22"/>
        </w:rPr>
        <w:t> </w:t>
      </w:r>
      <w:r>
        <w:rPr>
          <w:sz w:val="22"/>
        </w:rPr>
        <w:t>tax</w:t>
      </w:r>
      <w:r>
        <w:rPr>
          <w:spacing w:val="-4"/>
          <w:sz w:val="22"/>
        </w:rPr>
        <w:t> </w:t>
      </w:r>
      <w:r>
        <w:rPr>
          <w:sz w:val="22"/>
        </w:rPr>
        <w:t>rate</w:t>
      </w:r>
      <w:r>
        <w:rPr>
          <w:spacing w:val="-3"/>
          <w:sz w:val="22"/>
        </w:rPr>
        <w:t> </w:t>
      </w:r>
      <w:r>
        <w:rPr>
          <w:sz w:val="22"/>
        </w:rPr>
        <w:t>from</w:t>
      </w:r>
      <w:r>
        <w:rPr>
          <w:spacing w:val="-3"/>
          <w:sz w:val="22"/>
        </w:rPr>
        <w:t> </w:t>
      </w:r>
      <w:r>
        <w:rPr>
          <w:sz w:val="22"/>
        </w:rPr>
        <w:t>$37,000</w:t>
      </w:r>
      <w:r>
        <w:rPr>
          <w:spacing w:val="-3"/>
          <w:sz w:val="22"/>
        </w:rPr>
        <w:t> </w:t>
      </w:r>
      <w:r>
        <w:rPr>
          <w:sz w:val="22"/>
        </w:rPr>
        <w:t>to</w:t>
      </w:r>
      <w:r>
        <w:rPr>
          <w:spacing w:val="-6"/>
          <w:sz w:val="22"/>
        </w:rPr>
        <w:t> </w:t>
      </w:r>
      <w:r>
        <w:rPr>
          <w:sz w:val="22"/>
        </w:rPr>
        <w:t>$45,000.</w:t>
      </w:r>
    </w:p>
    <w:p>
      <w:pPr>
        <w:pStyle w:val="ListParagraph"/>
        <w:numPr>
          <w:ilvl w:val="0"/>
          <w:numId w:val="3"/>
        </w:numPr>
        <w:tabs>
          <w:tab w:pos="941" w:val="left" w:leader="none"/>
        </w:tabs>
        <w:spacing w:line="240" w:lineRule="auto" w:before="118" w:after="0"/>
        <w:ind w:left="940" w:right="0" w:hanging="284"/>
        <w:jc w:val="left"/>
        <w:rPr>
          <w:sz w:val="22"/>
        </w:rPr>
      </w:pPr>
      <w:r>
        <w:rPr>
          <w:sz w:val="22"/>
        </w:rPr>
        <w:t>Increase the low income tax offset from $445 to</w:t>
      </w:r>
      <w:r>
        <w:rPr>
          <w:spacing w:val="-30"/>
          <w:sz w:val="22"/>
        </w:rPr>
        <w:t> </w:t>
      </w:r>
      <w:r>
        <w:rPr>
          <w:sz w:val="22"/>
        </w:rPr>
        <w:t>$700.</w:t>
      </w:r>
    </w:p>
    <w:p>
      <w:pPr>
        <w:pStyle w:val="ListParagraph"/>
        <w:numPr>
          <w:ilvl w:val="0"/>
          <w:numId w:val="3"/>
        </w:numPr>
        <w:tabs>
          <w:tab w:pos="941" w:val="left" w:leader="none"/>
        </w:tabs>
        <w:spacing w:line="240" w:lineRule="auto" w:before="120" w:after="0"/>
        <w:ind w:left="940" w:right="0" w:hanging="284"/>
        <w:jc w:val="left"/>
        <w:rPr>
          <w:sz w:val="22"/>
        </w:rPr>
      </w:pPr>
      <w:r>
        <w:rPr>
          <w:sz w:val="22"/>
        </w:rPr>
        <w:t>Remove the low and middle income tax</w:t>
      </w:r>
      <w:r>
        <w:rPr>
          <w:spacing w:val="-22"/>
          <w:sz w:val="22"/>
        </w:rPr>
        <w:t> </w:t>
      </w:r>
      <w:r>
        <w:rPr>
          <w:sz w:val="22"/>
        </w:rPr>
        <w:t>offset.</w:t>
      </w:r>
    </w:p>
    <w:p>
      <w:pPr>
        <w:pStyle w:val="BodyText"/>
        <w:spacing w:line="268" w:lineRule="auto" w:before="153"/>
        <w:ind w:left="657" w:right="613"/>
      </w:pPr>
      <w:r>
        <w:rPr/>
        <w:t>The four options would involve bringing forward the start date of some or all of these four components. All options would be expected to decrease the fiscal and underlying cash balances over the 2019-20 Budget forward estimates period. The impacts are entirely due to increases in personal income tax revenue. The proposal would not have ongoing financial implications beyond 2024-25. A breakdown of the financial implications over the period to 2029-30 is at </w:t>
      </w:r>
      <w:r>
        <w:rPr>
          <w:u w:val="single"/>
        </w:rPr>
        <w:t>Attachment A</w:t>
      </w:r>
      <w:r>
        <w:rPr/>
        <w:t>.</w:t>
      </w:r>
    </w:p>
    <w:p>
      <w:pPr>
        <w:spacing w:after="0" w:line="268" w:lineRule="auto"/>
        <w:sectPr>
          <w:headerReference w:type="default" r:id="rId5"/>
          <w:footerReference w:type="default" r:id="rId6"/>
          <w:type w:val="continuous"/>
          <w:pgSz w:w="11910" w:h="16840"/>
          <w:pgMar w:header="596" w:footer="620" w:top="1100" w:bottom="800" w:left="760" w:right="820"/>
          <w:pgNumType w:start="1"/>
        </w:sectPr>
      </w:pPr>
    </w:p>
    <w:p>
      <w:pPr>
        <w:pStyle w:val="BodyText"/>
        <w:spacing w:line="268" w:lineRule="auto" w:before="62"/>
        <w:ind w:left="658" w:right="1098"/>
      </w:pPr>
      <w:r>
        <w:rPr/>
        <w:t>Bringing forward the scheduled </w:t>
      </w:r>
      <w:r>
        <w:rPr>
          <w:spacing w:val="-2"/>
        </w:rPr>
        <w:t>income </w:t>
      </w:r>
      <w:r>
        <w:rPr/>
        <w:t>tax cuts would </w:t>
      </w:r>
      <w:r>
        <w:rPr>
          <w:spacing w:val="-2"/>
        </w:rPr>
        <w:t>not </w:t>
      </w:r>
      <w:r>
        <w:rPr/>
        <w:t>be expected to involve any change in departmental expenses as it would </w:t>
      </w:r>
      <w:r>
        <w:rPr>
          <w:spacing w:val="-2"/>
        </w:rPr>
        <w:t>not </w:t>
      </w:r>
      <w:r>
        <w:rPr/>
        <w:t>change the administrative complexity of the tax system.</w:t>
      </w:r>
    </w:p>
    <w:p>
      <w:pPr>
        <w:pStyle w:val="BodyText"/>
        <w:spacing w:line="268" w:lineRule="auto" w:before="118"/>
        <w:ind w:left="657" w:right="613"/>
      </w:pPr>
      <w:r>
        <w:rPr/>
        <w:t>The estimates are subject to significant uncertainties around income and growth in the workforce, particularly around the ongoing impact of the COVID-19 pandemic. Uncertainty about </w:t>
      </w:r>
      <w:r>
        <w:rPr>
          <w:spacing w:val="-3"/>
        </w:rPr>
        <w:t>the </w:t>
      </w:r>
      <w:r>
        <w:rPr/>
        <w:t>implications</w:t>
      </w:r>
      <w:r>
        <w:rPr>
          <w:spacing w:val="-9"/>
        </w:rPr>
        <w:t> </w:t>
      </w:r>
      <w:r>
        <w:rPr/>
        <w:t>of</w:t>
      </w:r>
      <w:r>
        <w:rPr>
          <w:spacing w:val="-9"/>
        </w:rPr>
        <w:t> </w:t>
      </w:r>
      <w:r>
        <w:rPr/>
        <w:t>the</w:t>
      </w:r>
      <w:r>
        <w:rPr>
          <w:spacing w:val="-9"/>
        </w:rPr>
        <w:t> </w:t>
      </w:r>
      <w:r>
        <w:rPr/>
        <w:t>COVID-19</w:t>
      </w:r>
      <w:r>
        <w:rPr>
          <w:spacing w:val="-8"/>
        </w:rPr>
        <w:t> </w:t>
      </w:r>
      <w:r>
        <w:rPr/>
        <w:t>pandemic</w:t>
      </w:r>
      <w:r>
        <w:rPr>
          <w:spacing w:val="-8"/>
        </w:rPr>
        <w:t> </w:t>
      </w:r>
      <w:r>
        <w:rPr/>
        <w:t>for</w:t>
      </w:r>
      <w:r>
        <w:rPr>
          <w:spacing w:val="-8"/>
        </w:rPr>
        <w:t> </w:t>
      </w:r>
      <w:r>
        <w:rPr/>
        <w:t>the</w:t>
      </w:r>
      <w:r>
        <w:rPr>
          <w:spacing w:val="-8"/>
        </w:rPr>
        <w:t> </w:t>
      </w:r>
      <w:r>
        <w:rPr/>
        <w:t>future</w:t>
      </w:r>
      <w:r>
        <w:rPr>
          <w:spacing w:val="-8"/>
        </w:rPr>
        <w:t> </w:t>
      </w:r>
      <w:r>
        <w:rPr/>
        <w:t>fiscal</w:t>
      </w:r>
      <w:r>
        <w:rPr>
          <w:spacing w:val="-9"/>
        </w:rPr>
        <w:t> </w:t>
      </w:r>
      <w:r>
        <w:rPr/>
        <w:t>position</w:t>
      </w:r>
      <w:r>
        <w:rPr>
          <w:spacing w:val="-11"/>
        </w:rPr>
        <w:t> </w:t>
      </w:r>
      <w:r>
        <w:rPr/>
        <w:t>is</w:t>
      </w:r>
      <w:r>
        <w:rPr>
          <w:spacing w:val="-8"/>
        </w:rPr>
        <w:t> </w:t>
      </w:r>
      <w:r>
        <w:rPr/>
        <w:t>likely</w:t>
      </w:r>
      <w:r>
        <w:rPr>
          <w:spacing w:val="-10"/>
        </w:rPr>
        <w:t> </w:t>
      </w:r>
      <w:r>
        <w:rPr/>
        <w:t>to</w:t>
      </w:r>
      <w:r>
        <w:rPr>
          <w:spacing w:val="-7"/>
        </w:rPr>
        <w:t> </w:t>
      </w:r>
      <w:r>
        <w:rPr/>
        <w:t>persist</w:t>
      </w:r>
      <w:r>
        <w:rPr>
          <w:spacing w:val="-9"/>
        </w:rPr>
        <w:t> </w:t>
      </w:r>
      <w:r>
        <w:rPr/>
        <w:t>for</w:t>
      </w:r>
      <w:r>
        <w:rPr>
          <w:spacing w:val="-10"/>
        </w:rPr>
        <w:t> </w:t>
      </w:r>
      <w:r>
        <w:rPr/>
        <w:t>some</w:t>
      </w:r>
      <w:r>
        <w:rPr>
          <w:spacing w:val="-8"/>
        </w:rPr>
        <w:t> </w:t>
      </w:r>
      <w:r>
        <w:rPr/>
        <w:t>time. This costing </w:t>
      </w:r>
      <w:r>
        <w:rPr>
          <w:spacing w:val="-3"/>
        </w:rPr>
        <w:t>has </w:t>
      </w:r>
      <w:r>
        <w:rPr/>
        <w:t>been undertaken against the budget baseline as at the 2019-20 Mid-Year Economic and Fiscal Outlook, which does </w:t>
      </w:r>
      <w:r>
        <w:rPr>
          <w:spacing w:val="-2"/>
        </w:rPr>
        <w:t>not </w:t>
      </w:r>
      <w:r>
        <w:rPr/>
        <w:t>take account of the likely effects of the COVID-19 pandemic or associated policy</w:t>
      </w:r>
      <w:r>
        <w:rPr>
          <w:spacing w:val="-8"/>
        </w:rPr>
        <w:t> </w:t>
      </w:r>
      <w:r>
        <w:rPr/>
        <w:t>response.</w:t>
      </w:r>
    </w:p>
    <w:p>
      <w:pPr>
        <w:pStyle w:val="BodyText"/>
        <w:spacing w:line="268" w:lineRule="auto" w:before="116"/>
        <w:ind w:left="657" w:right="613"/>
      </w:pPr>
      <w:r>
        <w:rPr/>
        <w:t>The</w:t>
      </w:r>
      <w:r>
        <w:rPr>
          <w:spacing w:val="-9"/>
        </w:rPr>
        <w:t> </w:t>
      </w:r>
      <w:r>
        <w:rPr/>
        <w:t>Parliamentary</w:t>
      </w:r>
      <w:r>
        <w:rPr>
          <w:spacing w:val="-7"/>
        </w:rPr>
        <w:t> </w:t>
      </w:r>
      <w:r>
        <w:rPr/>
        <w:t>Budget</w:t>
      </w:r>
      <w:r>
        <w:rPr>
          <w:spacing w:val="-10"/>
        </w:rPr>
        <w:t> </w:t>
      </w:r>
      <w:r>
        <w:rPr/>
        <w:t>Office</w:t>
      </w:r>
      <w:r>
        <w:rPr>
          <w:spacing w:val="-9"/>
        </w:rPr>
        <w:t> </w:t>
      </w:r>
      <w:r>
        <w:rPr/>
        <w:t>(PBO)</w:t>
      </w:r>
      <w:r>
        <w:rPr>
          <w:spacing w:val="-8"/>
        </w:rPr>
        <w:t> </w:t>
      </w:r>
      <w:r>
        <w:rPr/>
        <w:t>has</w:t>
      </w:r>
      <w:r>
        <w:rPr>
          <w:spacing w:val="-9"/>
        </w:rPr>
        <w:t> </w:t>
      </w:r>
      <w:r>
        <w:rPr/>
        <w:t>not</w:t>
      </w:r>
      <w:r>
        <w:rPr>
          <w:spacing w:val="-9"/>
        </w:rPr>
        <w:t> </w:t>
      </w:r>
      <w:r>
        <w:rPr/>
        <w:t>made</w:t>
      </w:r>
      <w:r>
        <w:rPr>
          <w:spacing w:val="-10"/>
        </w:rPr>
        <w:t> </w:t>
      </w:r>
      <w:r>
        <w:rPr/>
        <w:t>an</w:t>
      </w:r>
      <w:r>
        <w:rPr>
          <w:spacing w:val="-9"/>
        </w:rPr>
        <w:t> </w:t>
      </w:r>
      <w:r>
        <w:rPr/>
        <w:t>assessment</w:t>
      </w:r>
      <w:r>
        <w:rPr>
          <w:spacing w:val="-10"/>
        </w:rPr>
        <w:t> </w:t>
      </w:r>
      <w:r>
        <w:rPr/>
        <w:t>on</w:t>
      </w:r>
      <w:r>
        <w:rPr>
          <w:spacing w:val="-8"/>
        </w:rPr>
        <w:t> </w:t>
      </w:r>
      <w:r>
        <w:rPr/>
        <w:t>the</w:t>
      </w:r>
      <w:r>
        <w:rPr>
          <w:spacing w:val="-10"/>
        </w:rPr>
        <w:t> </w:t>
      </w:r>
      <w:r>
        <w:rPr/>
        <w:t>feasibility</w:t>
      </w:r>
      <w:r>
        <w:rPr>
          <w:spacing w:val="-10"/>
        </w:rPr>
        <w:t> </w:t>
      </w:r>
      <w:r>
        <w:rPr/>
        <w:t>of</w:t>
      </w:r>
      <w:r>
        <w:rPr>
          <w:spacing w:val="-8"/>
        </w:rPr>
        <w:t> </w:t>
      </w:r>
      <w:r>
        <w:rPr/>
        <w:t>bringing forward personal </w:t>
      </w:r>
      <w:r>
        <w:rPr>
          <w:spacing w:val="-2"/>
        </w:rPr>
        <w:t>income </w:t>
      </w:r>
      <w:r>
        <w:rPr/>
        <w:t>tax cuts to </w:t>
      </w:r>
      <w:r>
        <w:rPr>
          <w:spacing w:val="-2"/>
        </w:rPr>
        <w:t>the </w:t>
      </w:r>
      <w:r>
        <w:rPr/>
        <w:t>income year 2020-21 under Options 2 </w:t>
      </w:r>
      <w:r>
        <w:rPr>
          <w:spacing w:val="-3"/>
        </w:rPr>
        <w:t>and </w:t>
      </w:r>
      <w:r>
        <w:rPr/>
        <w:t>4, given the changes would apply retrospectively from 1 July</w:t>
      </w:r>
      <w:r>
        <w:rPr>
          <w:spacing w:val="-19"/>
        </w:rPr>
        <w:t> </w:t>
      </w:r>
      <w:r>
        <w:rPr/>
        <w:t>2020.</w:t>
      </w:r>
    </w:p>
    <w:p>
      <w:pPr>
        <w:pStyle w:val="BodyText"/>
        <w:spacing w:before="4"/>
        <w:rPr>
          <w:sz w:val="29"/>
        </w:rPr>
      </w:pPr>
    </w:p>
    <w:p>
      <w:pPr>
        <w:pStyle w:val="Heading2"/>
        <w:ind w:left="657"/>
      </w:pPr>
      <w:r>
        <w:rPr>
          <w:color w:val="3C4D7C"/>
        </w:rPr>
        <w:t>Table 1: Financial implications ($m)</w:t>
      </w:r>
      <w:r>
        <w:rPr>
          <w:color w:val="3C4D7C"/>
          <w:vertAlign w:val="superscript"/>
        </w:rPr>
        <w:t>(a)(b)</w:t>
      </w:r>
    </w:p>
    <w:p>
      <w:pPr>
        <w:pStyle w:val="BodyText"/>
        <w:spacing w:before="10" w:after="1"/>
        <w:rPr>
          <w:b/>
          <w:sz w:val="9"/>
        </w:rPr>
      </w:pPr>
    </w:p>
    <w:tbl>
      <w:tblPr>
        <w:tblW w:w="0" w:type="auto"/>
        <w:jc w:val="left"/>
        <w:tblInd w:w="560" w:type="dxa"/>
        <w:tblBorders>
          <w:top w:val="single" w:sz="8" w:space="0" w:color="788183"/>
          <w:left w:val="single" w:sz="8" w:space="0" w:color="788183"/>
          <w:bottom w:val="single" w:sz="8" w:space="0" w:color="788183"/>
          <w:right w:val="single" w:sz="8" w:space="0" w:color="788183"/>
          <w:insideH w:val="single" w:sz="8" w:space="0" w:color="788183"/>
          <w:insideV w:val="single" w:sz="8" w:space="0" w:color="788183"/>
        </w:tblBorders>
        <w:tblLayout w:type="fixed"/>
        <w:tblCellMar>
          <w:top w:w="0" w:type="dxa"/>
          <w:left w:w="0" w:type="dxa"/>
          <w:bottom w:w="0" w:type="dxa"/>
          <w:right w:w="0" w:type="dxa"/>
        </w:tblCellMar>
        <w:tblLook w:val="01E0"/>
      </w:tblPr>
      <w:tblGrid>
        <w:gridCol w:w="2743"/>
        <w:gridCol w:w="1308"/>
        <w:gridCol w:w="1310"/>
        <w:gridCol w:w="1308"/>
        <w:gridCol w:w="1310"/>
        <w:gridCol w:w="1305"/>
      </w:tblGrid>
      <w:tr>
        <w:trPr>
          <w:trHeight w:val="678" w:hRule="atLeast"/>
        </w:trPr>
        <w:tc>
          <w:tcPr>
            <w:tcW w:w="2743" w:type="dxa"/>
            <w:shd w:val="clear" w:color="auto" w:fill="A7B1D3"/>
          </w:tcPr>
          <w:p>
            <w:pPr>
              <w:pStyle w:val="TableParagraph"/>
              <w:jc w:val="left"/>
              <w:rPr>
                <w:rFonts w:ascii="Times New Roman"/>
                <w:sz w:val="22"/>
              </w:rPr>
            </w:pPr>
          </w:p>
        </w:tc>
        <w:tc>
          <w:tcPr>
            <w:tcW w:w="1308" w:type="dxa"/>
            <w:shd w:val="clear" w:color="auto" w:fill="A7B1D3"/>
          </w:tcPr>
          <w:p>
            <w:pPr>
              <w:pStyle w:val="TableParagraph"/>
              <w:spacing w:before="10"/>
              <w:jc w:val="left"/>
              <w:rPr>
                <w:b/>
                <w:sz w:val="16"/>
              </w:rPr>
            </w:pPr>
          </w:p>
          <w:p>
            <w:pPr>
              <w:pStyle w:val="TableParagraph"/>
              <w:ind w:right="143"/>
              <w:rPr>
                <w:sz w:val="22"/>
              </w:rPr>
            </w:pPr>
            <w:r>
              <w:rPr>
                <w:sz w:val="22"/>
              </w:rPr>
              <w:t>2019–20</w:t>
            </w:r>
          </w:p>
        </w:tc>
        <w:tc>
          <w:tcPr>
            <w:tcW w:w="1310" w:type="dxa"/>
            <w:shd w:val="clear" w:color="auto" w:fill="A7B1D3"/>
          </w:tcPr>
          <w:p>
            <w:pPr>
              <w:pStyle w:val="TableParagraph"/>
              <w:spacing w:before="10"/>
              <w:jc w:val="left"/>
              <w:rPr>
                <w:b/>
                <w:sz w:val="16"/>
              </w:rPr>
            </w:pPr>
          </w:p>
          <w:p>
            <w:pPr>
              <w:pStyle w:val="TableParagraph"/>
              <w:ind w:right="143"/>
              <w:rPr>
                <w:sz w:val="22"/>
              </w:rPr>
            </w:pPr>
            <w:r>
              <w:rPr>
                <w:sz w:val="22"/>
              </w:rPr>
              <w:t>2020–21</w:t>
            </w:r>
          </w:p>
        </w:tc>
        <w:tc>
          <w:tcPr>
            <w:tcW w:w="1308" w:type="dxa"/>
            <w:shd w:val="clear" w:color="auto" w:fill="A7B1D3"/>
          </w:tcPr>
          <w:p>
            <w:pPr>
              <w:pStyle w:val="TableParagraph"/>
              <w:spacing w:before="10"/>
              <w:jc w:val="left"/>
              <w:rPr>
                <w:b/>
                <w:sz w:val="16"/>
              </w:rPr>
            </w:pPr>
          </w:p>
          <w:p>
            <w:pPr>
              <w:pStyle w:val="TableParagraph"/>
              <w:ind w:right="140"/>
              <w:rPr>
                <w:sz w:val="22"/>
              </w:rPr>
            </w:pPr>
            <w:r>
              <w:rPr>
                <w:sz w:val="22"/>
              </w:rPr>
              <w:t>2021–22</w:t>
            </w:r>
          </w:p>
        </w:tc>
        <w:tc>
          <w:tcPr>
            <w:tcW w:w="1310" w:type="dxa"/>
            <w:shd w:val="clear" w:color="auto" w:fill="A7B1D3"/>
          </w:tcPr>
          <w:p>
            <w:pPr>
              <w:pStyle w:val="TableParagraph"/>
              <w:spacing w:before="10"/>
              <w:jc w:val="left"/>
              <w:rPr>
                <w:b/>
                <w:sz w:val="16"/>
              </w:rPr>
            </w:pPr>
          </w:p>
          <w:p>
            <w:pPr>
              <w:pStyle w:val="TableParagraph"/>
              <w:ind w:right="142"/>
              <w:rPr>
                <w:sz w:val="22"/>
              </w:rPr>
            </w:pPr>
            <w:r>
              <w:rPr>
                <w:sz w:val="22"/>
              </w:rPr>
              <w:t>2022–23</w:t>
            </w:r>
          </w:p>
        </w:tc>
        <w:tc>
          <w:tcPr>
            <w:tcW w:w="1305" w:type="dxa"/>
            <w:shd w:val="clear" w:color="auto" w:fill="A7B1D3"/>
          </w:tcPr>
          <w:p>
            <w:pPr>
              <w:pStyle w:val="TableParagraph"/>
              <w:spacing w:before="71"/>
              <w:ind w:left="362" w:right="124" w:firstLine="64"/>
              <w:jc w:val="left"/>
              <w:rPr>
                <w:b/>
                <w:sz w:val="22"/>
              </w:rPr>
            </w:pPr>
            <w:r>
              <w:rPr>
                <w:b/>
                <w:sz w:val="22"/>
              </w:rPr>
              <w:t>Total to 2022–23</w:t>
            </w:r>
          </w:p>
        </w:tc>
      </w:tr>
      <w:tr>
        <w:trPr>
          <w:trHeight w:val="656" w:hRule="atLeast"/>
        </w:trPr>
        <w:tc>
          <w:tcPr>
            <w:tcW w:w="9284" w:type="dxa"/>
            <w:gridSpan w:val="6"/>
            <w:shd w:val="clear" w:color="auto" w:fill="D2D7E9"/>
          </w:tcPr>
          <w:p>
            <w:pPr>
              <w:pStyle w:val="TableParagraph"/>
              <w:spacing w:before="56"/>
              <w:ind w:left="165" w:right="718"/>
              <w:jc w:val="left"/>
              <w:rPr>
                <w:b/>
                <w:sz w:val="22"/>
              </w:rPr>
            </w:pPr>
            <w:r>
              <w:rPr>
                <w:b/>
                <w:sz w:val="22"/>
              </w:rPr>
              <w:t>Option 1: Bring forward the scheduled personal income tax cuts beginning on 1 July 2022 to 1 July 2021, without adjusting the end date of the low and middle income tax offset</w:t>
            </w:r>
          </w:p>
        </w:tc>
      </w:tr>
      <w:tr>
        <w:trPr>
          <w:trHeight w:val="387" w:hRule="atLeast"/>
        </w:trPr>
        <w:tc>
          <w:tcPr>
            <w:tcW w:w="2743" w:type="dxa"/>
          </w:tcPr>
          <w:p>
            <w:pPr>
              <w:pStyle w:val="TableParagraph"/>
              <w:spacing w:before="56"/>
              <w:ind w:left="165"/>
              <w:jc w:val="left"/>
              <w:rPr>
                <w:sz w:val="22"/>
              </w:rPr>
            </w:pPr>
            <w:r>
              <w:rPr>
                <w:sz w:val="22"/>
              </w:rPr>
              <w:t>Fiscal balance</w:t>
            </w:r>
          </w:p>
        </w:tc>
        <w:tc>
          <w:tcPr>
            <w:tcW w:w="1308" w:type="dxa"/>
          </w:tcPr>
          <w:p>
            <w:pPr>
              <w:pStyle w:val="TableParagraph"/>
              <w:spacing w:before="56"/>
              <w:ind w:right="143"/>
              <w:rPr>
                <w:sz w:val="22"/>
              </w:rPr>
            </w:pPr>
            <w:r>
              <w:rPr>
                <w:w w:val="100"/>
                <w:sz w:val="22"/>
              </w:rPr>
              <w:t>-</w:t>
            </w:r>
          </w:p>
        </w:tc>
        <w:tc>
          <w:tcPr>
            <w:tcW w:w="1310" w:type="dxa"/>
          </w:tcPr>
          <w:p>
            <w:pPr>
              <w:pStyle w:val="TableParagraph"/>
              <w:spacing w:before="56"/>
              <w:ind w:right="143"/>
              <w:rPr>
                <w:sz w:val="22"/>
              </w:rPr>
            </w:pPr>
            <w:r>
              <w:rPr>
                <w:w w:val="100"/>
                <w:sz w:val="22"/>
              </w:rPr>
              <w:t>-</w:t>
            </w:r>
          </w:p>
        </w:tc>
        <w:tc>
          <w:tcPr>
            <w:tcW w:w="1308" w:type="dxa"/>
          </w:tcPr>
          <w:p>
            <w:pPr>
              <w:pStyle w:val="TableParagraph"/>
              <w:spacing w:before="56"/>
              <w:ind w:right="139"/>
              <w:rPr>
                <w:sz w:val="22"/>
              </w:rPr>
            </w:pPr>
            <w:r>
              <w:rPr>
                <w:sz w:val="22"/>
              </w:rPr>
              <w:t>-12,810</w:t>
            </w:r>
          </w:p>
        </w:tc>
        <w:tc>
          <w:tcPr>
            <w:tcW w:w="1310" w:type="dxa"/>
          </w:tcPr>
          <w:p>
            <w:pPr>
              <w:pStyle w:val="TableParagraph"/>
              <w:spacing w:before="56"/>
              <w:ind w:right="140"/>
              <w:rPr>
                <w:sz w:val="22"/>
              </w:rPr>
            </w:pPr>
            <w:r>
              <w:rPr>
                <w:sz w:val="22"/>
              </w:rPr>
              <w:t>-1,320</w:t>
            </w:r>
          </w:p>
        </w:tc>
        <w:tc>
          <w:tcPr>
            <w:tcW w:w="1305" w:type="dxa"/>
          </w:tcPr>
          <w:p>
            <w:pPr>
              <w:pStyle w:val="TableParagraph"/>
              <w:spacing w:before="56"/>
              <w:ind w:right="141"/>
              <w:rPr>
                <w:b/>
                <w:sz w:val="22"/>
              </w:rPr>
            </w:pPr>
            <w:r>
              <w:rPr>
                <w:b/>
                <w:sz w:val="22"/>
              </w:rPr>
              <w:t>-14,140</w:t>
            </w:r>
          </w:p>
        </w:tc>
      </w:tr>
      <w:tr>
        <w:trPr>
          <w:trHeight w:val="390" w:hRule="atLeast"/>
        </w:trPr>
        <w:tc>
          <w:tcPr>
            <w:tcW w:w="2743" w:type="dxa"/>
          </w:tcPr>
          <w:p>
            <w:pPr>
              <w:pStyle w:val="TableParagraph"/>
              <w:spacing w:before="59"/>
              <w:ind w:left="165"/>
              <w:jc w:val="left"/>
              <w:rPr>
                <w:sz w:val="22"/>
              </w:rPr>
            </w:pPr>
            <w:r>
              <w:rPr>
                <w:sz w:val="22"/>
              </w:rPr>
              <w:t>Underlying cash balance</w:t>
            </w:r>
          </w:p>
        </w:tc>
        <w:tc>
          <w:tcPr>
            <w:tcW w:w="1308" w:type="dxa"/>
          </w:tcPr>
          <w:p>
            <w:pPr>
              <w:pStyle w:val="TableParagraph"/>
              <w:spacing w:before="59"/>
              <w:ind w:right="143"/>
              <w:rPr>
                <w:sz w:val="22"/>
              </w:rPr>
            </w:pPr>
            <w:r>
              <w:rPr>
                <w:w w:val="100"/>
                <w:sz w:val="22"/>
              </w:rPr>
              <w:t>-</w:t>
            </w:r>
          </w:p>
        </w:tc>
        <w:tc>
          <w:tcPr>
            <w:tcW w:w="1310" w:type="dxa"/>
          </w:tcPr>
          <w:p>
            <w:pPr>
              <w:pStyle w:val="TableParagraph"/>
              <w:spacing w:before="59"/>
              <w:ind w:right="143"/>
              <w:rPr>
                <w:sz w:val="22"/>
              </w:rPr>
            </w:pPr>
            <w:r>
              <w:rPr>
                <w:w w:val="100"/>
                <w:sz w:val="22"/>
              </w:rPr>
              <w:t>-</w:t>
            </w:r>
          </w:p>
        </w:tc>
        <w:tc>
          <w:tcPr>
            <w:tcW w:w="1308" w:type="dxa"/>
          </w:tcPr>
          <w:p>
            <w:pPr>
              <w:pStyle w:val="TableParagraph"/>
              <w:spacing w:before="59"/>
              <w:ind w:right="139"/>
              <w:rPr>
                <w:sz w:val="22"/>
              </w:rPr>
            </w:pPr>
            <w:r>
              <w:rPr>
                <w:sz w:val="22"/>
              </w:rPr>
              <w:t>-12,810</w:t>
            </w:r>
          </w:p>
        </w:tc>
        <w:tc>
          <w:tcPr>
            <w:tcW w:w="1310" w:type="dxa"/>
          </w:tcPr>
          <w:p>
            <w:pPr>
              <w:pStyle w:val="TableParagraph"/>
              <w:spacing w:before="59"/>
              <w:ind w:right="140"/>
              <w:rPr>
                <w:sz w:val="22"/>
              </w:rPr>
            </w:pPr>
            <w:r>
              <w:rPr>
                <w:sz w:val="22"/>
              </w:rPr>
              <w:t>-1,320</w:t>
            </w:r>
          </w:p>
        </w:tc>
        <w:tc>
          <w:tcPr>
            <w:tcW w:w="1305" w:type="dxa"/>
          </w:tcPr>
          <w:p>
            <w:pPr>
              <w:pStyle w:val="TableParagraph"/>
              <w:spacing w:before="59"/>
              <w:ind w:right="140"/>
              <w:rPr>
                <w:b/>
                <w:sz w:val="22"/>
              </w:rPr>
            </w:pPr>
            <w:r>
              <w:rPr>
                <w:b/>
                <w:sz w:val="22"/>
              </w:rPr>
              <w:t>-14,140</w:t>
            </w:r>
          </w:p>
        </w:tc>
      </w:tr>
      <w:tr>
        <w:trPr>
          <w:trHeight w:val="656" w:hRule="atLeast"/>
        </w:trPr>
        <w:tc>
          <w:tcPr>
            <w:tcW w:w="9284" w:type="dxa"/>
            <w:gridSpan w:val="6"/>
            <w:shd w:val="clear" w:color="auto" w:fill="D2D7E9"/>
          </w:tcPr>
          <w:p>
            <w:pPr>
              <w:pStyle w:val="TableParagraph"/>
              <w:spacing w:before="56"/>
              <w:ind w:left="165" w:right="718"/>
              <w:jc w:val="left"/>
              <w:rPr>
                <w:b/>
                <w:sz w:val="22"/>
              </w:rPr>
            </w:pPr>
            <w:r>
              <w:rPr>
                <w:b/>
                <w:sz w:val="22"/>
              </w:rPr>
              <w:t>Option 2: Bring forward the scheduled personal income tax cuts beginning on 1 July 2022 to 1 July 2020, without adjusting the end date of the low and middle income tax offset</w:t>
            </w:r>
          </w:p>
        </w:tc>
      </w:tr>
      <w:tr>
        <w:trPr>
          <w:trHeight w:val="387" w:hRule="atLeast"/>
        </w:trPr>
        <w:tc>
          <w:tcPr>
            <w:tcW w:w="2743" w:type="dxa"/>
          </w:tcPr>
          <w:p>
            <w:pPr>
              <w:pStyle w:val="TableParagraph"/>
              <w:spacing w:before="56"/>
              <w:ind w:left="165"/>
              <w:jc w:val="left"/>
              <w:rPr>
                <w:sz w:val="22"/>
              </w:rPr>
            </w:pPr>
            <w:r>
              <w:rPr>
                <w:sz w:val="22"/>
              </w:rPr>
              <w:t>Fiscal balance</w:t>
            </w:r>
          </w:p>
        </w:tc>
        <w:tc>
          <w:tcPr>
            <w:tcW w:w="1308" w:type="dxa"/>
          </w:tcPr>
          <w:p>
            <w:pPr>
              <w:pStyle w:val="TableParagraph"/>
              <w:spacing w:before="56"/>
              <w:ind w:right="143"/>
              <w:rPr>
                <w:sz w:val="22"/>
              </w:rPr>
            </w:pPr>
            <w:r>
              <w:rPr>
                <w:w w:val="100"/>
                <w:sz w:val="22"/>
              </w:rPr>
              <w:t>-</w:t>
            </w:r>
          </w:p>
        </w:tc>
        <w:tc>
          <w:tcPr>
            <w:tcW w:w="1310" w:type="dxa"/>
          </w:tcPr>
          <w:p>
            <w:pPr>
              <w:pStyle w:val="TableParagraph"/>
              <w:spacing w:before="56"/>
              <w:ind w:right="142"/>
              <w:rPr>
                <w:sz w:val="22"/>
              </w:rPr>
            </w:pPr>
            <w:r>
              <w:rPr>
                <w:sz w:val="22"/>
              </w:rPr>
              <w:t>-12,280</w:t>
            </w:r>
          </w:p>
        </w:tc>
        <w:tc>
          <w:tcPr>
            <w:tcW w:w="1308" w:type="dxa"/>
          </w:tcPr>
          <w:p>
            <w:pPr>
              <w:pStyle w:val="TableParagraph"/>
              <w:spacing w:before="56"/>
              <w:ind w:right="139"/>
              <w:rPr>
                <w:sz w:val="22"/>
              </w:rPr>
            </w:pPr>
            <w:r>
              <w:rPr>
                <w:sz w:val="22"/>
              </w:rPr>
              <w:t>-14,130</w:t>
            </w:r>
          </w:p>
        </w:tc>
        <w:tc>
          <w:tcPr>
            <w:tcW w:w="1310" w:type="dxa"/>
          </w:tcPr>
          <w:p>
            <w:pPr>
              <w:pStyle w:val="TableParagraph"/>
              <w:spacing w:before="56"/>
              <w:ind w:right="140"/>
              <w:rPr>
                <w:sz w:val="22"/>
              </w:rPr>
            </w:pPr>
            <w:r>
              <w:rPr>
                <w:sz w:val="22"/>
              </w:rPr>
              <w:t>-1,460</w:t>
            </w:r>
          </w:p>
        </w:tc>
        <w:tc>
          <w:tcPr>
            <w:tcW w:w="1305" w:type="dxa"/>
          </w:tcPr>
          <w:p>
            <w:pPr>
              <w:pStyle w:val="TableParagraph"/>
              <w:spacing w:before="56"/>
              <w:ind w:right="140"/>
              <w:rPr>
                <w:b/>
                <w:sz w:val="22"/>
              </w:rPr>
            </w:pPr>
            <w:r>
              <w:rPr>
                <w:b/>
                <w:sz w:val="22"/>
              </w:rPr>
              <w:t>-27,770</w:t>
            </w:r>
          </w:p>
        </w:tc>
      </w:tr>
      <w:tr>
        <w:trPr>
          <w:trHeight w:val="388" w:hRule="atLeast"/>
        </w:trPr>
        <w:tc>
          <w:tcPr>
            <w:tcW w:w="2743" w:type="dxa"/>
          </w:tcPr>
          <w:p>
            <w:pPr>
              <w:pStyle w:val="TableParagraph"/>
              <w:spacing w:before="56"/>
              <w:ind w:left="165"/>
              <w:jc w:val="left"/>
              <w:rPr>
                <w:sz w:val="22"/>
              </w:rPr>
            </w:pPr>
            <w:r>
              <w:rPr>
                <w:sz w:val="22"/>
              </w:rPr>
              <w:t>Underlying cash balance</w:t>
            </w:r>
          </w:p>
        </w:tc>
        <w:tc>
          <w:tcPr>
            <w:tcW w:w="1308" w:type="dxa"/>
          </w:tcPr>
          <w:p>
            <w:pPr>
              <w:pStyle w:val="TableParagraph"/>
              <w:spacing w:before="56"/>
              <w:ind w:right="143"/>
              <w:rPr>
                <w:sz w:val="22"/>
              </w:rPr>
            </w:pPr>
            <w:r>
              <w:rPr>
                <w:w w:val="100"/>
                <w:sz w:val="22"/>
              </w:rPr>
              <w:t>-</w:t>
            </w:r>
          </w:p>
        </w:tc>
        <w:tc>
          <w:tcPr>
            <w:tcW w:w="1310" w:type="dxa"/>
          </w:tcPr>
          <w:p>
            <w:pPr>
              <w:pStyle w:val="TableParagraph"/>
              <w:spacing w:before="56"/>
              <w:ind w:right="141"/>
              <w:rPr>
                <w:sz w:val="22"/>
              </w:rPr>
            </w:pPr>
            <w:r>
              <w:rPr>
                <w:sz w:val="22"/>
              </w:rPr>
              <w:t>-12,280</w:t>
            </w:r>
          </w:p>
        </w:tc>
        <w:tc>
          <w:tcPr>
            <w:tcW w:w="1308" w:type="dxa"/>
          </w:tcPr>
          <w:p>
            <w:pPr>
              <w:pStyle w:val="TableParagraph"/>
              <w:spacing w:before="56"/>
              <w:ind w:right="139"/>
              <w:rPr>
                <w:sz w:val="22"/>
              </w:rPr>
            </w:pPr>
            <w:r>
              <w:rPr>
                <w:sz w:val="22"/>
              </w:rPr>
              <w:t>-14,130</w:t>
            </w:r>
          </w:p>
        </w:tc>
        <w:tc>
          <w:tcPr>
            <w:tcW w:w="1310" w:type="dxa"/>
          </w:tcPr>
          <w:p>
            <w:pPr>
              <w:pStyle w:val="TableParagraph"/>
              <w:spacing w:before="56"/>
              <w:ind w:right="140"/>
              <w:rPr>
                <w:sz w:val="22"/>
              </w:rPr>
            </w:pPr>
            <w:r>
              <w:rPr>
                <w:sz w:val="22"/>
              </w:rPr>
              <w:t>-1,460</w:t>
            </w:r>
          </w:p>
        </w:tc>
        <w:tc>
          <w:tcPr>
            <w:tcW w:w="1305" w:type="dxa"/>
          </w:tcPr>
          <w:p>
            <w:pPr>
              <w:pStyle w:val="TableParagraph"/>
              <w:spacing w:before="56"/>
              <w:ind w:right="140"/>
              <w:rPr>
                <w:b/>
                <w:sz w:val="22"/>
              </w:rPr>
            </w:pPr>
            <w:r>
              <w:rPr>
                <w:b/>
                <w:sz w:val="22"/>
              </w:rPr>
              <w:t>-27,770</w:t>
            </w:r>
          </w:p>
        </w:tc>
      </w:tr>
      <w:tr>
        <w:trPr>
          <w:trHeight w:val="656" w:hRule="atLeast"/>
        </w:trPr>
        <w:tc>
          <w:tcPr>
            <w:tcW w:w="9284" w:type="dxa"/>
            <w:gridSpan w:val="6"/>
            <w:shd w:val="clear" w:color="auto" w:fill="D2D7E9"/>
          </w:tcPr>
          <w:p>
            <w:pPr>
              <w:pStyle w:val="TableParagraph"/>
              <w:spacing w:before="56"/>
              <w:ind w:left="165" w:right="718"/>
              <w:jc w:val="left"/>
              <w:rPr>
                <w:b/>
                <w:sz w:val="22"/>
              </w:rPr>
            </w:pPr>
            <w:r>
              <w:rPr>
                <w:b/>
                <w:sz w:val="22"/>
              </w:rPr>
              <w:t>Option 3: Bring forward the scheduled personal income tax cuts beginning on 1 July 2022 to 1 July 2021, and remove the low and middle income tax offset for the 2021-22 income year</w:t>
            </w:r>
          </w:p>
        </w:tc>
      </w:tr>
      <w:tr>
        <w:trPr>
          <w:trHeight w:val="390" w:hRule="atLeast"/>
        </w:trPr>
        <w:tc>
          <w:tcPr>
            <w:tcW w:w="2743" w:type="dxa"/>
          </w:tcPr>
          <w:p>
            <w:pPr>
              <w:pStyle w:val="TableParagraph"/>
              <w:spacing w:before="59"/>
              <w:ind w:left="165"/>
              <w:jc w:val="left"/>
              <w:rPr>
                <w:sz w:val="22"/>
              </w:rPr>
            </w:pPr>
            <w:r>
              <w:rPr>
                <w:sz w:val="22"/>
              </w:rPr>
              <w:t>Fiscal balance</w:t>
            </w:r>
          </w:p>
        </w:tc>
        <w:tc>
          <w:tcPr>
            <w:tcW w:w="1308" w:type="dxa"/>
          </w:tcPr>
          <w:p>
            <w:pPr>
              <w:pStyle w:val="TableParagraph"/>
              <w:spacing w:before="59"/>
              <w:ind w:right="143"/>
              <w:rPr>
                <w:sz w:val="22"/>
              </w:rPr>
            </w:pPr>
            <w:r>
              <w:rPr>
                <w:w w:val="100"/>
                <w:sz w:val="22"/>
              </w:rPr>
              <w:t>-</w:t>
            </w:r>
          </w:p>
        </w:tc>
        <w:tc>
          <w:tcPr>
            <w:tcW w:w="1310" w:type="dxa"/>
          </w:tcPr>
          <w:p>
            <w:pPr>
              <w:pStyle w:val="TableParagraph"/>
              <w:spacing w:before="59"/>
              <w:ind w:right="143"/>
              <w:rPr>
                <w:sz w:val="22"/>
              </w:rPr>
            </w:pPr>
            <w:r>
              <w:rPr>
                <w:w w:val="100"/>
                <w:sz w:val="22"/>
              </w:rPr>
              <w:t>-</w:t>
            </w:r>
          </w:p>
        </w:tc>
        <w:tc>
          <w:tcPr>
            <w:tcW w:w="1308" w:type="dxa"/>
          </w:tcPr>
          <w:p>
            <w:pPr>
              <w:pStyle w:val="TableParagraph"/>
              <w:spacing w:before="59"/>
              <w:ind w:right="139"/>
              <w:rPr>
                <w:sz w:val="22"/>
              </w:rPr>
            </w:pPr>
            <w:r>
              <w:rPr>
                <w:sz w:val="22"/>
              </w:rPr>
              <w:t>-12,810</w:t>
            </w:r>
          </w:p>
        </w:tc>
        <w:tc>
          <w:tcPr>
            <w:tcW w:w="1310" w:type="dxa"/>
          </w:tcPr>
          <w:p>
            <w:pPr>
              <w:pStyle w:val="TableParagraph"/>
              <w:spacing w:before="59"/>
              <w:ind w:right="140"/>
              <w:rPr>
                <w:sz w:val="22"/>
              </w:rPr>
            </w:pPr>
            <w:r>
              <w:rPr>
                <w:sz w:val="22"/>
              </w:rPr>
              <w:t>6,230</w:t>
            </w:r>
          </w:p>
        </w:tc>
        <w:tc>
          <w:tcPr>
            <w:tcW w:w="1305" w:type="dxa"/>
          </w:tcPr>
          <w:p>
            <w:pPr>
              <w:pStyle w:val="TableParagraph"/>
              <w:spacing w:before="59"/>
              <w:ind w:right="140"/>
              <w:rPr>
                <w:b/>
                <w:sz w:val="22"/>
              </w:rPr>
            </w:pPr>
            <w:r>
              <w:rPr>
                <w:b/>
                <w:sz w:val="22"/>
              </w:rPr>
              <w:t>-6,590</w:t>
            </w:r>
          </w:p>
        </w:tc>
      </w:tr>
      <w:tr>
        <w:trPr>
          <w:trHeight w:val="387" w:hRule="atLeast"/>
        </w:trPr>
        <w:tc>
          <w:tcPr>
            <w:tcW w:w="2743" w:type="dxa"/>
          </w:tcPr>
          <w:p>
            <w:pPr>
              <w:pStyle w:val="TableParagraph"/>
              <w:spacing w:before="56"/>
              <w:ind w:left="165"/>
              <w:jc w:val="left"/>
              <w:rPr>
                <w:sz w:val="22"/>
              </w:rPr>
            </w:pPr>
            <w:r>
              <w:rPr>
                <w:sz w:val="22"/>
              </w:rPr>
              <w:t>Underlying cash balance</w:t>
            </w:r>
          </w:p>
        </w:tc>
        <w:tc>
          <w:tcPr>
            <w:tcW w:w="1308" w:type="dxa"/>
          </w:tcPr>
          <w:p>
            <w:pPr>
              <w:pStyle w:val="TableParagraph"/>
              <w:spacing w:before="56"/>
              <w:ind w:right="143"/>
              <w:rPr>
                <w:sz w:val="22"/>
              </w:rPr>
            </w:pPr>
            <w:r>
              <w:rPr>
                <w:w w:val="100"/>
                <w:sz w:val="22"/>
              </w:rPr>
              <w:t>-</w:t>
            </w:r>
          </w:p>
        </w:tc>
        <w:tc>
          <w:tcPr>
            <w:tcW w:w="1310" w:type="dxa"/>
          </w:tcPr>
          <w:p>
            <w:pPr>
              <w:pStyle w:val="TableParagraph"/>
              <w:spacing w:before="56"/>
              <w:ind w:right="143"/>
              <w:rPr>
                <w:sz w:val="22"/>
              </w:rPr>
            </w:pPr>
            <w:r>
              <w:rPr>
                <w:w w:val="100"/>
                <w:sz w:val="22"/>
              </w:rPr>
              <w:t>-</w:t>
            </w:r>
          </w:p>
        </w:tc>
        <w:tc>
          <w:tcPr>
            <w:tcW w:w="1308" w:type="dxa"/>
          </w:tcPr>
          <w:p>
            <w:pPr>
              <w:pStyle w:val="TableParagraph"/>
              <w:spacing w:before="56"/>
              <w:ind w:right="139"/>
              <w:rPr>
                <w:sz w:val="22"/>
              </w:rPr>
            </w:pPr>
            <w:r>
              <w:rPr>
                <w:sz w:val="22"/>
              </w:rPr>
              <w:t>-12,810</w:t>
            </w:r>
          </w:p>
        </w:tc>
        <w:tc>
          <w:tcPr>
            <w:tcW w:w="1310" w:type="dxa"/>
          </w:tcPr>
          <w:p>
            <w:pPr>
              <w:pStyle w:val="TableParagraph"/>
              <w:spacing w:before="56"/>
              <w:ind w:right="140"/>
              <w:rPr>
                <w:sz w:val="22"/>
              </w:rPr>
            </w:pPr>
            <w:r>
              <w:rPr>
                <w:sz w:val="22"/>
              </w:rPr>
              <w:t>6,230</w:t>
            </w:r>
          </w:p>
        </w:tc>
        <w:tc>
          <w:tcPr>
            <w:tcW w:w="1305" w:type="dxa"/>
          </w:tcPr>
          <w:p>
            <w:pPr>
              <w:pStyle w:val="TableParagraph"/>
              <w:spacing w:before="56"/>
              <w:ind w:right="140"/>
              <w:rPr>
                <w:b/>
                <w:sz w:val="22"/>
              </w:rPr>
            </w:pPr>
            <w:r>
              <w:rPr>
                <w:b/>
                <w:sz w:val="22"/>
              </w:rPr>
              <w:t>-6,590</w:t>
            </w:r>
          </w:p>
        </w:tc>
      </w:tr>
      <w:tr>
        <w:trPr>
          <w:trHeight w:val="925" w:hRule="atLeast"/>
        </w:trPr>
        <w:tc>
          <w:tcPr>
            <w:tcW w:w="9284" w:type="dxa"/>
            <w:gridSpan w:val="6"/>
            <w:shd w:val="clear" w:color="auto" w:fill="D2D7E9"/>
          </w:tcPr>
          <w:p>
            <w:pPr>
              <w:pStyle w:val="TableParagraph"/>
              <w:spacing w:before="56"/>
              <w:ind w:left="165" w:right="732"/>
              <w:jc w:val="both"/>
              <w:rPr>
                <w:b/>
                <w:sz w:val="22"/>
              </w:rPr>
            </w:pPr>
            <w:r>
              <w:rPr>
                <w:b/>
                <w:sz w:val="22"/>
              </w:rPr>
              <w:t>Option 4: Bring forward the scheduled personal income tax cuts beginning on 1 July 2022 to 1 July 2020, and remove the low and middle income tax offset for the 2020-21 and 2021-22 income years</w:t>
            </w:r>
          </w:p>
        </w:tc>
      </w:tr>
      <w:tr>
        <w:trPr>
          <w:trHeight w:val="387" w:hRule="atLeast"/>
        </w:trPr>
        <w:tc>
          <w:tcPr>
            <w:tcW w:w="2743" w:type="dxa"/>
          </w:tcPr>
          <w:p>
            <w:pPr>
              <w:pStyle w:val="TableParagraph"/>
              <w:spacing w:before="56"/>
              <w:ind w:left="165"/>
              <w:jc w:val="left"/>
              <w:rPr>
                <w:sz w:val="22"/>
              </w:rPr>
            </w:pPr>
            <w:r>
              <w:rPr>
                <w:sz w:val="22"/>
              </w:rPr>
              <w:t>Fiscal balance</w:t>
            </w:r>
          </w:p>
        </w:tc>
        <w:tc>
          <w:tcPr>
            <w:tcW w:w="1308" w:type="dxa"/>
          </w:tcPr>
          <w:p>
            <w:pPr>
              <w:pStyle w:val="TableParagraph"/>
              <w:spacing w:before="56"/>
              <w:ind w:right="143"/>
              <w:rPr>
                <w:sz w:val="22"/>
              </w:rPr>
            </w:pPr>
            <w:r>
              <w:rPr>
                <w:w w:val="100"/>
                <w:sz w:val="22"/>
              </w:rPr>
              <w:t>-</w:t>
            </w:r>
          </w:p>
        </w:tc>
        <w:tc>
          <w:tcPr>
            <w:tcW w:w="1310" w:type="dxa"/>
          </w:tcPr>
          <w:p>
            <w:pPr>
              <w:pStyle w:val="TableParagraph"/>
              <w:spacing w:before="56"/>
              <w:ind w:right="142"/>
              <w:rPr>
                <w:sz w:val="22"/>
              </w:rPr>
            </w:pPr>
            <w:r>
              <w:rPr>
                <w:sz w:val="22"/>
              </w:rPr>
              <w:t>-12,280</w:t>
            </w:r>
          </w:p>
        </w:tc>
        <w:tc>
          <w:tcPr>
            <w:tcW w:w="1308" w:type="dxa"/>
          </w:tcPr>
          <w:p>
            <w:pPr>
              <w:pStyle w:val="TableParagraph"/>
              <w:spacing w:before="56"/>
              <w:ind w:right="138"/>
              <w:rPr>
                <w:sz w:val="22"/>
              </w:rPr>
            </w:pPr>
            <w:r>
              <w:rPr>
                <w:sz w:val="22"/>
              </w:rPr>
              <w:t>-6,710</w:t>
            </w:r>
          </w:p>
        </w:tc>
        <w:tc>
          <w:tcPr>
            <w:tcW w:w="1310" w:type="dxa"/>
          </w:tcPr>
          <w:p>
            <w:pPr>
              <w:pStyle w:val="TableParagraph"/>
              <w:spacing w:before="56"/>
              <w:ind w:right="140"/>
              <w:rPr>
                <w:sz w:val="22"/>
              </w:rPr>
            </w:pPr>
            <w:r>
              <w:rPr>
                <w:sz w:val="22"/>
              </w:rPr>
              <w:t>6,480</w:t>
            </w:r>
          </w:p>
        </w:tc>
        <w:tc>
          <w:tcPr>
            <w:tcW w:w="1305" w:type="dxa"/>
          </w:tcPr>
          <w:p>
            <w:pPr>
              <w:pStyle w:val="TableParagraph"/>
              <w:spacing w:before="56"/>
              <w:ind w:right="140"/>
              <w:rPr>
                <w:b/>
                <w:sz w:val="22"/>
              </w:rPr>
            </w:pPr>
            <w:r>
              <w:rPr>
                <w:b/>
                <w:sz w:val="22"/>
              </w:rPr>
              <w:t>-12,410</w:t>
            </w:r>
          </w:p>
        </w:tc>
      </w:tr>
      <w:tr>
        <w:trPr>
          <w:trHeight w:val="390" w:hRule="atLeast"/>
        </w:trPr>
        <w:tc>
          <w:tcPr>
            <w:tcW w:w="2743" w:type="dxa"/>
          </w:tcPr>
          <w:p>
            <w:pPr>
              <w:pStyle w:val="TableParagraph"/>
              <w:spacing w:before="56"/>
              <w:ind w:left="165"/>
              <w:jc w:val="left"/>
              <w:rPr>
                <w:sz w:val="22"/>
              </w:rPr>
            </w:pPr>
            <w:r>
              <w:rPr>
                <w:sz w:val="22"/>
              </w:rPr>
              <w:t>Underlying cash balance</w:t>
            </w:r>
          </w:p>
        </w:tc>
        <w:tc>
          <w:tcPr>
            <w:tcW w:w="1308" w:type="dxa"/>
          </w:tcPr>
          <w:p>
            <w:pPr>
              <w:pStyle w:val="TableParagraph"/>
              <w:spacing w:before="56"/>
              <w:ind w:right="143"/>
              <w:rPr>
                <w:sz w:val="22"/>
              </w:rPr>
            </w:pPr>
            <w:r>
              <w:rPr>
                <w:w w:val="100"/>
                <w:sz w:val="22"/>
              </w:rPr>
              <w:t>-</w:t>
            </w:r>
          </w:p>
        </w:tc>
        <w:tc>
          <w:tcPr>
            <w:tcW w:w="1310" w:type="dxa"/>
          </w:tcPr>
          <w:p>
            <w:pPr>
              <w:pStyle w:val="TableParagraph"/>
              <w:spacing w:before="56"/>
              <w:ind w:right="141"/>
              <w:rPr>
                <w:sz w:val="22"/>
              </w:rPr>
            </w:pPr>
            <w:r>
              <w:rPr>
                <w:sz w:val="22"/>
              </w:rPr>
              <w:t>-12,280</w:t>
            </w:r>
          </w:p>
        </w:tc>
        <w:tc>
          <w:tcPr>
            <w:tcW w:w="1308" w:type="dxa"/>
          </w:tcPr>
          <w:p>
            <w:pPr>
              <w:pStyle w:val="TableParagraph"/>
              <w:spacing w:before="56"/>
              <w:ind w:right="138"/>
              <w:rPr>
                <w:sz w:val="22"/>
              </w:rPr>
            </w:pPr>
            <w:r>
              <w:rPr>
                <w:sz w:val="22"/>
              </w:rPr>
              <w:t>-6,710</w:t>
            </w:r>
          </w:p>
        </w:tc>
        <w:tc>
          <w:tcPr>
            <w:tcW w:w="1310" w:type="dxa"/>
          </w:tcPr>
          <w:p>
            <w:pPr>
              <w:pStyle w:val="TableParagraph"/>
              <w:spacing w:before="56"/>
              <w:ind w:right="140"/>
              <w:rPr>
                <w:sz w:val="22"/>
              </w:rPr>
            </w:pPr>
            <w:r>
              <w:rPr>
                <w:sz w:val="22"/>
              </w:rPr>
              <w:t>6,480</w:t>
            </w:r>
          </w:p>
        </w:tc>
        <w:tc>
          <w:tcPr>
            <w:tcW w:w="1305" w:type="dxa"/>
          </w:tcPr>
          <w:p>
            <w:pPr>
              <w:pStyle w:val="TableParagraph"/>
              <w:spacing w:before="56"/>
              <w:ind w:right="140"/>
              <w:rPr>
                <w:b/>
                <w:sz w:val="22"/>
              </w:rPr>
            </w:pPr>
            <w:r>
              <w:rPr>
                <w:b/>
                <w:sz w:val="22"/>
              </w:rPr>
              <w:t>-12,410</w:t>
            </w:r>
          </w:p>
        </w:tc>
      </w:tr>
    </w:tbl>
    <w:p>
      <w:pPr>
        <w:pStyle w:val="ListParagraph"/>
        <w:numPr>
          <w:ilvl w:val="0"/>
          <w:numId w:val="4"/>
        </w:numPr>
        <w:tabs>
          <w:tab w:pos="942" w:val="left" w:leader="none"/>
        </w:tabs>
        <w:spacing w:line="254" w:lineRule="auto" w:before="16" w:after="0"/>
        <w:ind w:left="941" w:right="798" w:hanging="284"/>
        <w:jc w:val="left"/>
        <w:rPr>
          <w:sz w:val="20"/>
        </w:rPr>
      </w:pPr>
      <w:r>
        <w:rPr>
          <w:sz w:val="20"/>
        </w:rPr>
        <w:t>A positive number represents an increase in the relevant budget balance; a negative number represents a decrease.</w:t>
      </w:r>
    </w:p>
    <w:p>
      <w:pPr>
        <w:pStyle w:val="ListParagraph"/>
        <w:numPr>
          <w:ilvl w:val="0"/>
          <w:numId w:val="4"/>
        </w:numPr>
        <w:tabs>
          <w:tab w:pos="942" w:val="left" w:leader="none"/>
        </w:tabs>
        <w:spacing w:line="240" w:lineRule="auto" w:before="0" w:after="0"/>
        <w:ind w:left="941" w:right="0" w:hanging="284"/>
        <w:jc w:val="left"/>
        <w:rPr>
          <w:sz w:val="20"/>
        </w:rPr>
      </w:pPr>
      <w:r>
        <w:rPr>
          <w:sz w:val="20"/>
        </w:rPr>
        <w:t>Figures may not sum to totals due to</w:t>
      </w:r>
      <w:r>
        <w:rPr>
          <w:spacing w:val="-3"/>
          <w:sz w:val="20"/>
        </w:rPr>
        <w:t> </w:t>
      </w:r>
      <w:r>
        <w:rPr>
          <w:sz w:val="20"/>
        </w:rPr>
        <w:t>rounding.</w:t>
      </w:r>
    </w:p>
    <w:p>
      <w:pPr>
        <w:tabs>
          <w:tab w:pos="941" w:val="left" w:leader="none"/>
        </w:tabs>
        <w:spacing w:before="18"/>
        <w:ind w:left="658" w:right="0" w:firstLine="0"/>
        <w:jc w:val="left"/>
        <w:rPr>
          <w:sz w:val="20"/>
        </w:rPr>
      </w:pPr>
      <w:r>
        <w:rPr>
          <w:sz w:val="20"/>
        </w:rPr>
        <w:t>-</w:t>
        <w:tab/>
        <w:t>Indicates</w:t>
      </w:r>
      <w:r>
        <w:rPr>
          <w:spacing w:val="-2"/>
          <w:sz w:val="20"/>
        </w:rPr>
        <w:t> </w:t>
      </w:r>
      <w:r>
        <w:rPr>
          <w:sz w:val="20"/>
        </w:rPr>
        <w:t>nil.</w:t>
      </w:r>
    </w:p>
    <w:p>
      <w:pPr>
        <w:pStyle w:val="BodyText"/>
        <w:spacing w:before="2"/>
        <w:rPr>
          <w:sz w:val="29"/>
        </w:rPr>
      </w:pPr>
    </w:p>
    <w:p>
      <w:pPr>
        <w:pStyle w:val="Heading1"/>
        <w:spacing w:before="1"/>
      </w:pPr>
      <w:r>
        <w:rPr>
          <w:color w:val="3C4D7C"/>
        </w:rPr>
        <w:t>Key assumptions</w:t>
      </w:r>
    </w:p>
    <w:p>
      <w:pPr>
        <w:pStyle w:val="BodyText"/>
        <w:spacing w:before="211"/>
        <w:ind w:left="658"/>
      </w:pPr>
      <w:r>
        <w:rPr/>
        <w:t>The PBO has made the following assumptions in costing this proposal.</w:t>
      </w:r>
    </w:p>
    <w:p>
      <w:pPr>
        <w:pStyle w:val="ListParagraph"/>
        <w:numPr>
          <w:ilvl w:val="0"/>
          <w:numId w:val="3"/>
        </w:numPr>
        <w:tabs>
          <w:tab w:pos="942" w:val="left" w:leader="none"/>
        </w:tabs>
        <w:spacing w:line="268" w:lineRule="auto" w:before="152" w:after="0"/>
        <w:ind w:left="941" w:right="833" w:hanging="284"/>
        <w:jc w:val="left"/>
        <w:rPr>
          <w:sz w:val="22"/>
        </w:rPr>
      </w:pPr>
      <w:r>
        <w:rPr>
          <w:sz w:val="22"/>
        </w:rPr>
        <w:t>There</w:t>
      </w:r>
      <w:r>
        <w:rPr>
          <w:spacing w:val="-11"/>
          <w:sz w:val="22"/>
        </w:rPr>
        <w:t> </w:t>
      </w:r>
      <w:r>
        <w:rPr>
          <w:sz w:val="22"/>
        </w:rPr>
        <w:t>would</w:t>
      </w:r>
      <w:r>
        <w:rPr>
          <w:spacing w:val="-10"/>
          <w:sz w:val="22"/>
        </w:rPr>
        <w:t> </w:t>
      </w:r>
      <w:r>
        <w:rPr>
          <w:sz w:val="22"/>
        </w:rPr>
        <w:t>be</w:t>
      </w:r>
      <w:r>
        <w:rPr>
          <w:spacing w:val="-8"/>
          <w:sz w:val="22"/>
        </w:rPr>
        <w:t> </w:t>
      </w:r>
      <w:r>
        <w:rPr>
          <w:sz w:val="22"/>
        </w:rPr>
        <w:t>no</w:t>
      </w:r>
      <w:r>
        <w:rPr>
          <w:spacing w:val="-11"/>
          <w:sz w:val="22"/>
        </w:rPr>
        <w:t> </w:t>
      </w:r>
      <w:r>
        <w:rPr>
          <w:sz w:val="22"/>
        </w:rPr>
        <w:t>significant</w:t>
      </w:r>
      <w:r>
        <w:rPr>
          <w:spacing w:val="-9"/>
          <w:sz w:val="22"/>
        </w:rPr>
        <w:t> </w:t>
      </w:r>
      <w:r>
        <w:rPr>
          <w:sz w:val="22"/>
        </w:rPr>
        <w:t>behavioural</w:t>
      </w:r>
      <w:r>
        <w:rPr>
          <w:spacing w:val="-9"/>
          <w:sz w:val="22"/>
        </w:rPr>
        <w:t> </w:t>
      </w:r>
      <w:r>
        <w:rPr>
          <w:sz w:val="22"/>
        </w:rPr>
        <w:t>response</w:t>
      </w:r>
      <w:r>
        <w:rPr>
          <w:spacing w:val="-8"/>
          <w:sz w:val="22"/>
        </w:rPr>
        <w:t> </w:t>
      </w:r>
      <w:r>
        <w:rPr>
          <w:sz w:val="22"/>
        </w:rPr>
        <w:t>associated</w:t>
      </w:r>
      <w:r>
        <w:rPr>
          <w:spacing w:val="-13"/>
          <w:sz w:val="22"/>
        </w:rPr>
        <w:t> </w:t>
      </w:r>
      <w:r>
        <w:rPr>
          <w:sz w:val="22"/>
        </w:rPr>
        <w:t>with</w:t>
      </w:r>
      <w:r>
        <w:rPr>
          <w:spacing w:val="-9"/>
          <w:sz w:val="22"/>
        </w:rPr>
        <w:t> </w:t>
      </w:r>
      <w:r>
        <w:rPr>
          <w:sz w:val="22"/>
        </w:rPr>
        <w:t>the</w:t>
      </w:r>
      <w:r>
        <w:rPr>
          <w:spacing w:val="-9"/>
          <w:sz w:val="22"/>
        </w:rPr>
        <w:t> </w:t>
      </w:r>
      <w:r>
        <w:rPr>
          <w:sz w:val="22"/>
        </w:rPr>
        <w:t>proposed</w:t>
      </w:r>
      <w:r>
        <w:rPr>
          <w:spacing w:val="-10"/>
          <w:sz w:val="22"/>
        </w:rPr>
        <w:t> </w:t>
      </w:r>
      <w:r>
        <w:rPr>
          <w:sz w:val="22"/>
        </w:rPr>
        <w:t>changes</w:t>
      </w:r>
      <w:r>
        <w:rPr>
          <w:spacing w:val="-9"/>
          <w:sz w:val="22"/>
        </w:rPr>
        <w:t> </w:t>
      </w:r>
      <w:r>
        <w:rPr>
          <w:sz w:val="22"/>
        </w:rPr>
        <w:t>to</w:t>
      </w:r>
      <w:r>
        <w:rPr>
          <w:spacing w:val="-9"/>
          <w:sz w:val="22"/>
        </w:rPr>
        <w:t> </w:t>
      </w:r>
      <w:r>
        <w:rPr>
          <w:sz w:val="22"/>
        </w:rPr>
        <w:t>tax rates and thresholds, including to the supply of</w:t>
      </w:r>
      <w:r>
        <w:rPr>
          <w:spacing w:val="-26"/>
          <w:sz w:val="22"/>
        </w:rPr>
        <w:t> </w:t>
      </w:r>
      <w:r>
        <w:rPr>
          <w:sz w:val="22"/>
        </w:rPr>
        <w:t>labour.</w:t>
      </w:r>
    </w:p>
    <w:p>
      <w:pPr>
        <w:spacing w:after="0" w:line="268" w:lineRule="auto"/>
        <w:jc w:val="left"/>
        <w:rPr>
          <w:sz w:val="22"/>
        </w:rPr>
        <w:sectPr>
          <w:headerReference w:type="default" r:id="rId8"/>
          <w:footerReference w:type="default" r:id="rId9"/>
          <w:pgSz w:w="11910" w:h="16840"/>
          <w:pgMar w:header="596" w:footer="620" w:top="1100" w:bottom="800" w:left="760" w:right="820"/>
          <w:pgNumType w:start="2"/>
        </w:sectPr>
      </w:pPr>
    </w:p>
    <w:p>
      <w:pPr>
        <w:pStyle w:val="ListParagraph"/>
        <w:numPr>
          <w:ilvl w:val="1"/>
          <w:numId w:val="3"/>
        </w:numPr>
        <w:tabs>
          <w:tab w:pos="1225" w:val="left" w:leader="none"/>
        </w:tabs>
        <w:spacing w:line="268" w:lineRule="auto" w:before="62" w:after="0"/>
        <w:ind w:left="1224" w:right="787" w:hanging="284"/>
        <w:jc w:val="left"/>
        <w:rPr>
          <w:sz w:val="22"/>
        </w:rPr>
      </w:pPr>
      <w:r>
        <w:rPr>
          <w:sz w:val="22"/>
        </w:rPr>
        <w:t>High income earners can often adjust their taxable income in response to changes in the marginal tax rates.</w:t>
      </w:r>
      <w:hyperlink w:history="true" w:anchor="_bookmark0">
        <w:r>
          <w:rPr>
            <w:sz w:val="22"/>
            <w:vertAlign w:val="superscript"/>
          </w:rPr>
          <w:t>1</w:t>
        </w:r>
      </w:hyperlink>
      <w:r>
        <w:rPr>
          <w:sz w:val="22"/>
          <w:vertAlign w:val="baseline"/>
        </w:rPr>
        <w:t> The analyses presented are for proposals that would not change </w:t>
      </w:r>
      <w:r>
        <w:rPr>
          <w:spacing w:val="-4"/>
          <w:sz w:val="22"/>
          <w:vertAlign w:val="baseline"/>
        </w:rPr>
        <w:t>the </w:t>
      </w:r>
      <w:r>
        <w:rPr>
          <w:sz w:val="22"/>
          <w:vertAlign w:val="baseline"/>
        </w:rPr>
        <w:t>marginal</w:t>
      </w:r>
      <w:r>
        <w:rPr>
          <w:spacing w:val="-10"/>
          <w:sz w:val="22"/>
          <w:vertAlign w:val="baseline"/>
        </w:rPr>
        <w:t> </w:t>
      </w:r>
      <w:r>
        <w:rPr>
          <w:sz w:val="22"/>
          <w:vertAlign w:val="baseline"/>
        </w:rPr>
        <w:t>tax</w:t>
      </w:r>
      <w:r>
        <w:rPr>
          <w:spacing w:val="-9"/>
          <w:sz w:val="22"/>
          <w:vertAlign w:val="baseline"/>
        </w:rPr>
        <w:t> </w:t>
      </w:r>
      <w:r>
        <w:rPr>
          <w:sz w:val="22"/>
          <w:vertAlign w:val="baseline"/>
        </w:rPr>
        <w:t>rate</w:t>
      </w:r>
      <w:r>
        <w:rPr>
          <w:spacing w:val="-9"/>
          <w:sz w:val="22"/>
          <w:vertAlign w:val="baseline"/>
        </w:rPr>
        <w:t> </w:t>
      </w:r>
      <w:r>
        <w:rPr>
          <w:sz w:val="22"/>
          <w:vertAlign w:val="baseline"/>
        </w:rPr>
        <w:t>for</w:t>
      </w:r>
      <w:r>
        <w:rPr>
          <w:spacing w:val="-11"/>
          <w:sz w:val="22"/>
          <w:vertAlign w:val="baseline"/>
        </w:rPr>
        <w:t> </w:t>
      </w:r>
      <w:r>
        <w:rPr>
          <w:sz w:val="22"/>
          <w:vertAlign w:val="baseline"/>
        </w:rPr>
        <w:t>those</w:t>
      </w:r>
      <w:r>
        <w:rPr>
          <w:spacing w:val="-11"/>
          <w:sz w:val="22"/>
          <w:vertAlign w:val="baseline"/>
        </w:rPr>
        <w:t> </w:t>
      </w:r>
      <w:r>
        <w:rPr>
          <w:sz w:val="22"/>
          <w:vertAlign w:val="baseline"/>
        </w:rPr>
        <w:t>with</w:t>
      </w:r>
      <w:r>
        <w:rPr>
          <w:spacing w:val="-10"/>
          <w:sz w:val="22"/>
          <w:vertAlign w:val="baseline"/>
        </w:rPr>
        <w:t> </w:t>
      </w:r>
      <w:r>
        <w:rPr>
          <w:sz w:val="22"/>
          <w:vertAlign w:val="baseline"/>
        </w:rPr>
        <w:t>a</w:t>
      </w:r>
      <w:r>
        <w:rPr>
          <w:spacing w:val="-11"/>
          <w:sz w:val="22"/>
          <w:vertAlign w:val="baseline"/>
        </w:rPr>
        <w:t> </w:t>
      </w:r>
      <w:r>
        <w:rPr>
          <w:sz w:val="22"/>
          <w:vertAlign w:val="baseline"/>
        </w:rPr>
        <w:t>taxable</w:t>
      </w:r>
      <w:r>
        <w:rPr>
          <w:spacing w:val="-9"/>
          <w:sz w:val="22"/>
          <w:vertAlign w:val="baseline"/>
        </w:rPr>
        <w:t> </w:t>
      </w:r>
      <w:r>
        <w:rPr>
          <w:sz w:val="22"/>
          <w:vertAlign w:val="baseline"/>
        </w:rPr>
        <w:t>income</w:t>
      </w:r>
      <w:r>
        <w:rPr>
          <w:spacing w:val="-9"/>
          <w:sz w:val="22"/>
          <w:vertAlign w:val="baseline"/>
        </w:rPr>
        <w:t> </w:t>
      </w:r>
      <w:r>
        <w:rPr>
          <w:sz w:val="22"/>
          <w:vertAlign w:val="baseline"/>
        </w:rPr>
        <w:t>greater</w:t>
      </w:r>
      <w:r>
        <w:rPr>
          <w:spacing w:val="-9"/>
          <w:sz w:val="22"/>
          <w:vertAlign w:val="baseline"/>
        </w:rPr>
        <w:t> </w:t>
      </w:r>
      <w:r>
        <w:rPr>
          <w:sz w:val="22"/>
          <w:vertAlign w:val="baseline"/>
        </w:rPr>
        <w:t>than</w:t>
      </w:r>
      <w:r>
        <w:rPr>
          <w:spacing w:val="-12"/>
          <w:sz w:val="22"/>
          <w:vertAlign w:val="baseline"/>
        </w:rPr>
        <w:t> </w:t>
      </w:r>
      <w:r>
        <w:rPr>
          <w:sz w:val="22"/>
          <w:vertAlign w:val="baseline"/>
        </w:rPr>
        <w:t>$200,000,</w:t>
      </w:r>
      <w:r>
        <w:rPr>
          <w:spacing w:val="-9"/>
          <w:sz w:val="22"/>
          <w:vertAlign w:val="baseline"/>
        </w:rPr>
        <w:t> </w:t>
      </w:r>
      <w:r>
        <w:rPr>
          <w:sz w:val="22"/>
          <w:vertAlign w:val="baseline"/>
        </w:rPr>
        <w:t>therefore</w:t>
      </w:r>
      <w:r>
        <w:rPr>
          <w:spacing w:val="-8"/>
          <w:sz w:val="22"/>
          <w:vertAlign w:val="baseline"/>
        </w:rPr>
        <w:t> </w:t>
      </w:r>
      <w:r>
        <w:rPr>
          <w:sz w:val="22"/>
          <w:vertAlign w:val="baseline"/>
        </w:rPr>
        <w:t>suggesting any adjustment to taxable income is likely to be</w:t>
      </w:r>
      <w:r>
        <w:rPr>
          <w:spacing w:val="-24"/>
          <w:sz w:val="22"/>
          <w:vertAlign w:val="baseline"/>
        </w:rPr>
        <w:t> </w:t>
      </w:r>
      <w:r>
        <w:rPr>
          <w:sz w:val="22"/>
          <w:vertAlign w:val="baseline"/>
        </w:rPr>
        <w:t>small.</w:t>
      </w:r>
    </w:p>
    <w:p>
      <w:pPr>
        <w:pStyle w:val="ListParagraph"/>
        <w:numPr>
          <w:ilvl w:val="1"/>
          <w:numId w:val="3"/>
        </w:numPr>
        <w:tabs>
          <w:tab w:pos="1225" w:val="left" w:leader="none"/>
        </w:tabs>
        <w:spacing w:line="268" w:lineRule="auto" w:before="117" w:after="0"/>
        <w:ind w:left="1224" w:right="854" w:hanging="284"/>
        <w:jc w:val="both"/>
        <w:rPr>
          <w:sz w:val="22"/>
        </w:rPr>
      </w:pPr>
      <w:r>
        <w:rPr>
          <w:sz w:val="22"/>
        </w:rPr>
        <w:t>Studies</w:t>
      </w:r>
      <w:r>
        <w:rPr>
          <w:spacing w:val="-7"/>
          <w:sz w:val="22"/>
        </w:rPr>
        <w:t> </w:t>
      </w:r>
      <w:r>
        <w:rPr>
          <w:sz w:val="22"/>
        </w:rPr>
        <w:t>indicate</w:t>
      </w:r>
      <w:r>
        <w:rPr>
          <w:spacing w:val="-7"/>
          <w:sz w:val="22"/>
        </w:rPr>
        <w:t> </w:t>
      </w:r>
      <w:r>
        <w:rPr>
          <w:sz w:val="22"/>
        </w:rPr>
        <w:t>that</w:t>
      </w:r>
      <w:r>
        <w:rPr>
          <w:spacing w:val="-7"/>
          <w:sz w:val="22"/>
        </w:rPr>
        <w:t> </w:t>
      </w:r>
      <w:r>
        <w:rPr>
          <w:sz w:val="22"/>
        </w:rPr>
        <w:t>some</w:t>
      </w:r>
      <w:r>
        <w:rPr>
          <w:spacing w:val="-9"/>
          <w:sz w:val="22"/>
        </w:rPr>
        <w:t> </w:t>
      </w:r>
      <w:r>
        <w:rPr>
          <w:sz w:val="22"/>
        </w:rPr>
        <w:t>people</w:t>
      </w:r>
      <w:r>
        <w:rPr>
          <w:spacing w:val="-7"/>
          <w:sz w:val="22"/>
        </w:rPr>
        <w:t> </w:t>
      </w:r>
      <w:r>
        <w:rPr>
          <w:sz w:val="22"/>
        </w:rPr>
        <w:t>will</w:t>
      </w:r>
      <w:r>
        <w:rPr>
          <w:spacing w:val="-10"/>
          <w:sz w:val="22"/>
        </w:rPr>
        <w:t> </w:t>
      </w:r>
      <w:r>
        <w:rPr>
          <w:sz w:val="22"/>
        </w:rPr>
        <w:t>chose</w:t>
      </w:r>
      <w:r>
        <w:rPr>
          <w:spacing w:val="-8"/>
          <w:sz w:val="22"/>
        </w:rPr>
        <w:t> </w:t>
      </w:r>
      <w:r>
        <w:rPr>
          <w:sz w:val="22"/>
        </w:rPr>
        <w:t>to</w:t>
      </w:r>
      <w:r>
        <w:rPr>
          <w:spacing w:val="-6"/>
          <w:sz w:val="22"/>
        </w:rPr>
        <w:t> </w:t>
      </w:r>
      <w:r>
        <w:rPr>
          <w:sz w:val="22"/>
        </w:rPr>
        <w:t>work</w:t>
      </w:r>
      <w:r>
        <w:rPr>
          <w:spacing w:val="-7"/>
          <w:sz w:val="22"/>
        </w:rPr>
        <w:t> </w:t>
      </w:r>
      <w:r>
        <w:rPr>
          <w:sz w:val="22"/>
        </w:rPr>
        <w:t>less</w:t>
      </w:r>
      <w:r>
        <w:rPr>
          <w:spacing w:val="-7"/>
          <w:sz w:val="22"/>
        </w:rPr>
        <w:t> </w:t>
      </w:r>
      <w:r>
        <w:rPr>
          <w:sz w:val="22"/>
        </w:rPr>
        <w:t>in</w:t>
      </w:r>
      <w:r>
        <w:rPr>
          <w:spacing w:val="-8"/>
          <w:sz w:val="22"/>
        </w:rPr>
        <w:t> </w:t>
      </w:r>
      <w:r>
        <w:rPr>
          <w:sz w:val="22"/>
        </w:rPr>
        <w:t>response</w:t>
      </w:r>
      <w:r>
        <w:rPr>
          <w:spacing w:val="-7"/>
          <w:sz w:val="22"/>
        </w:rPr>
        <w:t> </w:t>
      </w:r>
      <w:r>
        <w:rPr>
          <w:sz w:val="22"/>
        </w:rPr>
        <w:t>to</w:t>
      </w:r>
      <w:r>
        <w:rPr>
          <w:spacing w:val="-6"/>
          <w:sz w:val="22"/>
        </w:rPr>
        <w:t> </w:t>
      </w:r>
      <w:r>
        <w:rPr>
          <w:sz w:val="22"/>
        </w:rPr>
        <w:t>a</w:t>
      </w:r>
      <w:r>
        <w:rPr>
          <w:spacing w:val="-7"/>
          <w:sz w:val="22"/>
        </w:rPr>
        <w:t> </w:t>
      </w:r>
      <w:r>
        <w:rPr>
          <w:sz w:val="22"/>
        </w:rPr>
        <w:t>higher</w:t>
      </w:r>
      <w:r>
        <w:rPr>
          <w:spacing w:val="-9"/>
          <w:sz w:val="22"/>
        </w:rPr>
        <w:t> </w:t>
      </w:r>
      <w:r>
        <w:rPr>
          <w:sz w:val="22"/>
        </w:rPr>
        <w:t>marginal</w:t>
      </w:r>
      <w:r>
        <w:rPr>
          <w:spacing w:val="-8"/>
          <w:sz w:val="22"/>
        </w:rPr>
        <w:t> </w:t>
      </w:r>
      <w:r>
        <w:rPr>
          <w:spacing w:val="-3"/>
          <w:sz w:val="22"/>
        </w:rPr>
        <w:t>tax </w:t>
      </w:r>
      <w:r>
        <w:rPr>
          <w:sz w:val="22"/>
        </w:rPr>
        <w:t>rate,</w:t>
      </w:r>
      <w:r>
        <w:rPr>
          <w:spacing w:val="-11"/>
          <w:sz w:val="22"/>
        </w:rPr>
        <w:t> </w:t>
      </w:r>
      <w:r>
        <w:rPr>
          <w:sz w:val="22"/>
        </w:rPr>
        <w:t>while</w:t>
      </w:r>
      <w:r>
        <w:rPr>
          <w:spacing w:val="-10"/>
          <w:sz w:val="22"/>
        </w:rPr>
        <w:t> </w:t>
      </w:r>
      <w:r>
        <w:rPr>
          <w:sz w:val="22"/>
        </w:rPr>
        <w:t>others</w:t>
      </w:r>
      <w:r>
        <w:rPr>
          <w:spacing w:val="-10"/>
          <w:sz w:val="22"/>
        </w:rPr>
        <w:t> </w:t>
      </w:r>
      <w:r>
        <w:rPr>
          <w:sz w:val="22"/>
        </w:rPr>
        <w:t>will</w:t>
      </w:r>
      <w:r>
        <w:rPr>
          <w:spacing w:val="-9"/>
          <w:sz w:val="22"/>
        </w:rPr>
        <w:t> </w:t>
      </w:r>
      <w:r>
        <w:rPr>
          <w:sz w:val="22"/>
        </w:rPr>
        <w:t>work</w:t>
      </w:r>
      <w:r>
        <w:rPr>
          <w:spacing w:val="-10"/>
          <w:sz w:val="22"/>
        </w:rPr>
        <w:t> </w:t>
      </w:r>
      <w:r>
        <w:rPr>
          <w:sz w:val="22"/>
        </w:rPr>
        <w:t>more.</w:t>
      </w:r>
      <w:hyperlink w:history="true" w:anchor="_bookmark1">
        <w:r>
          <w:rPr>
            <w:sz w:val="22"/>
            <w:vertAlign w:val="superscript"/>
          </w:rPr>
          <w:t>2</w:t>
        </w:r>
      </w:hyperlink>
      <w:r>
        <w:rPr>
          <w:spacing w:val="36"/>
          <w:sz w:val="22"/>
          <w:vertAlign w:val="baseline"/>
        </w:rPr>
        <w:t> </w:t>
      </w:r>
      <w:r>
        <w:rPr>
          <w:sz w:val="22"/>
          <w:vertAlign w:val="baseline"/>
        </w:rPr>
        <w:t>There</w:t>
      </w:r>
      <w:r>
        <w:rPr>
          <w:spacing w:val="-8"/>
          <w:sz w:val="22"/>
          <w:vertAlign w:val="baseline"/>
        </w:rPr>
        <w:t> </w:t>
      </w:r>
      <w:r>
        <w:rPr>
          <w:sz w:val="22"/>
          <w:vertAlign w:val="baseline"/>
        </w:rPr>
        <w:t>is</w:t>
      </w:r>
      <w:r>
        <w:rPr>
          <w:spacing w:val="-11"/>
          <w:sz w:val="22"/>
          <w:vertAlign w:val="baseline"/>
        </w:rPr>
        <w:t> </w:t>
      </w:r>
      <w:r>
        <w:rPr>
          <w:sz w:val="22"/>
          <w:vertAlign w:val="baseline"/>
        </w:rPr>
        <w:t>considerable</w:t>
      </w:r>
      <w:r>
        <w:rPr>
          <w:spacing w:val="-8"/>
          <w:sz w:val="22"/>
          <w:vertAlign w:val="baseline"/>
        </w:rPr>
        <w:t> </w:t>
      </w:r>
      <w:r>
        <w:rPr>
          <w:sz w:val="22"/>
          <w:vertAlign w:val="baseline"/>
        </w:rPr>
        <w:t>uncertainty</w:t>
      </w:r>
      <w:r>
        <w:rPr>
          <w:spacing w:val="-9"/>
          <w:sz w:val="22"/>
          <w:vertAlign w:val="baseline"/>
        </w:rPr>
        <w:t> </w:t>
      </w:r>
      <w:r>
        <w:rPr>
          <w:sz w:val="22"/>
          <w:vertAlign w:val="baseline"/>
        </w:rPr>
        <w:t>regarding</w:t>
      </w:r>
      <w:r>
        <w:rPr>
          <w:spacing w:val="-9"/>
          <w:sz w:val="22"/>
          <w:vertAlign w:val="baseline"/>
        </w:rPr>
        <w:t> </w:t>
      </w:r>
      <w:r>
        <w:rPr>
          <w:sz w:val="22"/>
          <w:vertAlign w:val="baseline"/>
        </w:rPr>
        <w:t>the</w:t>
      </w:r>
      <w:r>
        <w:rPr>
          <w:spacing w:val="-8"/>
          <w:sz w:val="22"/>
          <w:vertAlign w:val="baseline"/>
        </w:rPr>
        <w:t> </w:t>
      </w:r>
      <w:r>
        <w:rPr>
          <w:sz w:val="22"/>
          <w:vertAlign w:val="baseline"/>
        </w:rPr>
        <w:t>direction, magnitude</w:t>
      </w:r>
      <w:r>
        <w:rPr>
          <w:spacing w:val="-3"/>
          <w:sz w:val="22"/>
          <w:vertAlign w:val="baseline"/>
        </w:rPr>
        <w:t> </w:t>
      </w:r>
      <w:r>
        <w:rPr>
          <w:sz w:val="22"/>
          <w:vertAlign w:val="baseline"/>
        </w:rPr>
        <w:t>and</w:t>
      </w:r>
      <w:r>
        <w:rPr>
          <w:spacing w:val="-7"/>
          <w:sz w:val="22"/>
          <w:vertAlign w:val="baseline"/>
        </w:rPr>
        <w:t> </w:t>
      </w:r>
      <w:r>
        <w:rPr>
          <w:sz w:val="22"/>
          <w:vertAlign w:val="baseline"/>
        </w:rPr>
        <w:t>timing</w:t>
      </w:r>
      <w:r>
        <w:rPr>
          <w:spacing w:val="-5"/>
          <w:sz w:val="22"/>
          <w:vertAlign w:val="baseline"/>
        </w:rPr>
        <w:t> </w:t>
      </w:r>
      <w:r>
        <w:rPr>
          <w:sz w:val="22"/>
          <w:vertAlign w:val="baseline"/>
        </w:rPr>
        <w:t>of</w:t>
      </w:r>
      <w:r>
        <w:rPr>
          <w:spacing w:val="-6"/>
          <w:sz w:val="22"/>
          <w:vertAlign w:val="baseline"/>
        </w:rPr>
        <w:t> </w:t>
      </w:r>
      <w:r>
        <w:rPr>
          <w:sz w:val="22"/>
          <w:vertAlign w:val="baseline"/>
        </w:rPr>
        <w:t>these</w:t>
      </w:r>
      <w:r>
        <w:rPr>
          <w:spacing w:val="-4"/>
          <w:sz w:val="22"/>
          <w:vertAlign w:val="baseline"/>
        </w:rPr>
        <w:t> </w:t>
      </w:r>
      <w:r>
        <w:rPr>
          <w:sz w:val="22"/>
          <w:vertAlign w:val="baseline"/>
        </w:rPr>
        <w:t>effects</w:t>
      </w:r>
      <w:r>
        <w:rPr>
          <w:spacing w:val="-6"/>
          <w:sz w:val="22"/>
          <w:vertAlign w:val="baseline"/>
        </w:rPr>
        <w:t> </w:t>
      </w:r>
      <w:r>
        <w:rPr>
          <w:sz w:val="22"/>
          <w:vertAlign w:val="baseline"/>
        </w:rPr>
        <w:t>on</w:t>
      </w:r>
      <w:r>
        <w:rPr>
          <w:spacing w:val="-3"/>
          <w:sz w:val="22"/>
          <w:vertAlign w:val="baseline"/>
        </w:rPr>
        <w:t> </w:t>
      </w:r>
      <w:r>
        <w:rPr>
          <w:sz w:val="22"/>
          <w:vertAlign w:val="baseline"/>
        </w:rPr>
        <w:t>labour</w:t>
      </w:r>
      <w:r>
        <w:rPr>
          <w:spacing w:val="-4"/>
          <w:sz w:val="22"/>
          <w:vertAlign w:val="baseline"/>
        </w:rPr>
        <w:t> </w:t>
      </w:r>
      <w:r>
        <w:rPr>
          <w:sz w:val="22"/>
          <w:vertAlign w:val="baseline"/>
        </w:rPr>
        <w:t>supply.</w:t>
      </w:r>
    </w:p>
    <w:p>
      <w:pPr>
        <w:pStyle w:val="ListParagraph"/>
        <w:numPr>
          <w:ilvl w:val="0"/>
          <w:numId w:val="3"/>
        </w:numPr>
        <w:tabs>
          <w:tab w:pos="942" w:val="left" w:leader="none"/>
        </w:tabs>
        <w:spacing w:line="268" w:lineRule="auto" w:before="118" w:after="0"/>
        <w:ind w:left="941" w:right="633" w:hanging="283"/>
        <w:jc w:val="both"/>
        <w:rPr>
          <w:sz w:val="22"/>
        </w:rPr>
      </w:pPr>
      <w:r>
        <w:rPr>
          <w:sz w:val="22"/>
        </w:rPr>
        <w:t>The</w:t>
      </w:r>
      <w:r>
        <w:rPr>
          <w:spacing w:val="-9"/>
          <w:sz w:val="22"/>
        </w:rPr>
        <w:t> </w:t>
      </w:r>
      <w:r>
        <w:rPr>
          <w:sz w:val="22"/>
        </w:rPr>
        <w:t>Commissioner</w:t>
      </w:r>
      <w:r>
        <w:rPr>
          <w:spacing w:val="-11"/>
          <w:sz w:val="22"/>
        </w:rPr>
        <w:t> </w:t>
      </w:r>
      <w:r>
        <w:rPr>
          <w:sz w:val="22"/>
        </w:rPr>
        <w:t>of</w:t>
      </w:r>
      <w:r>
        <w:rPr>
          <w:spacing w:val="-11"/>
          <w:sz w:val="22"/>
        </w:rPr>
        <w:t> </w:t>
      </w:r>
      <w:r>
        <w:rPr>
          <w:sz w:val="22"/>
        </w:rPr>
        <w:t>the</w:t>
      </w:r>
      <w:r>
        <w:rPr>
          <w:spacing w:val="-8"/>
          <w:sz w:val="22"/>
        </w:rPr>
        <w:t> </w:t>
      </w:r>
      <w:r>
        <w:rPr>
          <w:sz w:val="22"/>
        </w:rPr>
        <w:t>Australian</w:t>
      </w:r>
      <w:r>
        <w:rPr>
          <w:spacing w:val="-9"/>
          <w:sz w:val="22"/>
        </w:rPr>
        <w:t> </w:t>
      </w:r>
      <w:r>
        <w:rPr>
          <w:sz w:val="22"/>
        </w:rPr>
        <w:t>Taxation</w:t>
      </w:r>
      <w:r>
        <w:rPr>
          <w:spacing w:val="-9"/>
          <w:sz w:val="22"/>
        </w:rPr>
        <w:t> </w:t>
      </w:r>
      <w:r>
        <w:rPr>
          <w:sz w:val="22"/>
        </w:rPr>
        <w:t>Office</w:t>
      </w:r>
      <w:r>
        <w:rPr>
          <w:spacing w:val="-9"/>
          <w:sz w:val="22"/>
        </w:rPr>
        <w:t> </w:t>
      </w:r>
      <w:r>
        <w:rPr>
          <w:sz w:val="22"/>
        </w:rPr>
        <w:t>would</w:t>
      </w:r>
      <w:r>
        <w:rPr>
          <w:spacing w:val="-9"/>
          <w:sz w:val="22"/>
        </w:rPr>
        <w:t> </w:t>
      </w:r>
      <w:r>
        <w:rPr>
          <w:sz w:val="22"/>
        </w:rPr>
        <w:t>be</w:t>
      </w:r>
      <w:r>
        <w:rPr>
          <w:spacing w:val="-8"/>
          <w:sz w:val="22"/>
        </w:rPr>
        <w:t> </w:t>
      </w:r>
      <w:r>
        <w:rPr>
          <w:sz w:val="22"/>
        </w:rPr>
        <w:t>able</w:t>
      </w:r>
      <w:r>
        <w:rPr>
          <w:spacing w:val="-10"/>
          <w:sz w:val="22"/>
        </w:rPr>
        <w:t> </w:t>
      </w:r>
      <w:r>
        <w:rPr>
          <w:sz w:val="22"/>
        </w:rPr>
        <w:t>to</w:t>
      </w:r>
      <w:r>
        <w:rPr>
          <w:spacing w:val="-6"/>
          <w:sz w:val="22"/>
        </w:rPr>
        <w:t> </w:t>
      </w:r>
      <w:r>
        <w:rPr>
          <w:sz w:val="22"/>
        </w:rPr>
        <w:t>deliver</w:t>
      </w:r>
      <w:r>
        <w:rPr>
          <w:spacing w:val="-9"/>
          <w:sz w:val="22"/>
        </w:rPr>
        <w:t> </w:t>
      </w:r>
      <w:r>
        <w:rPr>
          <w:sz w:val="22"/>
        </w:rPr>
        <w:t>the</w:t>
      </w:r>
      <w:r>
        <w:rPr>
          <w:spacing w:val="-10"/>
          <w:sz w:val="22"/>
        </w:rPr>
        <w:t> </w:t>
      </w:r>
      <w:r>
        <w:rPr>
          <w:sz w:val="22"/>
        </w:rPr>
        <w:t>proposed</w:t>
      </w:r>
      <w:r>
        <w:rPr>
          <w:spacing w:val="-9"/>
          <w:sz w:val="22"/>
        </w:rPr>
        <w:t> </w:t>
      </w:r>
      <w:r>
        <w:rPr>
          <w:sz w:val="22"/>
        </w:rPr>
        <w:t>2020-21 personal</w:t>
      </w:r>
      <w:r>
        <w:rPr>
          <w:spacing w:val="-7"/>
          <w:sz w:val="22"/>
        </w:rPr>
        <w:t> </w:t>
      </w:r>
      <w:r>
        <w:rPr>
          <w:sz w:val="22"/>
        </w:rPr>
        <w:t>income</w:t>
      </w:r>
      <w:r>
        <w:rPr>
          <w:spacing w:val="-7"/>
          <w:sz w:val="22"/>
        </w:rPr>
        <w:t> </w:t>
      </w:r>
      <w:r>
        <w:rPr>
          <w:sz w:val="22"/>
        </w:rPr>
        <w:t>tax</w:t>
      </w:r>
      <w:r>
        <w:rPr>
          <w:spacing w:val="-5"/>
          <w:sz w:val="22"/>
        </w:rPr>
        <w:t> </w:t>
      </w:r>
      <w:r>
        <w:rPr>
          <w:sz w:val="22"/>
        </w:rPr>
        <w:t>cuts</w:t>
      </w:r>
      <w:r>
        <w:rPr>
          <w:spacing w:val="-6"/>
          <w:sz w:val="22"/>
        </w:rPr>
        <w:t> </w:t>
      </w:r>
      <w:r>
        <w:rPr>
          <w:sz w:val="22"/>
        </w:rPr>
        <w:t>during</w:t>
      </w:r>
      <w:r>
        <w:rPr>
          <w:spacing w:val="-6"/>
          <w:sz w:val="22"/>
        </w:rPr>
        <w:t> </w:t>
      </w:r>
      <w:r>
        <w:rPr>
          <w:sz w:val="22"/>
        </w:rPr>
        <w:t>the</w:t>
      </w:r>
      <w:r>
        <w:rPr>
          <w:spacing w:val="-7"/>
          <w:sz w:val="22"/>
        </w:rPr>
        <w:t> </w:t>
      </w:r>
      <w:r>
        <w:rPr>
          <w:sz w:val="22"/>
        </w:rPr>
        <w:t>year</w:t>
      </w:r>
      <w:r>
        <w:rPr>
          <w:spacing w:val="-6"/>
          <w:sz w:val="22"/>
        </w:rPr>
        <w:t> </w:t>
      </w:r>
      <w:r>
        <w:rPr>
          <w:sz w:val="22"/>
        </w:rPr>
        <w:t>by</w:t>
      </w:r>
      <w:r>
        <w:rPr>
          <w:spacing w:val="-7"/>
          <w:sz w:val="22"/>
        </w:rPr>
        <w:t> </w:t>
      </w:r>
      <w:r>
        <w:rPr>
          <w:sz w:val="22"/>
        </w:rPr>
        <w:t>amending</w:t>
      </w:r>
      <w:r>
        <w:rPr>
          <w:spacing w:val="-7"/>
          <w:sz w:val="22"/>
        </w:rPr>
        <w:t> </w:t>
      </w:r>
      <w:r>
        <w:rPr>
          <w:sz w:val="22"/>
        </w:rPr>
        <w:t>the</w:t>
      </w:r>
      <w:r>
        <w:rPr>
          <w:spacing w:val="-5"/>
          <w:sz w:val="22"/>
        </w:rPr>
        <w:t> </w:t>
      </w:r>
      <w:r>
        <w:rPr>
          <w:sz w:val="22"/>
        </w:rPr>
        <w:t>pay-as-you-go</w:t>
      </w:r>
      <w:r>
        <w:rPr>
          <w:spacing w:val="-7"/>
          <w:sz w:val="22"/>
        </w:rPr>
        <w:t> </w:t>
      </w:r>
      <w:r>
        <w:rPr>
          <w:sz w:val="22"/>
        </w:rPr>
        <w:t>withholding</w:t>
      </w:r>
      <w:r>
        <w:rPr>
          <w:spacing w:val="-8"/>
          <w:sz w:val="22"/>
        </w:rPr>
        <w:t> </w:t>
      </w:r>
      <w:r>
        <w:rPr>
          <w:sz w:val="22"/>
        </w:rPr>
        <w:t>tables.</w:t>
      </w:r>
    </w:p>
    <w:p>
      <w:pPr>
        <w:pStyle w:val="ListParagraph"/>
        <w:numPr>
          <w:ilvl w:val="1"/>
          <w:numId w:val="3"/>
        </w:numPr>
        <w:tabs>
          <w:tab w:pos="1225" w:val="left" w:leader="none"/>
        </w:tabs>
        <w:spacing w:line="268" w:lineRule="auto" w:before="118" w:after="0"/>
        <w:ind w:left="1224" w:right="750" w:hanging="284"/>
        <w:jc w:val="both"/>
        <w:rPr>
          <w:sz w:val="22"/>
        </w:rPr>
      </w:pPr>
      <w:r>
        <w:rPr>
          <w:sz w:val="22"/>
        </w:rPr>
        <w:t>The</w:t>
      </w:r>
      <w:r>
        <w:rPr>
          <w:spacing w:val="-7"/>
          <w:sz w:val="22"/>
        </w:rPr>
        <w:t> </w:t>
      </w:r>
      <w:r>
        <w:rPr>
          <w:sz w:val="22"/>
        </w:rPr>
        <w:t>implication</w:t>
      </w:r>
      <w:r>
        <w:rPr>
          <w:spacing w:val="-8"/>
          <w:sz w:val="22"/>
        </w:rPr>
        <w:t> </w:t>
      </w:r>
      <w:r>
        <w:rPr>
          <w:sz w:val="22"/>
        </w:rPr>
        <w:t>of</w:t>
      </w:r>
      <w:r>
        <w:rPr>
          <w:spacing w:val="-7"/>
          <w:sz w:val="22"/>
        </w:rPr>
        <w:t> </w:t>
      </w:r>
      <w:r>
        <w:rPr>
          <w:sz w:val="22"/>
        </w:rPr>
        <w:t>this</w:t>
      </w:r>
      <w:r>
        <w:rPr>
          <w:spacing w:val="-9"/>
          <w:sz w:val="22"/>
        </w:rPr>
        <w:t> </w:t>
      </w:r>
      <w:r>
        <w:rPr>
          <w:sz w:val="22"/>
        </w:rPr>
        <w:t>assumption</w:t>
      </w:r>
      <w:r>
        <w:rPr>
          <w:spacing w:val="-8"/>
          <w:sz w:val="22"/>
        </w:rPr>
        <w:t> </w:t>
      </w:r>
      <w:r>
        <w:rPr>
          <w:sz w:val="22"/>
        </w:rPr>
        <w:t>is</w:t>
      </w:r>
      <w:r>
        <w:rPr>
          <w:spacing w:val="-10"/>
          <w:sz w:val="22"/>
        </w:rPr>
        <w:t> </w:t>
      </w:r>
      <w:r>
        <w:rPr>
          <w:sz w:val="22"/>
        </w:rPr>
        <w:t>that</w:t>
      </w:r>
      <w:r>
        <w:rPr>
          <w:spacing w:val="-8"/>
          <w:sz w:val="22"/>
        </w:rPr>
        <w:t> </w:t>
      </w:r>
      <w:r>
        <w:rPr>
          <w:sz w:val="22"/>
        </w:rPr>
        <w:t>most</w:t>
      </w:r>
      <w:r>
        <w:rPr>
          <w:spacing w:val="-7"/>
          <w:sz w:val="22"/>
        </w:rPr>
        <w:t> </w:t>
      </w:r>
      <w:r>
        <w:rPr>
          <w:sz w:val="22"/>
        </w:rPr>
        <w:t>of</w:t>
      </w:r>
      <w:r>
        <w:rPr>
          <w:spacing w:val="-8"/>
          <w:sz w:val="22"/>
        </w:rPr>
        <w:t> </w:t>
      </w:r>
      <w:r>
        <w:rPr>
          <w:sz w:val="22"/>
        </w:rPr>
        <w:t>the</w:t>
      </w:r>
      <w:r>
        <w:rPr>
          <w:spacing w:val="-8"/>
          <w:sz w:val="22"/>
        </w:rPr>
        <w:t> </w:t>
      </w:r>
      <w:r>
        <w:rPr>
          <w:sz w:val="22"/>
        </w:rPr>
        <w:t>change</w:t>
      </w:r>
      <w:r>
        <w:rPr>
          <w:spacing w:val="-7"/>
          <w:sz w:val="22"/>
        </w:rPr>
        <w:t> </w:t>
      </w:r>
      <w:r>
        <w:rPr>
          <w:sz w:val="22"/>
        </w:rPr>
        <w:t>in</w:t>
      </w:r>
      <w:r>
        <w:rPr>
          <w:spacing w:val="-11"/>
          <w:sz w:val="22"/>
        </w:rPr>
        <w:t> </w:t>
      </w:r>
      <w:r>
        <w:rPr>
          <w:sz w:val="22"/>
        </w:rPr>
        <w:t>tax</w:t>
      </w:r>
      <w:r>
        <w:rPr>
          <w:spacing w:val="-6"/>
          <w:sz w:val="22"/>
        </w:rPr>
        <w:t> </w:t>
      </w:r>
      <w:r>
        <w:rPr>
          <w:sz w:val="22"/>
        </w:rPr>
        <w:t>revenue</w:t>
      </w:r>
      <w:r>
        <w:rPr>
          <w:spacing w:val="-7"/>
          <w:sz w:val="22"/>
        </w:rPr>
        <w:t> </w:t>
      </w:r>
      <w:r>
        <w:rPr>
          <w:sz w:val="22"/>
        </w:rPr>
        <w:t>resulting</w:t>
      </w:r>
      <w:r>
        <w:rPr>
          <w:spacing w:val="-8"/>
          <w:sz w:val="22"/>
        </w:rPr>
        <w:t> </w:t>
      </w:r>
      <w:r>
        <w:rPr>
          <w:sz w:val="22"/>
        </w:rPr>
        <w:t>from</w:t>
      </w:r>
      <w:r>
        <w:rPr>
          <w:spacing w:val="-8"/>
          <w:sz w:val="22"/>
        </w:rPr>
        <w:t> </w:t>
      </w:r>
      <w:r>
        <w:rPr>
          <w:spacing w:val="-3"/>
          <w:sz w:val="22"/>
        </w:rPr>
        <w:t>the </w:t>
      </w:r>
      <w:r>
        <w:rPr>
          <w:sz w:val="22"/>
        </w:rPr>
        <w:t>proposed tax changes in the 2020-21 income year would occur in the same year. If</w:t>
      </w:r>
      <w:r>
        <w:rPr>
          <w:spacing w:val="-36"/>
          <w:sz w:val="22"/>
        </w:rPr>
        <w:t> </w:t>
      </w:r>
      <w:r>
        <w:rPr>
          <w:sz w:val="22"/>
        </w:rPr>
        <w:t>the</w:t>
      </w:r>
    </w:p>
    <w:p>
      <w:pPr>
        <w:pStyle w:val="BodyText"/>
        <w:spacing w:line="268" w:lineRule="auto"/>
        <w:ind w:left="1224" w:right="895"/>
      </w:pPr>
      <w:r>
        <w:rPr/>
        <w:t>pay-as-you-go withholding tables were </w:t>
      </w:r>
      <w:r>
        <w:rPr>
          <w:spacing w:val="-2"/>
        </w:rPr>
        <w:t>not </w:t>
      </w:r>
      <w:r>
        <w:rPr/>
        <w:t>amended until the following year, most of the change in tax revenue resulting from the tax changes in the 2020-21 income year would </w:t>
      </w:r>
      <w:r>
        <w:rPr>
          <w:spacing w:val="-2"/>
        </w:rPr>
        <w:t>not </w:t>
      </w:r>
      <w:r>
        <w:rPr/>
        <w:t>occur until the following </w:t>
      </w:r>
      <w:r>
        <w:rPr>
          <w:spacing w:val="-2"/>
        </w:rPr>
        <w:t>income </w:t>
      </w:r>
      <w:r>
        <w:rPr/>
        <w:t>year, upon lodgement of 2020-21 tax returns.</w:t>
      </w:r>
    </w:p>
    <w:p>
      <w:pPr>
        <w:pStyle w:val="BodyText"/>
        <w:spacing w:before="6"/>
        <w:rPr>
          <w:sz w:val="26"/>
        </w:rPr>
      </w:pPr>
    </w:p>
    <w:p>
      <w:pPr>
        <w:pStyle w:val="Heading1"/>
      </w:pPr>
      <w:r>
        <w:rPr>
          <w:color w:val="3C4D7C"/>
        </w:rPr>
        <w:t>Methodology</w:t>
      </w:r>
    </w:p>
    <w:p>
      <w:pPr>
        <w:pStyle w:val="BodyText"/>
        <w:spacing w:line="268" w:lineRule="auto" w:before="214"/>
        <w:ind w:left="658" w:right="735"/>
        <w:jc w:val="both"/>
      </w:pPr>
      <w:r>
        <w:rPr/>
        <w:t>The</w:t>
      </w:r>
      <w:r>
        <w:rPr>
          <w:spacing w:val="-8"/>
        </w:rPr>
        <w:t> </w:t>
      </w:r>
      <w:r>
        <w:rPr/>
        <w:t>financial</w:t>
      </w:r>
      <w:r>
        <w:rPr>
          <w:spacing w:val="-9"/>
        </w:rPr>
        <w:t> </w:t>
      </w:r>
      <w:r>
        <w:rPr/>
        <w:t>implications</w:t>
      </w:r>
      <w:r>
        <w:rPr>
          <w:spacing w:val="-8"/>
        </w:rPr>
        <w:t> </w:t>
      </w:r>
      <w:r>
        <w:rPr/>
        <w:t>of</w:t>
      </w:r>
      <w:r>
        <w:rPr>
          <w:spacing w:val="-9"/>
        </w:rPr>
        <w:t> </w:t>
      </w:r>
      <w:r>
        <w:rPr/>
        <w:t>this</w:t>
      </w:r>
      <w:r>
        <w:rPr>
          <w:spacing w:val="-8"/>
        </w:rPr>
        <w:t> </w:t>
      </w:r>
      <w:r>
        <w:rPr/>
        <w:t>proposal</w:t>
      </w:r>
      <w:r>
        <w:rPr>
          <w:spacing w:val="-10"/>
        </w:rPr>
        <w:t> </w:t>
      </w:r>
      <w:r>
        <w:rPr/>
        <w:t>were</w:t>
      </w:r>
      <w:r>
        <w:rPr>
          <w:spacing w:val="-8"/>
        </w:rPr>
        <w:t> </w:t>
      </w:r>
      <w:r>
        <w:rPr/>
        <w:t>estimated</w:t>
      </w:r>
      <w:r>
        <w:rPr>
          <w:spacing w:val="-9"/>
        </w:rPr>
        <w:t> </w:t>
      </w:r>
      <w:r>
        <w:rPr/>
        <w:t>using</w:t>
      </w:r>
      <w:r>
        <w:rPr>
          <w:spacing w:val="-8"/>
        </w:rPr>
        <w:t> </w:t>
      </w:r>
      <w:r>
        <w:rPr/>
        <w:t>a</w:t>
      </w:r>
      <w:r>
        <w:rPr>
          <w:spacing w:val="-11"/>
        </w:rPr>
        <w:t> </w:t>
      </w:r>
      <w:r>
        <w:rPr/>
        <w:t>16</w:t>
      </w:r>
      <w:r>
        <w:rPr>
          <w:spacing w:val="-7"/>
        </w:rPr>
        <w:t> </w:t>
      </w:r>
      <w:r>
        <w:rPr/>
        <w:t>per</w:t>
      </w:r>
      <w:r>
        <w:rPr>
          <w:spacing w:val="-10"/>
        </w:rPr>
        <w:t> </w:t>
      </w:r>
      <w:r>
        <w:rPr/>
        <w:t>cent</w:t>
      </w:r>
      <w:r>
        <w:rPr>
          <w:spacing w:val="-10"/>
        </w:rPr>
        <w:t> </w:t>
      </w:r>
      <w:r>
        <w:rPr/>
        <w:t>sample</w:t>
      </w:r>
      <w:r>
        <w:rPr>
          <w:spacing w:val="-10"/>
        </w:rPr>
        <w:t> </w:t>
      </w:r>
      <w:r>
        <w:rPr/>
        <w:t>of</w:t>
      </w:r>
      <w:r>
        <w:rPr>
          <w:spacing w:val="-8"/>
        </w:rPr>
        <w:t> </w:t>
      </w:r>
      <w:r>
        <w:rPr/>
        <w:t>de-identified personal</w:t>
      </w:r>
      <w:r>
        <w:rPr>
          <w:spacing w:val="-11"/>
        </w:rPr>
        <w:t> </w:t>
      </w:r>
      <w:r>
        <w:rPr/>
        <w:t>income</w:t>
      </w:r>
      <w:r>
        <w:rPr>
          <w:spacing w:val="-11"/>
        </w:rPr>
        <w:t> </w:t>
      </w:r>
      <w:r>
        <w:rPr/>
        <w:t>tax</w:t>
      </w:r>
      <w:r>
        <w:rPr>
          <w:spacing w:val="-9"/>
        </w:rPr>
        <w:t> </w:t>
      </w:r>
      <w:r>
        <w:rPr/>
        <w:t>and</w:t>
      </w:r>
      <w:r>
        <w:rPr>
          <w:spacing w:val="-10"/>
        </w:rPr>
        <w:t> </w:t>
      </w:r>
      <w:r>
        <w:rPr/>
        <w:t>superannuation</w:t>
      </w:r>
      <w:r>
        <w:rPr>
          <w:spacing w:val="-10"/>
        </w:rPr>
        <w:t> </w:t>
      </w:r>
      <w:r>
        <w:rPr/>
        <w:t>data</w:t>
      </w:r>
      <w:r>
        <w:rPr>
          <w:spacing w:val="-10"/>
        </w:rPr>
        <w:t> </w:t>
      </w:r>
      <w:r>
        <w:rPr/>
        <w:t>for</w:t>
      </w:r>
      <w:r>
        <w:rPr>
          <w:spacing w:val="-11"/>
        </w:rPr>
        <w:t> </w:t>
      </w:r>
      <w:r>
        <w:rPr/>
        <w:t>2017-18</w:t>
      </w:r>
      <w:r>
        <w:rPr>
          <w:spacing w:val="-9"/>
        </w:rPr>
        <w:t> </w:t>
      </w:r>
      <w:r>
        <w:rPr/>
        <w:t>provided</w:t>
      </w:r>
      <w:r>
        <w:rPr>
          <w:spacing w:val="-10"/>
        </w:rPr>
        <w:t> </w:t>
      </w:r>
      <w:r>
        <w:rPr/>
        <w:t>by</w:t>
      </w:r>
      <w:r>
        <w:rPr>
          <w:spacing w:val="-11"/>
        </w:rPr>
        <w:t> </w:t>
      </w:r>
      <w:r>
        <w:rPr/>
        <w:t>the</w:t>
      </w:r>
      <w:r>
        <w:rPr>
          <w:spacing w:val="-9"/>
        </w:rPr>
        <w:t> </w:t>
      </w:r>
      <w:r>
        <w:rPr/>
        <w:t>Australian</w:t>
      </w:r>
      <w:r>
        <w:rPr>
          <w:spacing w:val="-13"/>
        </w:rPr>
        <w:t> </w:t>
      </w:r>
      <w:r>
        <w:rPr/>
        <w:t>Taxation</w:t>
      </w:r>
      <w:r>
        <w:rPr>
          <w:spacing w:val="-10"/>
        </w:rPr>
        <w:t> </w:t>
      </w:r>
      <w:r>
        <w:rPr/>
        <w:t>Office (ATO). </w:t>
      </w:r>
      <w:r>
        <w:rPr>
          <w:spacing w:val="-2"/>
        </w:rPr>
        <w:t>The </w:t>
      </w:r>
      <w:r>
        <w:rPr/>
        <w:t>data were used to estimate the change in tax </w:t>
      </w:r>
      <w:r>
        <w:rPr>
          <w:spacing w:val="-3"/>
        </w:rPr>
        <w:t>payable </w:t>
      </w:r>
      <w:r>
        <w:rPr/>
        <w:t>for each</w:t>
      </w:r>
      <w:r>
        <w:rPr>
          <w:spacing w:val="-6"/>
        </w:rPr>
        <w:t> </w:t>
      </w:r>
      <w:r>
        <w:rPr/>
        <w:t>component.</w:t>
      </w:r>
    </w:p>
    <w:p>
      <w:pPr>
        <w:pStyle w:val="BodyText"/>
        <w:spacing w:line="374" w:lineRule="auto" w:before="117"/>
        <w:ind w:left="658" w:right="4157"/>
        <w:jc w:val="both"/>
      </w:pPr>
      <w:r>
        <w:rPr/>
        <w:t>This</w:t>
      </w:r>
      <w:r>
        <w:rPr>
          <w:spacing w:val="-11"/>
        </w:rPr>
        <w:t> </w:t>
      </w:r>
      <w:r>
        <w:rPr/>
        <w:t>modelling</w:t>
      </w:r>
      <w:r>
        <w:rPr>
          <w:spacing w:val="-9"/>
        </w:rPr>
        <w:t> </w:t>
      </w:r>
      <w:r>
        <w:rPr/>
        <w:t>takes</w:t>
      </w:r>
      <w:r>
        <w:rPr>
          <w:spacing w:val="-9"/>
        </w:rPr>
        <w:t> </w:t>
      </w:r>
      <w:r>
        <w:rPr/>
        <w:t>into</w:t>
      </w:r>
      <w:r>
        <w:rPr>
          <w:spacing w:val="-7"/>
        </w:rPr>
        <w:t> </w:t>
      </w:r>
      <w:r>
        <w:rPr/>
        <w:t>account</w:t>
      </w:r>
      <w:r>
        <w:rPr>
          <w:spacing w:val="-8"/>
        </w:rPr>
        <w:t> </w:t>
      </w:r>
      <w:r>
        <w:rPr/>
        <w:t>the</w:t>
      </w:r>
      <w:r>
        <w:rPr>
          <w:spacing w:val="-10"/>
        </w:rPr>
        <w:t> </w:t>
      </w:r>
      <w:r>
        <w:rPr/>
        <w:t>timing</w:t>
      </w:r>
      <w:r>
        <w:rPr>
          <w:spacing w:val="-11"/>
        </w:rPr>
        <w:t> </w:t>
      </w:r>
      <w:r>
        <w:rPr/>
        <w:t>of</w:t>
      </w:r>
      <w:r>
        <w:rPr>
          <w:spacing w:val="-11"/>
        </w:rPr>
        <w:t> </w:t>
      </w:r>
      <w:r>
        <w:rPr/>
        <w:t>tax</w:t>
      </w:r>
      <w:r>
        <w:rPr>
          <w:spacing w:val="-8"/>
        </w:rPr>
        <w:t> </w:t>
      </w:r>
      <w:r>
        <w:rPr/>
        <w:t>collections. All</w:t>
      </w:r>
      <w:r>
        <w:rPr>
          <w:spacing w:val="-7"/>
        </w:rPr>
        <w:t> </w:t>
      </w:r>
      <w:r>
        <w:rPr/>
        <w:t>estimates</w:t>
      </w:r>
      <w:r>
        <w:rPr>
          <w:spacing w:val="-7"/>
        </w:rPr>
        <w:t> </w:t>
      </w:r>
      <w:r>
        <w:rPr/>
        <w:t>were</w:t>
      </w:r>
      <w:r>
        <w:rPr>
          <w:spacing w:val="-4"/>
        </w:rPr>
        <w:t> </w:t>
      </w:r>
      <w:r>
        <w:rPr/>
        <w:t>rounded</w:t>
      </w:r>
      <w:r>
        <w:rPr>
          <w:spacing w:val="-5"/>
        </w:rPr>
        <w:t> </w:t>
      </w:r>
      <w:r>
        <w:rPr/>
        <w:t>to</w:t>
      </w:r>
      <w:r>
        <w:rPr>
          <w:spacing w:val="-6"/>
        </w:rPr>
        <w:t> </w:t>
      </w:r>
      <w:r>
        <w:rPr/>
        <w:t>the</w:t>
      </w:r>
      <w:r>
        <w:rPr>
          <w:spacing w:val="-4"/>
        </w:rPr>
        <w:t> </w:t>
      </w:r>
      <w:r>
        <w:rPr/>
        <w:t>nearest</w:t>
      </w:r>
      <w:r>
        <w:rPr>
          <w:spacing w:val="-5"/>
        </w:rPr>
        <w:t> </w:t>
      </w:r>
      <w:r>
        <w:rPr/>
        <w:t>$10</w:t>
      </w:r>
      <w:r>
        <w:rPr>
          <w:spacing w:val="-5"/>
        </w:rPr>
        <w:t> </w:t>
      </w:r>
      <w:r>
        <w:rPr/>
        <w:t>million.</w:t>
      </w:r>
    </w:p>
    <w:p>
      <w:pPr>
        <w:pStyle w:val="BodyText"/>
        <w:spacing w:before="2"/>
        <w:rPr>
          <w:sz w:val="17"/>
        </w:rPr>
      </w:pPr>
    </w:p>
    <w:p>
      <w:pPr>
        <w:pStyle w:val="Heading1"/>
      </w:pPr>
      <w:r>
        <w:rPr>
          <w:color w:val="3C4D7C"/>
        </w:rPr>
        <w:t>Data sources</w:t>
      </w:r>
    </w:p>
    <w:p>
      <w:pPr>
        <w:pStyle w:val="BodyText"/>
        <w:spacing w:line="268" w:lineRule="auto" w:before="214"/>
        <w:ind w:left="658" w:right="995"/>
      </w:pPr>
      <w:r>
        <w:rPr/>
        <w:t>The ATO provided a 16 </w:t>
      </w:r>
      <w:r>
        <w:rPr>
          <w:spacing w:val="-3"/>
        </w:rPr>
        <w:t>per </w:t>
      </w:r>
      <w:r>
        <w:rPr/>
        <w:t>cent sample of de-identified personal income tax and superannuation returns for the 2017-18 financial year.</w:t>
      </w:r>
    </w:p>
    <w:p>
      <w:pPr>
        <w:pStyle w:val="BodyText"/>
        <w:spacing w:before="118"/>
        <w:ind w:left="658"/>
      </w:pPr>
      <w:r>
        <w:rPr/>
        <w:t>The Treasury provided:</w:t>
      </w:r>
    </w:p>
    <w:p>
      <w:pPr>
        <w:pStyle w:val="ListParagraph"/>
        <w:numPr>
          <w:ilvl w:val="0"/>
          <w:numId w:val="5"/>
        </w:numPr>
        <w:tabs>
          <w:tab w:pos="942" w:val="left" w:leader="none"/>
        </w:tabs>
        <w:spacing w:line="240" w:lineRule="auto" w:before="140" w:after="0"/>
        <w:ind w:left="941" w:right="0" w:hanging="284"/>
        <w:jc w:val="left"/>
        <w:rPr>
          <w:sz w:val="22"/>
        </w:rPr>
      </w:pPr>
      <w:r>
        <w:rPr>
          <w:sz w:val="22"/>
        </w:rPr>
        <w:t>economic forecasts as at the 2019-20 Mid-Year Economic and Fiscal</w:t>
      </w:r>
      <w:r>
        <w:rPr>
          <w:spacing w:val="-11"/>
          <w:sz w:val="22"/>
        </w:rPr>
        <w:t> </w:t>
      </w:r>
      <w:r>
        <w:rPr>
          <w:sz w:val="22"/>
        </w:rPr>
        <w:t>Outlook</w:t>
      </w:r>
    </w:p>
    <w:p>
      <w:pPr>
        <w:pStyle w:val="ListParagraph"/>
        <w:numPr>
          <w:ilvl w:val="0"/>
          <w:numId w:val="5"/>
        </w:numPr>
        <w:tabs>
          <w:tab w:pos="942" w:val="left" w:leader="none"/>
        </w:tabs>
        <w:spacing w:line="266" w:lineRule="auto" w:before="140" w:after="0"/>
        <w:ind w:left="941" w:right="897" w:hanging="284"/>
        <w:jc w:val="left"/>
        <w:rPr>
          <w:sz w:val="22"/>
        </w:rPr>
      </w:pPr>
      <w:r>
        <w:rPr>
          <w:sz w:val="22"/>
        </w:rPr>
        <w:t>the models underpinning the </w:t>
      </w:r>
      <w:r>
        <w:rPr>
          <w:i/>
          <w:sz w:val="22"/>
        </w:rPr>
        <w:t>Personal Income Tax Plan </w:t>
      </w:r>
      <w:r>
        <w:rPr>
          <w:sz w:val="22"/>
        </w:rPr>
        <w:t>of the 2018-19 Budget and </w:t>
      </w:r>
      <w:r>
        <w:rPr>
          <w:i/>
          <w:sz w:val="22"/>
        </w:rPr>
        <w:t>Lower taxes </w:t>
      </w:r>
      <w:r>
        <w:rPr>
          <w:i/>
          <w:sz w:val="22"/>
        </w:rPr>
        <w:t>for hard-working Australians: Building on the Personal Income Tax Plan </w:t>
      </w:r>
      <w:r>
        <w:rPr>
          <w:sz w:val="22"/>
        </w:rPr>
        <w:t>of the 2019-20</w:t>
      </w:r>
      <w:r>
        <w:rPr>
          <w:spacing w:val="-33"/>
          <w:sz w:val="22"/>
        </w:rPr>
        <w:t> </w:t>
      </w:r>
      <w:r>
        <w:rPr>
          <w:sz w:val="22"/>
        </w:rPr>
        <w:t>Budget.</w:t>
      </w:r>
    </w:p>
    <w:p>
      <w:pPr>
        <w:spacing w:line="268" w:lineRule="auto" w:before="124"/>
        <w:ind w:left="657" w:right="613" w:firstLine="0"/>
        <w:jc w:val="left"/>
        <w:rPr>
          <w:sz w:val="22"/>
        </w:rPr>
      </w:pPr>
      <w:r>
        <w:rPr>
          <w:sz w:val="22"/>
        </w:rPr>
        <w:t>HM Revenue and Customs, 2012. </w:t>
      </w:r>
      <w:r>
        <w:rPr>
          <w:i/>
          <w:sz w:val="22"/>
        </w:rPr>
        <w:t>The Exchequer effect of the 50 per cent additional rate of income </w:t>
      </w:r>
      <w:r>
        <w:rPr>
          <w:i/>
          <w:sz w:val="22"/>
        </w:rPr>
        <w:t>tax</w:t>
      </w:r>
      <w:r>
        <w:rPr>
          <w:sz w:val="22"/>
        </w:rPr>
        <w:t>, London: HM Revenue and Customs.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7"/>
        </w:rPr>
      </w:pPr>
      <w:r>
        <w:rPr/>
        <w:pict>
          <v:shape style="position:absolute;margin-left:69.480003pt;margin-top:19.084410pt;width:456.4pt;height:.1pt;mso-position-horizontal-relative:page;mso-position-vertical-relative:paragraph;z-index:-251658240;mso-wrap-distance-left:0;mso-wrap-distance-right:0" coordorigin="1390,382" coordsize="9128,0" path="m1390,382l10517,382e" filled="false" stroked="true" strokeweight=".48pt" strokecolor="#000000">
            <v:path arrowok="t"/>
            <v:stroke dashstyle="solid"/>
            <w10:wrap type="topAndBottom"/>
          </v:shape>
        </w:pict>
      </w:r>
    </w:p>
    <w:p>
      <w:pPr>
        <w:spacing w:line="283" w:lineRule="auto" w:before="107"/>
        <w:ind w:left="771" w:right="751" w:hanging="113"/>
        <w:jc w:val="left"/>
        <w:rPr>
          <w:sz w:val="18"/>
        </w:rPr>
      </w:pPr>
      <w:bookmarkStart w:name="_bookmark0" w:id="1"/>
      <w:bookmarkEnd w:id="1"/>
      <w:r>
        <w:rPr/>
      </w:r>
      <w:r>
        <w:rPr>
          <w:position w:val="9"/>
          <w:sz w:val="12"/>
        </w:rPr>
        <w:t>1 </w:t>
      </w:r>
      <w:r>
        <w:rPr>
          <w:sz w:val="18"/>
        </w:rPr>
        <w:t>See for instance, HM Revenue and Customs, 2012. The Exchequer effect of the 50 per cent additional rate of income tax, London: HM revenue and Customs.</w:t>
      </w:r>
    </w:p>
    <w:p>
      <w:pPr>
        <w:spacing w:before="17"/>
        <w:ind w:left="658" w:right="0" w:firstLine="0"/>
        <w:jc w:val="left"/>
        <w:rPr>
          <w:sz w:val="18"/>
        </w:rPr>
      </w:pPr>
      <w:bookmarkStart w:name="_bookmark1" w:id="2"/>
      <w:bookmarkEnd w:id="2"/>
      <w:r>
        <w:rPr/>
      </w:r>
      <w:r>
        <w:rPr>
          <w:position w:val="9"/>
          <w:sz w:val="12"/>
        </w:rPr>
        <w:t>2 </w:t>
      </w:r>
      <w:r>
        <w:rPr>
          <w:sz w:val="18"/>
        </w:rPr>
        <w:t>Ibid.</w:t>
      </w:r>
    </w:p>
    <w:p>
      <w:pPr>
        <w:spacing w:after="0"/>
        <w:jc w:val="left"/>
        <w:rPr>
          <w:sz w:val="18"/>
        </w:rPr>
        <w:sectPr>
          <w:pgSz w:w="11910" w:h="16840"/>
          <w:pgMar w:header="596" w:footer="620" w:top="1100" w:bottom="800" w:left="760" w:right="820"/>
        </w:sectPr>
      </w:pPr>
    </w:p>
    <w:p>
      <w:pPr>
        <w:pStyle w:val="Heading1"/>
        <w:spacing w:before="29"/>
        <w:ind w:left="231" w:right="613"/>
      </w:pPr>
      <w:r>
        <w:rPr>
          <w:color w:val="3C4D7C"/>
        </w:rPr>
        <w:t>Attachment A – Impact of accelerating Stage 2 personal income tax cuts – financial implications</w:t>
      </w:r>
    </w:p>
    <w:p>
      <w:pPr>
        <w:pStyle w:val="BodyText"/>
        <w:spacing w:before="4"/>
        <w:rPr>
          <w:sz w:val="32"/>
        </w:rPr>
      </w:pPr>
    </w:p>
    <w:p>
      <w:pPr>
        <w:pStyle w:val="Heading2"/>
        <w:spacing w:line="268" w:lineRule="auto"/>
        <w:ind w:left="231" w:right="185" w:hanging="1"/>
      </w:pPr>
      <w:r>
        <w:rPr>
          <w:color w:val="3C4D7C"/>
          <w:spacing w:val="-4"/>
        </w:rPr>
        <w:t>Table </w:t>
      </w:r>
      <w:r>
        <w:rPr>
          <w:color w:val="3C4D7C"/>
          <w:spacing w:val="-3"/>
        </w:rPr>
        <w:t>A1: </w:t>
      </w:r>
      <w:r>
        <w:rPr>
          <w:color w:val="3C4D7C"/>
          <w:spacing w:val="-5"/>
        </w:rPr>
        <w:t>Impact </w:t>
      </w:r>
      <w:r>
        <w:rPr>
          <w:color w:val="3C4D7C"/>
          <w:spacing w:val="-3"/>
        </w:rPr>
        <w:t>of </w:t>
      </w:r>
      <w:r>
        <w:rPr>
          <w:color w:val="3C4D7C"/>
          <w:spacing w:val="-5"/>
        </w:rPr>
        <w:t>accelerating </w:t>
      </w:r>
      <w:r>
        <w:rPr>
          <w:color w:val="3C4D7C"/>
          <w:spacing w:val="-4"/>
        </w:rPr>
        <w:t>Stage </w:t>
      </w:r>
      <w:r>
        <w:rPr>
          <w:color w:val="3C4D7C"/>
        </w:rPr>
        <w:t>2 </w:t>
      </w:r>
      <w:r>
        <w:rPr>
          <w:color w:val="3C4D7C"/>
          <w:spacing w:val="-5"/>
        </w:rPr>
        <w:t>personal </w:t>
      </w:r>
      <w:r>
        <w:rPr>
          <w:color w:val="3C4D7C"/>
          <w:spacing w:val="-4"/>
        </w:rPr>
        <w:t>income </w:t>
      </w:r>
      <w:r>
        <w:rPr>
          <w:color w:val="3C4D7C"/>
          <w:spacing w:val="-3"/>
        </w:rPr>
        <w:t>tax </w:t>
      </w:r>
      <w:r>
        <w:rPr>
          <w:color w:val="3C4D7C"/>
          <w:spacing w:val="-4"/>
        </w:rPr>
        <w:t>cuts </w:t>
      </w:r>
      <w:r>
        <w:rPr>
          <w:color w:val="3C4D7C"/>
        </w:rPr>
        <w:t>– </w:t>
      </w:r>
      <w:r>
        <w:rPr>
          <w:color w:val="3C4D7C"/>
          <w:spacing w:val="-4"/>
        </w:rPr>
        <w:t>Option </w:t>
      </w:r>
      <w:r>
        <w:rPr>
          <w:color w:val="3C4D7C"/>
        </w:rPr>
        <w:t>1: </w:t>
      </w:r>
      <w:r>
        <w:rPr>
          <w:color w:val="3C4D7C"/>
          <w:spacing w:val="-4"/>
        </w:rPr>
        <w:t>Bring </w:t>
      </w:r>
      <w:r>
        <w:rPr>
          <w:color w:val="3C4D7C"/>
          <w:spacing w:val="-5"/>
        </w:rPr>
        <w:t>forward </w:t>
      </w:r>
      <w:r>
        <w:rPr>
          <w:color w:val="3C4D7C"/>
          <w:spacing w:val="-3"/>
        </w:rPr>
        <w:t>the </w:t>
      </w:r>
      <w:r>
        <w:rPr>
          <w:color w:val="3C4D7C"/>
          <w:spacing w:val="-5"/>
        </w:rPr>
        <w:t>scheduled personal </w:t>
      </w:r>
      <w:r>
        <w:rPr>
          <w:color w:val="3C4D7C"/>
          <w:spacing w:val="-4"/>
        </w:rPr>
        <w:t>income </w:t>
      </w:r>
      <w:r>
        <w:rPr>
          <w:color w:val="3C4D7C"/>
          <w:spacing w:val="-3"/>
        </w:rPr>
        <w:t>tax </w:t>
      </w:r>
      <w:r>
        <w:rPr>
          <w:color w:val="3C4D7C"/>
          <w:spacing w:val="-4"/>
        </w:rPr>
        <w:t>cuts </w:t>
      </w:r>
      <w:r>
        <w:rPr>
          <w:color w:val="3C4D7C"/>
          <w:spacing w:val="-5"/>
        </w:rPr>
        <w:t>beginning</w:t>
      </w:r>
      <w:r>
        <w:rPr>
          <w:color w:val="3C4D7C"/>
          <w:spacing w:val="-3"/>
        </w:rPr>
        <w:t> on </w:t>
      </w:r>
      <w:r>
        <w:rPr>
          <w:color w:val="3C4D7C"/>
        </w:rPr>
        <w:t>1 </w:t>
      </w:r>
      <w:r>
        <w:rPr>
          <w:color w:val="3C4D7C"/>
          <w:spacing w:val="-4"/>
        </w:rPr>
        <w:t>July </w:t>
      </w:r>
      <w:r>
        <w:rPr>
          <w:color w:val="3C4D7C"/>
          <w:spacing w:val="-3"/>
        </w:rPr>
        <w:t>2022 to </w:t>
      </w:r>
      <w:r>
        <w:rPr>
          <w:color w:val="3C4D7C"/>
        </w:rPr>
        <w:t>1 </w:t>
      </w:r>
      <w:r>
        <w:rPr>
          <w:color w:val="3C4D7C"/>
          <w:spacing w:val="-4"/>
        </w:rPr>
        <w:t>July 2021, </w:t>
      </w:r>
      <w:r>
        <w:rPr>
          <w:color w:val="3C4D7C"/>
          <w:spacing w:val="-5"/>
        </w:rPr>
        <w:t>without adjusting </w:t>
      </w:r>
      <w:r>
        <w:rPr>
          <w:color w:val="3C4D7C"/>
          <w:spacing w:val="-4"/>
        </w:rPr>
        <w:t>the end date </w:t>
      </w:r>
      <w:r>
        <w:rPr>
          <w:color w:val="3C4D7C"/>
        </w:rPr>
        <w:t>of </w:t>
      </w:r>
      <w:r>
        <w:rPr>
          <w:color w:val="3C4D7C"/>
          <w:spacing w:val="-3"/>
        </w:rPr>
        <w:t>the </w:t>
      </w:r>
      <w:r>
        <w:rPr>
          <w:color w:val="3C4D7C"/>
          <w:spacing w:val="-4"/>
        </w:rPr>
        <w:t>low </w:t>
      </w:r>
      <w:r>
        <w:rPr>
          <w:color w:val="3C4D7C"/>
          <w:spacing w:val="-5"/>
        </w:rPr>
        <w:t>and middle </w:t>
      </w:r>
      <w:r>
        <w:rPr>
          <w:color w:val="3C4D7C"/>
          <w:spacing w:val="-4"/>
        </w:rPr>
        <w:t>income </w:t>
      </w:r>
      <w:r>
        <w:rPr>
          <w:color w:val="3C4D7C"/>
          <w:spacing w:val="-3"/>
        </w:rPr>
        <w:t>tax </w:t>
      </w:r>
      <w:r>
        <w:rPr>
          <w:color w:val="3C4D7C"/>
          <w:spacing w:val="-5"/>
        </w:rPr>
        <w:t>offset </w:t>
      </w:r>
      <w:r>
        <w:rPr>
          <w:color w:val="3C4D7C"/>
        </w:rPr>
        <w:t>– </w:t>
      </w:r>
      <w:r>
        <w:rPr>
          <w:color w:val="3C4D7C"/>
          <w:spacing w:val="-5"/>
        </w:rPr>
        <w:t>Fiscal </w:t>
      </w:r>
      <w:r>
        <w:rPr>
          <w:color w:val="3C4D7C"/>
          <w:spacing w:val="-4"/>
        </w:rPr>
        <w:t>and </w:t>
      </w:r>
      <w:r>
        <w:rPr>
          <w:color w:val="3C4D7C"/>
          <w:spacing w:val="-5"/>
        </w:rPr>
        <w:t>underlying </w:t>
      </w:r>
      <w:r>
        <w:rPr>
          <w:color w:val="3C4D7C"/>
          <w:spacing w:val="-3"/>
        </w:rPr>
        <w:t>cash </w:t>
      </w:r>
      <w:r>
        <w:rPr>
          <w:color w:val="3C4D7C"/>
          <w:spacing w:val="-5"/>
        </w:rPr>
        <w:t>balances </w:t>
      </w:r>
      <w:r>
        <w:rPr>
          <w:color w:val="3C4D7C"/>
          <w:spacing w:val="-4"/>
        </w:rPr>
        <w:t>($m)</w:t>
      </w:r>
      <w:r>
        <w:rPr>
          <w:color w:val="3C4D7C"/>
          <w:spacing w:val="-4"/>
          <w:vertAlign w:val="superscript"/>
        </w:rPr>
        <w:t>(a)(b)</w:t>
      </w:r>
    </w:p>
    <w:p>
      <w:pPr>
        <w:pStyle w:val="BodyText"/>
        <w:spacing w:before="2"/>
        <w:rPr>
          <w:b/>
          <w:sz w:val="7"/>
        </w:rPr>
      </w:pPr>
    </w:p>
    <w:tbl>
      <w:tblPr>
        <w:tblW w:w="0" w:type="auto"/>
        <w:jc w:val="left"/>
        <w:tblInd w:w="133" w:type="dxa"/>
        <w:tblBorders>
          <w:top w:val="single" w:sz="8" w:space="0" w:color="788183"/>
          <w:left w:val="single" w:sz="8" w:space="0" w:color="788183"/>
          <w:bottom w:val="single" w:sz="8" w:space="0" w:color="788183"/>
          <w:right w:val="single" w:sz="8" w:space="0" w:color="788183"/>
          <w:insideH w:val="single" w:sz="8" w:space="0" w:color="788183"/>
          <w:insideV w:val="single" w:sz="8" w:space="0" w:color="788183"/>
        </w:tblBorders>
        <w:tblLayout w:type="fixed"/>
        <w:tblCellMar>
          <w:top w:w="0" w:type="dxa"/>
          <w:left w:w="0" w:type="dxa"/>
          <w:bottom w:w="0" w:type="dxa"/>
          <w:right w:w="0" w:type="dxa"/>
        </w:tblCellMar>
        <w:tblLook w:val="01E0"/>
      </w:tblPr>
      <w:tblGrid>
        <w:gridCol w:w="2347"/>
        <w:gridCol w:w="573"/>
        <w:gridCol w:w="573"/>
        <w:gridCol w:w="573"/>
        <w:gridCol w:w="573"/>
        <w:gridCol w:w="573"/>
        <w:gridCol w:w="575"/>
        <w:gridCol w:w="573"/>
        <w:gridCol w:w="573"/>
        <w:gridCol w:w="573"/>
        <w:gridCol w:w="573"/>
        <w:gridCol w:w="573"/>
        <w:gridCol w:w="710"/>
        <w:gridCol w:w="698"/>
      </w:tblGrid>
      <w:tr>
        <w:trPr>
          <w:trHeight w:val="505" w:hRule="atLeast"/>
        </w:trPr>
        <w:tc>
          <w:tcPr>
            <w:tcW w:w="2347" w:type="dxa"/>
            <w:shd w:val="clear" w:color="auto" w:fill="A7B1D3"/>
          </w:tcPr>
          <w:p>
            <w:pPr>
              <w:pStyle w:val="TableParagraph"/>
              <w:jc w:val="left"/>
              <w:rPr>
                <w:rFonts w:ascii="Times New Roman"/>
                <w:sz w:val="16"/>
              </w:rPr>
            </w:pPr>
          </w:p>
        </w:tc>
        <w:tc>
          <w:tcPr>
            <w:tcW w:w="573" w:type="dxa"/>
            <w:shd w:val="clear" w:color="auto" w:fill="A7B1D3"/>
          </w:tcPr>
          <w:p>
            <w:pPr>
              <w:pStyle w:val="TableParagraph"/>
              <w:spacing w:line="183" w:lineRule="exact" w:before="68"/>
              <w:ind w:left="119" w:right="2"/>
              <w:jc w:val="center"/>
              <w:rPr>
                <w:sz w:val="15"/>
              </w:rPr>
            </w:pPr>
            <w:r>
              <w:rPr>
                <w:sz w:val="15"/>
              </w:rPr>
              <w:t>2019–</w:t>
            </w:r>
          </w:p>
          <w:p>
            <w:pPr>
              <w:pStyle w:val="TableParagraph"/>
              <w:spacing w:line="183" w:lineRule="exact"/>
              <w:ind w:left="115" w:right="2"/>
              <w:jc w:val="center"/>
              <w:rPr>
                <w:sz w:val="15"/>
              </w:rPr>
            </w:pPr>
            <w:r>
              <w:rPr>
                <w:sz w:val="15"/>
              </w:rPr>
              <w:t>20</w:t>
            </w:r>
          </w:p>
        </w:tc>
        <w:tc>
          <w:tcPr>
            <w:tcW w:w="573" w:type="dxa"/>
            <w:shd w:val="clear" w:color="auto" w:fill="A7B1D3"/>
          </w:tcPr>
          <w:p>
            <w:pPr>
              <w:pStyle w:val="TableParagraph"/>
              <w:spacing w:line="183" w:lineRule="exact" w:before="68"/>
              <w:ind w:left="120" w:right="2"/>
              <w:jc w:val="center"/>
              <w:rPr>
                <w:sz w:val="15"/>
              </w:rPr>
            </w:pPr>
            <w:r>
              <w:rPr>
                <w:sz w:val="15"/>
              </w:rPr>
              <w:t>2020–</w:t>
            </w:r>
          </w:p>
          <w:p>
            <w:pPr>
              <w:pStyle w:val="TableParagraph"/>
              <w:spacing w:line="183" w:lineRule="exact"/>
              <w:ind w:left="117" w:right="2"/>
              <w:jc w:val="center"/>
              <w:rPr>
                <w:sz w:val="15"/>
              </w:rPr>
            </w:pPr>
            <w:r>
              <w:rPr>
                <w:sz w:val="15"/>
              </w:rPr>
              <w:t>21</w:t>
            </w:r>
          </w:p>
        </w:tc>
        <w:tc>
          <w:tcPr>
            <w:tcW w:w="573" w:type="dxa"/>
            <w:shd w:val="clear" w:color="auto" w:fill="A7B1D3"/>
          </w:tcPr>
          <w:p>
            <w:pPr>
              <w:pStyle w:val="TableParagraph"/>
              <w:spacing w:line="183" w:lineRule="exact" w:before="68"/>
              <w:ind w:left="121" w:right="2"/>
              <w:jc w:val="center"/>
              <w:rPr>
                <w:sz w:val="15"/>
              </w:rPr>
            </w:pPr>
            <w:r>
              <w:rPr>
                <w:sz w:val="15"/>
              </w:rPr>
              <w:t>2021–</w:t>
            </w:r>
          </w:p>
          <w:p>
            <w:pPr>
              <w:pStyle w:val="TableParagraph"/>
              <w:spacing w:line="183" w:lineRule="exact"/>
              <w:ind w:left="118" w:right="2"/>
              <w:jc w:val="center"/>
              <w:rPr>
                <w:sz w:val="15"/>
              </w:rPr>
            </w:pPr>
            <w:r>
              <w:rPr>
                <w:sz w:val="15"/>
              </w:rPr>
              <w:t>22</w:t>
            </w:r>
          </w:p>
        </w:tc>
        <w:tc>
          <w:tcPr>
            <w:tcW w:w="573" w:type="dxa"/>
            <w:shd w:val="clear" w:color="auto" w:fill="A7B1D3"/>
          </w:tcPr>
          <w:p>
            <w:pPr>
              <w:pStyle w:val="TableParagraph"/>
              <w:spacing w:line="183" w:lineRule="exact" w:before="68"/>
              <w:ind w:left="122" w:right="2"/>
              <w:jc w:val="center"/>
              <w:rPr>
                <w:sz w:val="15"/>
              </w:rPr>
            </w:pPr>
            <w:r>
              <w:rPr>
                <w:sz w:val="15"/>
              </w:rPr>
              <w:t>2022–</w:t>
            </w:r>
          </w:p>
          <w:p>
            <w:pPr>
              <w:pStyle w:val="TableParagraph"/>
              <w:spacing w:line="183" w:lineRule="exact"/>
              <w:ind w:left="119" w:right="2"/>
              <w:jc w:val="center"/>
              <w:rPr>
                <w:sz w:val="15"/>
              </w:rPr>
            </w:pPr>
            <w:r>
              <w:rPr>
                <w:sz w:val="15"/>
              </w:rPr>
              <w:t>23</w:t>
            </w:r>
          </w:p>
        </w:tc>
        <w:tc>
          <w:tcPr>
            <w:tcW w:w="573" w:type="dxa"/>
            <w:shd w:val="clear" w:color="auto" w:fill="A7B1D3"/>
          </w:tcPr>
          <w:p>
            <w:pPr>
              <w:pStyle w:val="TableParagraph"/>
              <w:spacing w:line="183" w:lineRule="exact" w:before="68"/>
              <w:ind w:left="123" w:right="2"/>
              <w:jc w:val="center"/>
              <w:rPr>
                <w:sz w:val="15"/>
              </w:rPr>
            </w:pPr>
            <w:r>
              <w:rPr>
                <w:sz w:val="15"/>
              </w:rPr>
              <w:t>2023–</w:t>
            </w:r>
          </w:p>
          <w:p>
            <w:pPr>
              <w:pStyle w:val="TableParagraph"/>
              <w:spacing w:line="183" w:lineRule="exact"/>
              <w:ind w:left="120" w:right="2"/>
              <w:jc w:val="center"/>
              <w:rPr>
                <w:sz w:val="15"/>
              </w:rPr>
            </w:pPr>
            <w:r>
              <w:rPr>
                <w:sz w:val="15"/>
              </w:rPr>
              <w:t>24</w:t>
            </w:r>
          </w:p>
        </w:tc>
        <w:tc>
          <w:tcPr>
            <w:tcW w:w="575" w:type="dxa"/>
            <w:shd w:val="clear" w:color="auto" w:fill="A7B1D3"/>
          </w:tcPr>
          <w:p>
            <w:pPr>
              <w:pStyle w:val="TableParagraph"/>
              <w:spacing w:line="183" w:lineRule="exact" w:before="68"/>
              <w:ind w:left="130" w:right="5"/>
              <w:jc w:val="center"/>
              <w:rPr>
                <w:sz w:val="15"/>
              </w:rPr>
            </w:pPr>
            <w:r>
              <w:rPr>
                <w:sz w:val="15"/>
              </w:rPr>
              <w:t>2024–</w:t>
            </w:r>
          </w:p>
          <w:p>
            <w:pPr>
              <w:pStyle w:val="TableParagraph"/>
              <w:spacing w:line="183" w:lineRule="exact"/>
              <w:ind w:left="127" w:right="5"/>
              <w:jc w:val="center"/>
              <w:rPr>
                <w:sz w:val="15"/>
              </w:rPr>
            </w:pPr>
            <w:r>
              <w:rPr>
                <w:sz w:val="15"/>
              </w:rPr>
              <w:t>25</w:t>
            </w:r>
          </w:p>
        </w:tc>
        <w:tc>
          <w:tcPr>
            <w:tcW w:w="573" w:type="dxa"/>
            <w:shd w:val="clear" w:color="auto" w:fill="A7B1D3"/>
          </w:tcPr>
          <w:p>
            <w:pPr>
              <w:pStyle w:val="TableParagraph"/>
              <w:spacing w:line="183" w:lineRule="exact" w:before="68"/>
              <w:ind w:left="125"/>
              <w:jc w:val="center"/>
              <w:rPr>
                <w:sz w:val="15"/>
              </w:rPr>
            </w:pPr>
            <w:r>
              <w:rPr>
                <w:sz w:val="15"/>
              </w:rPr>
              <w:t>2025–</w:t>
            </w:r>
          </w:p>
          <w:p>
            <w:pPr>
              <w:pStyle w:val="TableParagraph"/>
              <w:spacing w:line="183" w:lineRule="exact"/>
              <w:ind w:left="123" w:right="2"/>
              <w:jc w:val="center"/>
              <w:rPr>
                <w:sz w:val="15"/>
              </w:rPr>
            </w:pPr>
            <w:r>
              <w:rPr>
                <w:sz w:val="15"/>
              </w:rPr>
              <w:t>26</w:t>
            </w:r>
          </w:p>
        </w:tc>
        <w:tc>
          <w:tcPr>
            <w:tcW w:w="573" w:type="dxa"/>
            <w:shd w:val="clear" w:color="auto" w:fill="A7B1D3"/>
          </w:tcPr>
          <w:p>
            <w:pPr>
              <w:pStyle w:val="TableParagraph"/>
              <w:spacing w:line="183" w:lineRule="exact" w:before="68"/>
              <w:ind w:left="128" w:right="2"/>
              <w:jc w:val="center"/>
              <w:rPr>
                <w:sz w:val="15"/>
              </w:rPr>
            </w:pPr>
            <w:r>
              <w:rPr>
                <w:sz w:val="15"/>
              </w:rPr>
              <w:t>2026–</w:t>
            </w:r>
          </w:p>
          <w:p>
            <w:pPr>
              <w:pStyle w:val="TableParagraph"/>
              <w:spacing w:line="183" w:lineRule="exact"/>
              <w:ind w:left="125" w:right="2"/>
              <w:jc w:val="center"/>
              <w:rPr>
                <w:sz w:val="15"/>
              </w:rPr>
            </w:pPr>
            <w:r>
              <w:rPr>
                <w:sz w:val="15"/>
              </w:rPr>
              <w:t>27</w:t>
            </w:r>
          </w:p>
        </w:tc>
        <w:tc>
          <w:tcPr>
            <w:tcW w:w="573" w:type="dxa"/>
            <w:shd w:val="clear" w:color="auto" w:fill="A7B1D3"/>
          </w:tcPr>
          <w:p>
            <w:pPr>
              <w:pStyle w:val="TableParagraph"/>
              <w:spacing w:line="183" w:lineRule="exact" w:before="68"/>
              <w:ind w:left="129" w:right="2"/>
              <w:jc w:val="center"/>
              <w:rPr>
                <w:sz w:val="15"/>
              </w:rPr>
            </w:pPr>
            <w:r>
              <w:rPr>
                <w:sz w:val="15"/>
              </w:rPr>
              <w:t>2027–</w:t>
            </w:r>
          </w:p>
          <w:p>
            <w:pPr>
              <w:pStyle w:val="TableParagraph"/>
              <w:spacing w:line="183" w:lineRule="exact"/>
              <w:ind w:left="125" w:right="1"/>
              <w:jc w:val="center"/>
              <w:rPr>
                <w:sz w:val="15"/>
              </w:rPr>
            </w:pPr>
            <w:r>
              <w:rPr>
                <w:sz w:val="15"/>
              </w:rPr>
              <w:t>28</w:t>
            </w:r>
          </w:p>
        </w:tc>
        <w:tc>
          <w:tcPr>
            <w:tcW w:w="573" w:type="dxa"/>
            <w:shd w:val="clear" w:color="auto" w:fill="A7B1D3"/>
          </w:tcPr>
          <w:p>
            <w:pPr>
              <w:pStyle w:val="TableParagraph"/>
              <w:spacing w:line="183" w:lineRule="exact" w:before="68"/>
              <w:ind w:left="130" w:right="2"/>
              <w:jc w:val="center"/>
              <w:rPr>
                <w:sz w:val="15"/>
              </w:rPr>
            </w:pPr>
            <w:r>
              <w:rPr>
                <w:sz w:val="15"/>
              </w:rPr>
              <w:t>2028–</w:t>
            </w:r>
          </w:p>
          <w:p>
            <w:pPr>
              <w:pStyle w:val="TableParagraph"/>
              <w:spacing w:line="183" w:lineRule="exact"/>
              <w:ind w:left="125"/>
              <w:jc w:val="center"/>
              <w:rPr>
                <w:sz w:val="15"/>
              </w:rPr>
            </w:pPr>
            <w:r>
              <w:rPr>
                <w:sz w:val="15"/>
              </w:rPr>
              <w:t>29</w:t>
            </w:r>
          </w:p>
        </w:tc>
        <w:tc>
          <w:tcPr>
            <w:tcW w:w="573" w:type="dxa"/>
            <w:shd w:val="clear" w:color="auto" w:fill="A7B1D3"/>
          </w:tcPr>
          <w:p>
            <w:pPr>
              <w:pStyle w:val="TableParagraph"/>
              <w:spacing w:line="183" w:lineRule="exact" w:before="68"/>
              <w:ind w:left="130" w:right="1"/>
              <w:jc w:val="center"/>
              <w:rPr>
                <w:sz w:val="15"/>
              </w:rPr>
            </w:pPr>
            <w:r>
              <w:rPr>
                <w:sz w:val="15"/>
              </w:rPr>
              <w:t>2029–</w:t>
            </w:r>
          </w:p>
          <w:p>
            <w:pPr>
              <w:pStyle w:val="TableParagraph"/>
              <w:spacing w:line="183" w:lineRule="exact"/>
              <w:ind w:left="128" w:right="2"/>
              <w:jc w:val="center"/>
              <w:rPr>
                <w:sz w:val="15"/>
              </w:rPr>
            </w:pPr>
            <w:r>
              <w:rPr>
                <w:sz w:val="15"/>
              </w:rPr>
              <w:t>30</w:t>
            </w:r>
          </w:p>
        </w:tc>
        <w:tc>
          <w:tcPr>
            <w:tcW w:w="710" w:type="dxa"/>
            <w:shd w:val="clear" w:color="auto" w:fill="A7B1D3"/>
          </w:tcPr>
          <w:p>
            <w:pPr>
              <w:pStyle w:val="TableParagraph"/>
              <w:spacing w:before="68"/>
              <w:ind w:left="136" w:right="3" w:firstLine="43"/>
              <w:jc w:val="left"/>
              <w:rPr>
                <w:b/>
                <w:sz w:val="15"/>
              </w:rPr>
            </w:pPr>
            <w:r>
              <w:rPr>
                <w:b/>
                <w:sz w:val="15"/>
              </w:rPr>
              <w:t>Total to 2022–23</w:t>
            </w:r>
          </w:p>
        </w:tc>
        <w:tc>
          <w:tcPr>
            <w:tcW w:w="698" w:type="dxa"/>
            <w:shd w:val="clear" w:color="auto" w:fill="A7B1D3"/>
          </w:tcPr>
          <w:p>
            <w:pPr>
              <w:pStyle w:val="TableParagraph"/>
              <w:spacing w:before="68"/>
              <w:ind w:left="124" w:right="3" w:firstLine="43"/>
              <w:jc w:val="left"/>
              <w:rPr>
                <w:b/>
                <w:sz w:val="15"/>
              </w:rPr>
            </w:pPr>
            <w:r>
              <w:rPr>
                <w:b/>
                <w:sz w:val="15"/>
              </w:rPr>
              <w:t>Total to 2029–30</w:t>
            </w:r>
          </w:p>
        </w:tc>
      </w:tr>
      <w:tr>
        <w:trPr>
          <w:trHeight w:val="323" w:hRule="atLeast"/>
        </w:trPr>
        <w:tc>
          <w:tcPr>
            <w:tcW w:w="10060" w:type="dxa"/>
            <w:gridSpan w:val="14"/>
            <w:shd w:val="clear" w:color="auto" w:fill="D2D7E9"/>
          </w:tcPr>
          <w:p>
            <w:pPr>
              <w:pStyle w:val="TableParagraph"/>
              <w:spacing w:before="68"/>
              <w:ind w:left="50"/>
              <w:jc w:val="left"/>
              <w:rPr>
                <w:b/>
                <w:sz w:val="15"/>
              </w:rPr>
            </w:pPr>
            <w:r>
              <w:rPr>
                <w:b/>
                <w:sz w:val="15"/>
              </w:rPr>
              <w:t>Tax revenue</w:t>
            </w:r>
          </w:p>
        </w:tc>
      </w:tr>
      <w:tr>
        <w:trPr>
          <w:trHeight w:val="323" w:hRule="atLeast"/>
        </w:trPr>
        <w:tc>
          <w:tcPr>
            <w:tcW w:w="10060" w:type="dxa"/>
            <w:gridSpan w:val="14"/>
            <w:shd w:val="clear" w:color="auto" w:fill="F1F1F1"/>
          </w:tcPr>
          <w:p>
            <w:pPr>
              <w:pStyle w:val="TableParagraph"/>
              <w:spacing w:before="68"/>
              <w:ind w:left="50"/>
              <w:jc w:val="left"/>
              <w:rPr>
                <w:i/>
                <w:sz w:val="15"/>
              </w:rPr>
            </w:pPr>
            <w:r>
              <w:rPr>
                <w:i/>
                <w:sz w:val="15"/>
              </w:rPr>
              <w:t>Administered tax</w:t>
            </w:r>
          </w:p>
        </w:tc>
      </w:tr>
      <w:tr>
        <w:trPr>
          <w:trHeight w:val="505" w:hRule="atLeast"/>
        </w:trPr>
        <w:tc>
          <w:tcPr>
            <w:tcW w:w="2347" w:type="dxa"/>
          </w:tcPr>
          <w:p>
            <w:pPr>
              <w:pStyle w:val="TableParagraph"/>
              <w:spacing w:before="68"/>
              <w:ind w:left="50"/>
              <w:jc w:val="left"/>
              <w:rPr>
                <w:i/>
                <w:sz w:val="15"/>
              </w:rPr>
            </w:pPr>
            <w:r>
              <w:rPr>
                <w:i/>
                <w:sz w:val="15"/>
              </w:rPr>
              <w:t>Increase the tax threshold from</w:t>
            </w:r>
          </w:p>
          <w:p>
            <w:pPr>
              <w:pStyle w:val="TableParagraph"/>
              <w:spacing w:before="1"/>
              <w:ind w:left="50"/>
              <w:jc w:val="left"/>
              <w:rPr>
                <w:i/>
                <w:sz w:val="15"/>
              </w:rPr>
            </w:pPr>
            <w:r>
              <w:rPr>
                <w:i/>
                <w:sz w:val="15"/>
              </w:rPr>
              <w:t>$90,000 to $120,000</w:t>
            </w:r>
          </w:p>
        </w:tc>
        <w:tc>
          <w:tcPr>
            <w:tcW w:w="573" w:type="dxa"/>
          </w:tcPr>
          <w:p>
            <w:pPr>
              <w:pStyle w:val="TableParagraph"/>
              <w:jc w:val="left"/>
              <w:rPr>
                <w:b/>
                <w:sz w:val="13"/>
              </w:rPr>
            </w:pPr>
          </w:p>
          <w:p>
            <w:pPr>
              <w:pStyle w:val="TableParagraph"/>
              <w:ind w:right="27"/>
              <w:rPr>
                <w:i/>
                <w:sz w:val="15"/>
              </w:rPr>
            </w:pPr>
            <w:r>
              <w:rPr>
                <w:i/>
                <w:w w:val="100"/>
                <w:sz w:val="15"/>
              </w:rPr>
              <w:t>-</w:t>
            </w:r>
          </w:p>
        </w:tc>
        <w:tc>
          <w:tcPr>
            <w:tcW w:w="573" w:type="dxa"/>
          </w:tcPr>
          <w:p>
            <w:pPr>
              <w:pStyle w:val="TableParagraph"/>
              <w:jc w:val="left"/>
              <w:rPr>
                <w:b/>
                <w:sz w:val="13"/>
              </w:rPr>
            </w:pPr>
          </w:p>
          <w:p>
            <w:pPr>
              <w:pStyle w:val="TableParagraph"/>
              <w:ind w:right="26"/>
              <w:rPr>
                <w:i/>
                <w:sz w:val="15"/>
              </w:rPr>
            </w:pPr>
            <w:r>
              <w:rPr>
                <w:i/>
                <w:w w:val="100"/>
                <w:sz w:val="15"/>
              </w:rPr>
              <w:t>-</w:t>
            </w:r>
          </w:p>
        </w:tc>
        <w:tc>
          <w:tcPr>
            <w:tcW w:w="573" w:type="dxa"/>
          </w:tcPr>
          <w:p>
            <w:pPr>
              <w:pStyle w:val="TableParagraph"/>
              <w:jc w:val="left"/>
              <w:rPr>
                <w:b/>
                <w:sz w:val="13"/>
              </w:rPr>
            </w:pPr>
          </w:p>
          <w:p>
            <w:pPr>
              <w:pStyle w:val="TableParagraph"/>
              <w:ind w:right="24"/>
              <w:rPr>
                <w:i/>
                <w:sz w:val="15"/>
              </w:rPr>
            </w:pPr>
            <w:r>
              <w:rPr>
                <w:i/>
                <w:sz w:val="15"/>
              </w:rPr>
              <w:t>-3,350</w:t>
            </w:r>
          </w:p>
        </w:tc>
        <w:tc>
          <w:tcPr>
            <w:tcW w:w="573" w:type="dxa"/>
          </w:tcPr>
          <w:p>
            <w:pPr>
              <w:pStyle w:val="TableParagraph"/>
              <w:jc w:val="left"/>
              <w:rPr>
                <w:b/>
                <w:sz w:val="13"/>
              </w:rPr>
            </w:pPr>
          </w:p>
          <w:p>
            <w:pPr>
              <w:pStyle w:val="TableParagraph"/>
              <w:ind w:right="23"/>
              <w:rPr>
                <w:i/>
                <w:sz w:val="15"/>
              </w:rPr>
            </w:pPr>
            <w:r>
              <w:rPr>
                <w:i/>
                <w:sz w:val="15"/>
              </w:rPr>
              <w:t>-290</w:t>
            </w:r>
          </w:p>
        </w:tc>
        <w:tc>
          <w:tcPr>
            <w:tcW w:w="573" w:type="dxa"/>
          </w:tcPr>
          <w:p>
            <w:pPr>
              <w:pStyle w:val="TableParagraph"/>
              <w:jc w:val="left"/>
              <w:rPr>
                <w:b/>
                <w:sz w:val="13"/>
              </w:rPr>
            </w:pPr>
          </w:p>
          <w:p>
            <w:pPr>
              <w:pStyle w:val="TableParagraph"/>
              <w:ind w:right="23"/>
              <w:rPr>
                <w:i/>
                <w:sz w:val="15"/>
              </w:rPr>
            </w:pPr>
            <w:r>
              <w:rPr>
                <w:i/>
                <w:sz w:val="15"/>
              </w:rPr>
              <w:t>-40</w:t>
            </w:r>
          </w:p>
        </w:tc>
        <w:tc>
          <w:tcPr>
            <w:tcW w:w="575" w:type="dxa"/>
          </w:tcPr>
          <w:p>
            <w:pPr>
              <w:pStyle w:val="TableParagraph"/>
              <w:jc w:val="left"/>
              <w:rPr>
                <w:b/>
                <w:sz w:val="13"/>
              </w:rPr>
            </w:pPr>
          </w:p>
          <w:p>
            <w:pPr>
              <w:pStyle w:val="TableParagraph"/>
              <w:ind w:right="24"/>
              <w:rPr>
                <w:i/>
                <w:sz w:val="15"/>
              </w:rPr>
            </w:pPr>
            <w:r>
              <w:rPr>
                <w:i/>
                <w:sz w:val="15"/>
              </w:rPr>
              <w:t>..</w:t>
            </w:r>
          </w:p>
        </w:tc>
        <w:tc>
          <w:tcPr>
            <w:tcW w:w="573" w:type="dxa"/>
          </w:tcPr>
          <w:p>
            <w:pPr>
              <w:pStyle w:val="TableParagraph"/>
              <w:jc w:val="left"/>
              <w:rPr>
                <w:b/>
                <w:sz w:val="13"/>
              </w:rPr>
            </w:pPr>
          </w:p>
          <w:p>
            <w:pPr>
              <w:pStyle w:val="TableParagraph"/>
              <w:ind w:right="23"/>
              <w:rPr>
                <w:i/>
                <w:sz w:val="15"/>
              </w:rPr>
            </w:pPr>
            <w:r>
              <w:rPr>
                <w:i/>
                <w:w w:val="100"/>
                <w:sz w:val="15"/>
              </w:rPr>
              <w:t>-</w:t>
            </w:r>
          </w:p>
        </w:tc>
        <w:tc>
          <w:tcPr>
            <w:tcW w:w="573" w:type="dxa"/>
          </w:tcPr>
          <w:p>
            <w:pPr>
              <w:pStyle w:val="TableParagraph"/>
              <w:jc w:val="left"/>
              <w:rPr>
                <w:b/>
                <w:sz w:val="13"/>
              </w:rPr>
            </w:pPr>
          </w:p>
          <w:p>
            <w:pPr>
              <w:pStyle w:val="TableParagraph"/>
              <w:ind w:right="22"/>
              <w:rPr>
                <w:i/>
                <w:sz w:val="15"/>
              </w:rPr>
            </w:pPr>
            <w:r>
              <w:rPr>
                <w:i/>
                <w:w w:val="100"/>
                <w:sz w:val="15"/>
              </w:rPr>
              <w:t>-</w:t>
            </w:r>
          </w:p>
        </w:tc>
        <w:tc>
          <w:tcPr>
            <w:tcW w:w="573" w:type="dxa"/>
          </w:tcPr>
          <w:p>
            <w:pPr>
              <w:pStyle w:val="TableParagraph"/>
              <w:jc w:val="left"/>
              <w:rPr>
                <w:b/>
                <w:sz w:val="13"/>
              </w:rPr>
            </w:pPr>
          </w:p>
          <w:p>
            <w:pPr>
              <w:pStyle w:val="TableParagraph"/>
              <w:ind w:right="22"/>
              <w:rPr>
                <w:i/>
                <w:sz w:val="15"/>
              </w:rPr>
            </w:pPr>
            <w:r>
              <w:rPr>
                <w:i/>
                <w:w w:val="100"/>
                <w:sz w:val="15"/>
              </w:rPr>
              <w:t>-</w:t>
            </w:r>
          </w:p>
        </w:tc>
        <w:tc>
          <w:tcPr>
            <w:tcW w:w="573" w:type="dxa"/>
          </w:tcPr>
          <w:p>
            <w:pPr>
              <w:pStyle w:val="TableParagraph"/>
              <w:jc w:val="left"/>
              <w:rPr>
                <w:b/>
                <w:sz w:val="13"/>
              </w:rPr>
            </w:pPr>
          </w:p>
          <w:p>
            <w:pPr>
              <w:pStyle w:val="TableParagraph"/>
              <w:ind w:right="21"/>
              <w:rPr>
                <w:i/>
                <w:sz w:val="15"/>
              </w:rPr>
            </w:pPr>
            <w:r>
              <w:rPr>
                <w:i/>
                <w:w w:val="100"/>
                <w:sz w:val="15"/>
              </w:rPr>
              <w:t>-</w:t>
            </w:r>
          </w:p>
        </w:tc>
        <w:tc>
          <w:tcPr>
            <w:tcW w:w="573" w:type="dxa"/>
          </w:tcPr>
          <w:p>
            <w:pPr>
              <w:pStyle w:val="TableParagraph"/>
              <w:jc w:val="left"/>
              <w:rPr>
                <w:b/>
                <w:sz w:val="13"/>
              </w:rPr>
            </w:pPr>
          </w:p>
          <w:p>
            <w:pPr>
              <w:pStyle w:val="TableParagraph"/>
              <w:ind w:right="20"/>
              <w:rPr>
                <w:i/>
                <w:sz w:val="15"/>
              </w:rPr>
            </w:pPr>
            <w:r>
              <w:rPr>
                <w:i/>
                <w:w w:val="100"/>
                <w:sz w:val="15"/>
              </w:rPr>
              <w:t>-</w:t>
            </w:r>
          </w:p>
        </w:tc>
        <w:tc>
          <w:tcPr>
            <w:tcW w:w="710" w:type="dxa"/>
          </w:tcPr>
          <w:p>
            <w:pPr>
              <w:pStyle w:val="TableParagraph"/>
              <w:jc w:val="left"/>
              <w:rPr>
                <w:b/>
                <w:sz w:val="13"/>
              </w:rPr>
            </w:pPr>
          </w:p>
          <w:p>
            <w:pPr>
              <w:pStyle w:val="TableParagraph"/>
              <w:ind w:right="18"/>
              <w:rPr>
                <w:b/>
                <w:i/>
                <w:sz w:val="15"/>
              </w:rPr>
            </w:pPr>
            <w:r>
              <w:rPr>
                <w:b/>
                <w:i/>
                <w:sz w:val="15"/>
              </w:rPr>
              <w:t>-3,650</w:t>
            </w:r>
          </w:p>
        </w:tc>
        <w:tc>
          <w:tcPr>
            <w:tcW w:w="698" w:type="dxa"/>
          </w:tcPr>
          <w:p>
            <w:pPr>
              <w:pStyle w:val="TableParagraph"/>
              <w:jc w:val="left"/>
              <w:rPr>
                <w:b/>
                <w:sz w:val="13"/>
              </w:rPr>
            </w:pPr>
          </w:p>
          <w:p>
            <w:pPr>
              <w:pStyle w:val="TableParagraph"/>
              <w:ind w:right="18"/>
              <w:rPr>
                <w:b/>
                <w:i/>
                <w:sz w:val="15"/>
              </w:rPr>
            </w:pPr>
            <w:r>
              <w:rPr>
                <w:b/>
                <w:i/>
                <w:sz w:val="15"/>
              </w:rPr>
              <w:t>-3,690</w:t>
            </w:r>
          </w:p>
        </w:tc>
      </w:tr>
      <w:tr>
        <w:trPr>
          <w:trHeight w:val="505" w:hRule="atLeast"/>
        </w:trPr>
        <w:tc>
          <w:tcPr>
            <w:tcW w:w="2347" w:type="dxa"/>
          </w:tcPr>
          <w:p>
            <w:pPr>
              <w:pStyle w:val="TableParagraph"/>
              <w:spacing w:before="68"/>
              <w:ind w:left="50"/>
              <w:jc w:val="left"/>
              <w:rPr>
                <w:i/>
                <w:sz w:val="15"/>
              </w:rPr>
            </w:pPr>
            <w:r>
              <w:rPr>
                <w:i/>
                <w:sz w:val="15"/>
              </w:rPr>
              <w:t>Increase the tax threshold from</w:t>
            </w:r>
          </w:p>
          <w:p>
            <w:pPr>
              <w:pStyle w:val="TableParagraph"/>
              <w:spacing w:before="1"/>
              <w:ind w:left="50"/>
              <w:jc w:val="left"/>
              <w:rPr>
                <w:i/>
                <w:sz w:val="15"/>
              </w:rPr>
            </w:pPr>
            <w:r>
              <w:rPr>
                <w:i/>
                <w:sz w:val="15"/>
              </w:rPr>
              <w:t>$37,000 to $45,000</w:t>
            </w:r>
          </w:p>
        </w:tc>
        <w:tc>
          <w:tcPr>
            <w:tcW w:w="573" w:type="dxa"/>
          </w:tcPr>
          <w:p>
            <w:pPr>
              <w:pStyle w:val="TableParagraph"/>
              <w:spacing w:before="2"/>
              <w:jc w:val="left"/>
              <w:rPr>
                <w:b/>
                <w:sz w:val="13"/>
              </w:rPr>
            </w:pPr>
          </w:p>
          <w:p>
            <w:pPr>
              <w:pStyle w:val="TableParagraph"/>
              <w:spacing w:before="1"/>
              <w:ind w:right="27"/>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6"/>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4"/>
              <w:rPr>
                <w:i/>
                <w:sz w:val="15"/>
              </w:rPr>
            </w:pPr>
            <w:r>
              <w:rPr>
                <w:i/>
                <w:sz w:val="15"/>
              </w:rPr>
              <w:t>-9,390</w:t>
            </w:r>
          </w:p>
        </w:tc>
        <w:tc>
          <w:tcPr>
            <w:tcW w:w="573" w:type="dxa"/>
          </w:tcPr>
          <w:p>
            <w:pPr>
              <w:pStyle w:val="TableParagraph"/>
              <w:spacing w:before="2"/>
              <w:jc w:val="left"/>
              <w:rPr>
                <w:b/>
                <w:sz w:val="13"/>
              </w:rPr>
            </w:pPr>
          </w:p>
          <w:p>
            <w:pPr>
              <w:pStyle w:val="TableParagraph"/>
              <w:spacing w:before="1"/>
              <w:ind w:right="23"/>
              <w:rPr>
                <w:i/>
                <w:sz w:val="15"/>
              </w:rPr>
            </w:pPr>
            <w:r>
              <w:rPr>
                <w:i/>
                <w:sz w:val="15"/>
              </w:rPr>
              <w:t>-800</w:t>
            </w:r>
          </w:p>
        </w:tc>
        <w:tc>
          <w:tcPr>
            <w:tcW w:w="573" w:type="dxa"/>
          </w:tcPr>
          <w:p>
            <w:pPr>
              <w:pStyle w:val="TableParagraph"/>
              <w:spacing w:before="2"/>
              <w:jc w:val="left"/>
              <w:rPr>
                <w:b/>
                <w:sz w:val="13"/>
              </w:rPr>
            </w:pPr>
          </w:p>
          <w:p>
            <w:pPr>
              <w:pStyle w:val="TableParagraph"/>
              <w:spacing w:before="1"/>
              <w:ind w:right="23"/>
              <w:rPr>
                <w:i/>
                <w:sz w:val="15"/>
              </w:rPr>
            </w:pPr>
            <w:r>
              <w:rPr>
                <w:i/>
                <w:sz w:val="15"/>
              </w:rPr>
              <w:t>-100</w:t>
            </w:r>
          </w:p>
        </w:tc>
        <w:tc>
          <w:tcPr>
            <w:tcW w:w="575" w:type="dxa"/>
          </w:tcPr>
          <w:p>
            <w:pPr>
              <w:pStyle w:val="TableParagraph"/>
              <w:spacing w:before="2"/>
              <w:jc w:val="left"/>
              <w:rPr>
                <w:b/>
                <w:sz w:val="13"/>
              </w:rPr>
            </w:pPr>
          </w:p>
          <w:p>
            <w:pPr>
              <w:pStyle w:val="TableParagraph"/>
              <w:spacing w:before="1"/>
              <w:ind w:right="24"/>
              <w:rPr>
                <w:i/>
                <w:sz w:val="15"/>
              </w:rPr>
            </w:pPr>
            <w:r>
              <w:rPr>
                <w:i/>
                <w:sz w:val="15"/>
              </w:rPr>
              <w:t>..</w:t>
            </w:r>
          </w:p>
        </w:tc>
        <w:tc>
          <w:tcPr>
            <w:tcW w:w="573" w:type="dxa"/>
          </w:tcPr>
          <w:p>
            <w:pPr>
              <w:pStyle w:val="TableParagraph"/>
              <w:spacing w:before="2"/>
              <w:jc w:val="left"/>
              <w:rPr>
                <w:b/>
                <w:sz w:val="13"/>
              </w:rPr>
            </w:pPr>
          </w:p>
          <w:p>
            <w:pPr>
              <w:pStyle w:val="TableParagraph"/>
              <w:spacing w:before="1"/>
              <w:ind w:right="23"/>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2"/>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2"/>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1"/>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0"/>
              <w:rPr>
                <w:i/>
                <w:sz w:val="15"/>
              </w:rPr>
            </w:pPr>
            <w:r>
              <w:rPr>
                <w:i/>
                <w:w w:val="100"/>
                <w:sz w:val="15"/>
              </w:rPr>
              <w:t>-</w:t>
            </w:r>
          </w:p>
        </w:tc>
        <w:tc>
          <w:tcPr>
            <w:tcW w:w="710" w:type="dxa"/>
          </w:tcPr>
          <w:p>
            <w:pPr>
              <w:pStyle w:val="TableParagraph"/>
              <w:spacing w:before="2"/>
              <w:jc w:val="left"/>
              <w:rPr>
                <w:b/>
                <w:sz w:val="13"/>
              </w:rPr>
            </w:pPr>
          </w:p>
          <w:p>
            <w:pPr>
              <w:pStyle w:val="TableParagraph"/>
              <w:spacing w:before="1"/>
              <w:ind w:right="18"/>
              <w:rPr>
                <w:b/>
                <w:i/>
                <w:sz w:val="15"/>
              </w:rPr>
            </w:pPr>
            <w:r>
              <w:rPr>
                <w:b/>
                <w:i/>
                <w:sz w:val="15"/>
              </w:rPr>
              <w:t>-10,190</w:t>
            </w:r>
          </w:p>
        </w:tc>
        <w:tc>
          <w:tcPr>
            <w:tcW w:w="698" w:type="dxa"/>
          </w:tcPr>
          <w:p>
            <w:pPr>
              <w:pStyle w:val="TableParagraph"/>
              <w:spacing w:before="2"/>
              <w:jc w:val="left"/>
              <w:rPr>
                <w:b/>
                <w:sz w:val="13"/>
              </w:rPr>
            </w:pPr>
          </w:p>
          <w:p>
            <w:pPr>
              <w:pStyle w:val="TableParagraph"/>
              <w:spacing w:before="1"/>
              <w:ind w:right="18"/>
              <w:rPr>
                <w:b/>
                <w:i/>
                <w:sz w:val="15"/>
              </w:rPr>
            </w:pPr>
            <w:r>
              <w:rPr>
                <w:b/>
                <w:i/>
                <w:sz w:val="15"/>
              </w:rPr>
              <w:t>-10,290</w:t>
            </w:r>
          </w:p>
        </w:tc>
      </w:tr>
      <w:tr>
        <w:trPr>
          <w:trHeight w:val="507" w:hRule="atLeast"/>
        </w:trPr>
        <w:tc>
          <w:tcPr>
            <w:tcW w:w="2347" w:type="dxa"/>
          </w:tcPr>
          <w:p>
            <w:pPr>
              <w:pStyle w:val="TableParagraph"/>
              <w:spacing w:line="183" w:lineRule="exact" w:before="70"/>
              <w:ind w:left="50"/>
              <w:jc w:val="left"/>
              <w:rPr>
                <w:i/>
                <w:sz w:val="15"/>
              </w:rPr>
            </w:pPr>
            <w:r>
              <w:rPr>
                <w:i/>
                <w:sz w:val="15"/>
              </w:rPr>
              <w:t>Increase low income tax offset from</w:t>
            </w:r>
          </w:p>
          <w:p>
            <w:pPr>
              <w:pStyle w:val="TableParagraph"/>
              <w:spacing w:line="183" w:lineRule="exact"/>
              <w:ind w:left="50"/>
              <w:jc w:val="left"/>
              <w:rPr>
                <w:i/>
                <w:sz w:val="15"/>
              </w:rPr>
            </w:pPr>
            <w:r>
              <w:rPr>
                <w:i/>
                <w:sz w:val="15"/>
              </w:rPr>
              <w:t>$445 to $700</w:t>
            </w:r>
          </w:p>
        </w:tc>
        <w:tc>
          <w:tcPr>
            <w:tcW w:w="573" w:type="dxa"/>
          </w:tcPr>
          <w:p>
            <w:pPr>
              <w:pStyle w:val="TableParagraph"/>
              <w:spacing w:before="2"/>
              <w:jc w:val="left"/>
              <w:rPr>
                <w:b/>
                <w:sz w:val="13"/>
              </w:rPr>
            </w:pPr>
          </w:p>
          <w:p>
            <w:pPr>
              <w:pStyle w:val="TableParagraph"/>
              <w:spacing w:before="1"/>
              <w:ind w:right="27"/>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6"/>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4"/>
              <w:rPr>
                <w:i/>
                <w:sz w:val="15"/>
              </w:rPr>
            </w:pPr>
            <w:r>
              <w:rPr>
                <w:i/>
                <w:sz w:val="15"/>
              </w:rPr>
              <w:t>-70</w:t>
            </w:r>
          </w:p>
        </w:tc>
        <w:tc>
          <w:tcPr>
            <w:tcW w:w="573" w:type="dxa"/>
          </w:tcPr>
          <w:p>
            <w:pPr>
              <w:pStyle w:val="TableParagraph"/>
              <w:spacing w:before="2"/>
              <w:jc w:val="left"/>
              <w:rPr>
                <w:b/>
                <w:sz w:val="13"/>
              </w:rPr>
            </w:pPr>
          </w:p>
          <w:p>
            <w:pPr>
              <w:pStyle w:val="TableParagraph"/>
              <w:spacing w:before="1"/>
              <w:ind w:right="23"/>
              <w:rPr>
                <w:i/>
                <w:sz w:val="15"/>
              </w:rPr>
            </w:pPr>
            <w:r>
              <w:rPr>
                <w:i/>
                <w:sz w:val="15"/>
              </w:rPr>
              <w:t>-230</w:t>
            </w:r>
          </w:p>
        </w:tc>
        <w:tc>
          <w:tcPr>
            <w:tcW w:w="573" w:type="dxa"/>
          </w:tcPr>
          <w:p>
            <w:pPr>
              <w:pStyle w:val="TableParagraph"/>
              <w:spacing w:before="2"/>
              <w:jc w:val="left"/>
              <w:rPr>
                <w:b/>
                <w:sz w:val="13"/>
              </w:rPr>
            </w:pPr>
          </w:p>
          <w:p>
            <w:pPr>
              <w:pStyle w:val="TableParagraph"/>
              <w:spacing w:before="1"/>
              <w:ind w:right="25"/>
              <w:rPr>
                <w:i/>
                <w:sz w:val="15"/>
              </w:rPr>
            </w:pPr>
            <w:r>
              <w:rPr>
                <w:i/>
                <w:sz w:val="15"/>
              </w:rPr>
              <w:t>..</w:t>
            </w:r>
          </w:p>
        </w:tc>
        <w:tc>
          <w:tcPr>
            <w:tcW w:w="575" w:type="dxa"/>
          </w:tcPr>
          <w:p>
            <w:pPr>
              <w:pStyle w:val="TableParagraph"/>
              <w:spacing w:before="2"/>
              <w:jc w:val="left"/>
              <w:rPr>
                <w:b/>
                <w:sz w:val="13"/>
              </w:rPr>
            </w:pPr>
          </w:p>
          <w:p>
            <w:pPr>
              <w:pStyle w:val="TableParagraph"/>
              <w:spacing w:before="1"/>
              <w:ind w:right="24"/>
              <w:rPr>
                <w:i/>
                <w:sz w:val="15"/>
              </w:rPr>
            </w:pPr>
            <w:r>
              <w:rPr>
                <w:i/>
                <w:sz w:val="15"/>
              </w:rPr>
              <w:t>..</w:t>
            </w:r>
          </w:p>
        </w:tc>
        <w:tc>
          <w:tcPr>
            <w:tcW w:w="573" w:type="dxa"/>
          </w:tcPr>
          <w:p>
            <w:pPr>
              <w:pStyle w:val="TableParagraph"/>
              <w:spacing w:before="2"/>
              <w:jc w:val="left"/>
              <w:rPr>
                <w:b/>
                <w:sz w:val="13"/>
              </w:rPr>
            </w:pPr>
          </w:p>
          <w:p>
            <w:pPr>
              <w:pStyle w:val="TableParagraph"/>
              <w:spacing w:before="1"/>
              <w:ind w:right="23"/>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2"/>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2"/>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1"/>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0"/>
              <w:rPr>
                <w:i/>
                <w:sz w:val="15"/>
              </w:rPr>
            </w:pPr>
            <w:r>
              <w:rPr>
                <w:i/>
                <w:w w:val="100"/>
                <w:sz w:val="15"/>
              </w:rPr>
              <w:t>-</w:t>
            </w:r>
          </w:p>
        </w:tc>
        <w:tc>
          <w:tcPr>
            <w:tcW w:w="710" w:type="dxa"/>
          </w:tcPr>
          <w:p>
            <w:pPr>
              <w:pStyle w:val="TableParagraph"/>
              <w:spacing w:before="2"/>
              <w:jc w:val="left"/>
              <w:rPr>
                <w:b/>
                <w:sz w:val="13"/>
              </w:rPr>
            </w:pPr>
          </w:p>
          <w:p>
            <w:pPr>
              <w:pStyle w:val="TableParagraph"/>
              <w:spacing w:before="1"/>
              <w:ind w:right="18"/>
              <w:rPr>
                <w:b/>
                <w:i/>
                <w:sz w:val="15"/>
              </w:rPr>
            </w:pPr>
            <w:r>
              <w:rPr>
                <w:b/>
                <w:i/>
                <w:sz w:val="15"/>
              </w:rPr>
              <w:t>-300</w:t>
            </w:r>
          </w:p>
        </w:tc>
        <w:tc>
          <w:tcPr>
            <w:tcW w:w="698" w:type="dxa"/>
          </w:tcPr>
          <w:p>
            <w:pPr>
              <w:pStyle w:val="TableParagraph"/>
              <w:spacing w:before="2"/>
              <w:jc w:val="left"/>
              <w:rPr>
                <w:b/>
                <w:sz w:val="13"/>
              </w:rPr>
            </w:pPr>
          </w:p>
          <w:p>
            <w:pPr>
              <w:pStyle w:val="TableParagraph"/>
              <w:spacing w:before="1"/>
              <w:ind w:right="18"/>
              <w:rPr>
                <w:b/>
                <w:i/>
                <w:sz w:val="15"/>
              </w:rPr>
            </w:pPr>
            <w:r>
              <w:rPr>
                <w:b/>
                <w:i/>
                <w:sz w:val="15"/>
              </w:rPr>
              <w:t>-300</w:t>
            </w:r>
          </w:p>
        </w:tc>
      </w:tr>
      <w:tr>
        <w:trPr>
          <w:trHeight w:val="323" w:hRule="atLeast"/>
        </w:trPr>
        <w:tc>
          <w:tcPr>
            <w:tcW w:w="2347" w:type="dxa"/>
            <w:shd w:val="clear" w:color="auto" w:fill="A7B1D3"/>
          </w:tcPr>
          <w:p>
            <w:pPr>
              <w:pStyle w:val="TableParagraph"/>
              <w:spacing w:before="68"/>
              <w:ind w:left="50"/>
              <w:jc w:val="left"/>
              <w:rPr>
                <w:b/>
                <w:sz w:val="15"/>
              </w:rPr>
            </w:pPr>
            <w:r>
              <w:rPr>
                <w:b/>
                <w:sz w:val="15"/>
              </w:rPr>
              <w:t>Total revenue</w:t>
            </w:r>
          </w:p>
        </w:tc>
        <w:tc>
          <w:tcPr>
            <w:tcW w:w="573" w:type="dxa"/>
            <w:shd w:val="clear" w:color="auto" w:fill="A7B1D3"/>
          </w:tcPr>
          <w:p>
            <w:pPr>
              <w:pStyle w:val="TableParagraph"/>
              <w:spacing w:before="68"/>
              <w:ind w:right="27"/>
              <w:rPr>
                <w:b/>
                <w:sz w:val="15"/>
              </w:rPr>
            </w:pPr>
            <w:r>
              <w:rPr>
                <w:b/>
                <w:w w:val="100"/>
                <w:sz w:val="15"/>
              </w:rPr>
              <w:t>-</w:t>
            </w:r>
          </w:p>
        </w:tc>
        <w:tc>
          <w:tcPr>
            <w:tcW w:w="573" w:type="dxa"/>
            <w:shd w:val="clear" w:color="auto" w:fill="A7B1D3"/>
          </w:tcPr>
          <w:p>
            <w:pPr>
              <w:pStyle w:val="TableParagraph"/>
              <w:spacing w:before="68"/>
              <w:ind w:right="26"/>
              <w:rPr>
                <w:b/>
                <w:sz w:val="15"/>
              </w:rPr>
            </w:pPr>
            <w:r>
              <w:rPr>
                <w:b/>
                <w:w w:val="100"/>
                <w:sz w:val="15"/>
              </w:rPr>
              <w:t>-</w:t>
            </w:r>
          </w:p>
        </w:tc>
        <w:tc>
          <w:tcPr>
            <w:tcW w:w="573" w:type="dxa"/>
            <w:shd w:val="clear" w:color="auto" w:fill="A7B1D3"/>
          </w:tcPr>
          <w:p>
            <w:pPr>
              <w:pStyle w:val="TableParagraph"/>
              <w:spacing w:before="68"/>
              <w:ind w:right="24"/>
              <w:rPr>
                <w:b/>
                <w:sz w:val="15"/>
              </w:rPr>
            </w:pPr>
            <w:r>
              <w:rPr>
                <w:b/>
                <w:sz w:val="15"/>
              </w:rPr>
              <w:t>-12,810</w:t>
            </w:r>
          </w:p>
        </w:tc>
        <w:tc>
          <w:tcPr>
            <w:tcW w:w="573" w:type="dxa"/>
            <w:shd w:val="clear" w:color="auto" w:fill="A7B1D3"/>
          </w:tcPr>
          <w:p>
            <w:pPr>
              <w:pStyle w:val="TableParagraph"/>
              <w:spacing w:before="68"/>
              <w:ind w:right="23"/>
              <w:rPr>
                <w:b/>
                <w:sz w:val="15"/>
              </w:rPr>
            </w:pPr>
            <w:r>
              <w:rPr>
                <w:b/>
                <w:sz w:val="15"/>
              </w:rPr>
              <w:t>-1,320</w:t>
            </w:r>
          </w:p>
        </w:tc>
        <w:tc>
          <w:tcPr>
            <w:tcW w:w="573" w:type="dxa"/>
            <w:shd w:val="clear" w:color="auto" w:fill="A7B1D3"/>
          </w:tcPr>
          <w:p>
            <w:pPr>
              <w:pStyle w:val="TableParagraph"/>
              <w:spacing w:before="68"/>
              <w:ind w:right="23"/>
              <w:rPr>
                <w:b/>
                <w:sz w:val="15"/>
              </w:rPr>
            </w:pPr>
            <w:r>
              <w:rPr>
                <w:b/>
                <w:sz w:val="15"/>
              </w:rPr>
              <w:t>-140</w:t>
            </w:r>
          </w:p>
        </w:tc>
        <w:tc>
          <w:tcPr>
            <w:tcW w:w="575" w:type="dxa"/>
            <w:shd w:val="clear" w:color="auto" w:fill="A7B1D3"/>
          </w:tcPr>
          <w:p>
            <w:pPr>
              <w:pStyle w:val="TableParagraph"/>
              <w:spacing w:before="68"/>
              <w:ind w:right="23"/>
              <w:rPr>
                <w:b/>
                <w:sz w:val="15"/>
              </w:rPr>
            </w:pPr>
            <w:r>
              <w:rPr>
                <w:b/>
                <w:w w:val="100"/>
                <w:sz w:val="15"/>
              </w:rPr>
              <w:t>-</w:t>
            </w:r>
          </w:p>
        </w:tc>
        <w:tc>
          <w:tcPr>
            <w:tcW w:w="573" w:type="dxa"/>
            <w:shd w:val="clear" w:color="auto" w:fill="A7B1D3"/>
          </w:tcPr>
          <w:p>
            <w:pPr>
              <w:pStyle w:val="TableParagraph"/>
              <w:spacing w:before="68"/>
              <w:ind w:right="23"/>
              <w:rPr>
                <w:b/>
                <w:sz w:val="15"/>
              </w:rPr>
            </w:pPr>
            <w:r>
              <w:rPr>
                <w:b/>
                <w:w w:val="100"/>
                <w:sz w:val="15"/>
              </w:rPr>
              <w:t>-</w:t>
            </w:r>
          </w:p>
        </w:tc>
        <w:tc>
          <w:tcPr>
            <w:tcW w:w="573" w:type="dxa"/>
            <w:shd w:val="clear" w:color="auto" w:fill="A7B1D3"/>
          </w:tcPr>
          <w:p>
            <w:pPr>
              <w:pStyle w:val="TableParagraph"/>
              <w:spacing w:before="68"/>
              <w:ind w:right="22"/>
              <w:rPr>
                <w:b/>
                <w:sz w:val="15"/>
              </w:rPr>
            </w:pPr>
            <w:r>
              <w:rPr>
                <w:b/>
                <w:w w:val="100"/>
                <w:sz w:val="15"/>
              </w:rPr>
              <w:t>-</w:t>
            </w:r>
          </w:p>
        </w:tc>
        <w:tc>
          <w:tcPr>
            <w:tcW w:w="573" w:type="dxa"/>
            <w:shd w:val="clear" w:color="auto" w:fill="A7B1D3"/>
          </w:tcPr>
          <w:p>
            <w:pPr>
              <w:pStyle w:val="TableParagraph"/>
              <w:spacing w:before="68"/>
              <w:ind w:right="22"/>
              <w:rPr>
                <w:b/>
                <w:sz w:val="15"/>
              </w:rPr>
            </w:pPr>
            <w:r>
              <w:rPr>
                <w:b/>
                <w:w w:val="100"/>
                <w:sz w:val="15"/>
              </w:rPr>
              <w:t>-</w:t>
            </w:r>
          </w:p>
        </w:tc>
        <w:tc>
          <w:tcPr>
            <w:tcW w:w="573" w:type="dxa"/>
            <w:shd w:val="clear" w:color="auto" w:fill="A7B1D3"/>
          </w:tcPr>
          <w:p>
            <w:pPr>
              <w:pStyle w:val="TableParagraph"/>
              <w:spacing w:before="68"/>
              <w:ind w:right="21"/>
              <w:rPr>
                <w:b/>
                <w:sz w:val="15"/>
              </w:rPr>
            </w:pPr>
            <w:r>
              <w:rPr>
                <w:b/>
                <w:w w:val="100"/>
                <w:sz w:val="15"/>
              </w:rPr>
              <w:t>-</w:t>
            </w:r>
          </w:p>
        </w:tc>
        <w:tc>
          <w:tcPr>
            <w:tcW w:w="573" w:type="dxa"/>
            <w:shd w:val="clear" w:color="auto" w:fill="A7B1D3"/>
          </w:tcPr>
          <w:p>
            <w:pPr>
              <w:pStyle w:val="TableParagraph"/>
              <w:spacing w:before="68"/>
              <w:ind w:right="20"/>
              <w:rPr>
                <w:b/>
                <w:sz w:val="15"/>
              </w:rPr>
            </w:pPr>
            <w:r>
              <w:rPr>
                <w:b/>
                <w:w w:val="100"/>
                <w:sz w:val="15"/>
              </w:rPr>
              <w:t>-</w:t>
            </w:r>
          </w:p>
        </w:tc>
        <w:tc>
          <w:tcPr>
            <w:tcW w:w="710" w:type="dxa"/>
            <w:shd w:val="clear" w:color="auto" w:fill="A7B1D3"/>
          </w:tcPr>
          <w:p>
            <w:pPr>
              <w:pStyle w:val="TableParagraph"/>
              <w:spacing w:before="68"/>
              <w:ind w:right="18"/>
              <w:rPr>
                <w:b/>
                <w:sz w:val="15"/>
              </w:rPr>
            </w:pPr>
            <w:r>
              <w:rPr>
                <w:b/>
                <w:sz w:val="15"/>
              </w:rPr>
              <w:t>-14,140</w:t>
            </w:r>
          </w:p>
        </w:tc>
        <w:tc>
          <w:tcPr>
            <w:tcW w:w="698" w:type="dxa"/>
            <w:shd w:val="clear" w:color="auto" w:fill="A7B1D3"/>
          </w:tcPr>
          <w:p>
            <w:pPr>
              <w:pStyle w:val="TableParagraph"/>
              <w:spacing w:before="68"/>
              <w:ind w:right="18"/>
              <w:rPr>
                <w:b/>
                <w:sz w:val="15"/>
              </w:rPr>
            </w:pPr>
            <w:r>
              <w:rPr>
                <w:b/>
                <w:sz w:val="15"/>
              </w:rPr>
              <w:t>-14,280</w:t>
            </w:r>
          </w:p>
        </w:tc>
      </w:tr>
    </w:tbl>
    <w:p>
      <w:pPr>
        <w:pStyle w:val="ListParagraph"/>
        <w:numPr>
          <w:ilvl w:val="0"/>
          <w:numId w:val="6"/>
        </w:numPr>
        <w:tabs>
          <w:tab w:pos="515" w:val="left" w:leader="none"/>
        </w:tabs>
        <w:spacing w:line="319" w:lineRule="auto" w:before="64" w:after="0"/>
        <w:ind w:left="514" w:right="718" w:hanging="284"/>
        <w:jc w:val="left"/>
        <w:rPr>
          <w:sz w:val="16"/>
        </w:rPr>
      </w:pPr>
      <w:r>
        <w:rPr>
          <w:sz w:val="16"/>
        </w:rPr>
        <w:t>A</w:t>
      </w:r>
      <w:r>
        <w:rPr>
          <w:spacing w:val="-8"/>
          <w:sz w:val="16"/>
        </w:rPr>
        <w:t> </w:t>
      </w:r>
      <w:r>
        <w:rPr>
          <w:sz w:val="16"/>
        </w:rPr>
        <w:t>positive</w:t>
      </w:r>
      <w:r>
        <w:rPr>
          <w:spacing w:val="-9"/>
          <w:sz w:val="16"/>
        </w:rPr>
        <w:t> </w:t>
      </w:r>
      <w:r>
        <w:rPr>
          <w:sz w:val="16"/>
        </w:rPr>
        <w:t>number</w:t>
      </w:r>
      <w:r>
        <w:rPr>
          <w:spacing w:val="-9"/>
          <w:sz w:val="16"/>
        </w:rPr>
        <w:t> </w:t>
      </w:r>
      <w:r>
        <w:rPr>
          <w:sz w:val="16"/>
        </w:rPr>
        <w:t>for</w:t>
      </w:r>
      <w:r>
        <w:rPr>
          <w:spacing w:val="-7"/>
          <w:sz w:val="16"/>
        </w:rPr>
        <w:t> </w:t>
      </w:r>
      <w:r>
        <w:rPr>
          <w:sz w:val="16"/>
        </w:rPr>
        <w:t>the</w:t>
      </w:r>
      <w:r>
        <w:rPr>
          <w:spacing w:val="-6"/>
          <w:sz w:val="16"/>
        </w:rPr>
        <w:t> </w:t>
      </w:r>
      <w:r>
        <w:rPr>
          <w:sz w:val="16"/>
        </w:rPr>
        <w:t>fiscal</w:t>
      </w:r>
      <w:r>
        <w:rPr>
          <w:spacing w:val="-7"/>
          <w:sz w:val="16"/>
        </w:rPr>
        <w:t> </w:t>
      </w:r>
      <w:r>
        <w:rPr>
          <w:sz w:val="16"/>
        </w:rPr>
        <w:t>balance</w:t>
      </w:r>
      <w:r>
        <w:rPr>
          <w:spacing w:val="-6"/>
          <w:sz w:val="16"/>
        </w:rPr>
        <w:t> </w:t>
      </w:r>
      <w:r>
        <w:rPr>
          <w:sz w:val="16"/>
        </w:rPr>
        <w:t>indicates</w:t>
      </w:r>
      <w:r>
        <w:rPr>
          <w:spacing w:val="-9"/>
          <w:sz w:val="16"/>
        </w:rPr>
        <w:t> </w:t>
      </w:r>
      <w:r>
        <w:rPr>
          <w:sz w:val="16"/>
        </w:rPr>
        <w:t>an</w:t>
      </w:r>
      <w:r>
        <w:rPr>
          <w:spacing w:val="-8"/>
          <w:sz w:val="16"/>
        </w:rPr>
        <w:t> </w:t>
      </w:r>
      <w:r>
        <w:rPr>
          <w:sz w:val="16"/>
        </w:rPr>
        <w:t>increase</w:t>
      </w:r>
      <w:r>
        <w:rPr>
          <w:spacing w:val="-7"/>
          <w:sz w:val="16"/>
        </w:rPr>
        <w:t> </w:t>
      </w:r>
      <w:r>
        <w:rPr>
          <w:sz w:val="16"/>
        </w:rPr>
        <w:t>in</w:t>
      </w:r>
      <w:r>
        <w:rPr>
          <w:spacing w:val="-6"/>
          <w:sz w:val="16"/>
        </w:rPr>
        <w:t> </w:t>
      </w:r>
      <w:r>
        <w:rPr>
          <w:sz w:val="16"/>
        </w:rPr>
        <w:t>revenue</w:t>
      </w:r>
      <w:r>
        <w:rPr>
          <w:spacing w:val="-8"/>
          <w:sz w:val="16"/>
        </w:rPr>
        <w:t> </w:t>
      </w:r>
      <w:r>
        <w:rPr>
          <w:sz w:val="16"/>
        </w:rPr>
        <w:t>or</w:t>
      </w:r>
      <w:r>
        <w:rPr>
          <w:spacing w:val="-9"/>
          <w:sz w:val="16"/>
        </w:rPr>
        <w:t> </w:t>
      </w:r>
      <w:r>
        <w:rPr>
          <w:sz w:val="16"/>
        </w:rPr>
        <w:t>a</w:t>
      </w:r>
      <w:r>
        <w:rPr>
          <w:spacing w:val="-6"/>
          <w:sz w:val="16"/>
        </w:rPr>
        <w:t> </w:t>
      </w:r>
      <w:r>
        <w:rPr>
          <w:sz w:val="16"/>
        </w:rPr>
        <w:t>decrease</w:t>
      </w:r>
      <w:r>
        <w:rPr>
          <w:spacing w:val="-9"/>
          <w:sz w:val="16"/>
        </w:rPr>
        <w:t> </w:t>
      </w:r>
      <w:r>
        <w:rPr>
          <w:sz w:val="16"/>
        </w:rPr>
        <w:t>in</w:t>
      </w:r>
      <w:r>
        <w:rPr>
          <w:spacing w:val="-9"/>
          <w:sz w:val="16"/>
        </w:rPr>
        <w:t> </w:t>
      </w:r>
      <w:r>
        <w:rPr>
          <w:sz w:val="16"/>
        </w:rPr>
        <w:t>expenses</w:t>
      </w:r>
      <w:r>
        <w:rPr>
          <w:spacing w:val="-8"/>
          <w:sz w:val="16"/>
        </w:rPr>
        <w:t> </w:t>
      </w:r>
      <w:r>
        <w:rPr>
          <w:sz w:val="16"/>
        </w:rPr>
        <w:t>or</w:t>
      </w:r>
      <w:r>
        <w:rPr>
          <w:spacing w:val="-9"/>
          <w:sz w:val="16"/>
        </w:rPr>
        <w:t> </w:t>
      </w:r>
      <w:r>
        <w:rPr>
          <w:sz w:val="16"/>
        </w:rPr>
        <w:t>net</w:t>
      </w:r>
      <w:r>
        <w:rPr>
          <w:spacing w:val="-7"/>
          <w:sz w:val="16"/>
        </w:rPr>
        <w:t> </w:t>
      </w:r>
      <w:r>
        <w:rPr>
          <w:sz w:val="16"/>
        </w:rPr>
        <w:t>capital</w:t>
      </w:r>
      <w:r>
        <w:rPr>
          <w:spacing w:val="-9"/>
          <w:sz w:val="16"/>
        </w:rPr>
        <w:t> </w:t>
      </w:r>
      <w:r>
        <w:rPr>
          <w:sz w:val="16"/>
        </w:rPr>
        <w:t>investment</w:t>
      </w:r>
      <w:r>
        <w:rPr>
          <w:spacing w:val="-8"/>
          <w:sz w:val="16"/>
        </w:rPr>
        <w:t> </w:t>
      </w:r>
      <w:r>
        <w:rPr>
          <w:sz w:val="16"/>
        </w:rPr>
        <w:t>in</w:t>
      </w:r>
      <w:r>
        <w:rPr>
          <w:spacing w:val="-9"/>
          <w:sz w:val="16"/>
        </w:rPr>
        <w:t> </w:t>
      </w:r>
      <w:r>
        <w:rPr>
          <w:sz w:val="16"/>
        </w:rPr>
        <w:t>accrual</w:t>
      </w:r>
      <w:r>
        <w:rPr>
          <w:spacing w:val="-7"/>
          <w:sz w:val="16"/>
        </w:rPr>
        <w:t> </w:t>
      </w:r>
      <w:r>
        <w:rPr>
          <w:sz w:val="16"/>
        </w:rPr>
        <w:t>terms. A</w:t>
      </w:r>
      <w:r>
        <w:rPr>
          <w:spacing w:val="-8"/>
          <w:sz w:val="16"/>
        </w:rPr>
        <w:t> </w:t>
      </w:r>
      <w:r>
        <w:rPr>
          <w:sz w:val="16"/>
        </w:rPr>
        <w:t>negative</w:t>
      </w:r>
      <w:r>
        <w:rPr>
          <w:spacing w:val="-9"/>
          <w:sz w:val="16"/>
        </w:rPr>
        <w:t> </w:t>
      </w:r>
      <w:r>
        <w:rPr>
          <w:sz w:val="16"/>
        </w:rPr>
        <w:t>number</w:t>
      </w:r>
      <w:r>
        <w:rPr>
          <w:spacing w:val="-8"/>
          <w:sz w:val="16"/>
        </w:rPr>
        <w:t> </w:t>
      </w:r>
      <w:r>
        <w:rPr>
          <w:sz w:val="16"/>
        </w:rPr>
        <w:t>for</w:t>
      </w:r>
      <w:r>
        <w:rPr>
          <w:spacing w:val="-7"/>
          <w:sz w:val="16"/>
        </w:rPr>
        <w:t> </w:t>
      </w:r>
      <w:r>
        <w:rPr>
          <w:sz w:val="16"/>
        </w:rPr>
        <w:t>the</w:t>
      </w:r>
      <w:r>
        <w:rPr>
          <w:spacing w:val="-6"/>
          <w:sz w:val="16"/>
        </w:rPr>
        <w:t> </w:t>
      </w:r>
      <w:r>
        <w:rPr>
          <w:sz w:val="16"/>
        </w:rPr>
        <w:t>fiscal</w:t>
      </w:r>
      <w:r>
        <w:rPr>
          <w:spacing w:val="-7"/>
          <w:sz w:val="16"/>
        </w:rPr>
        <w:t> </w:t>
      </w:r>
      <w:r>
        <w:rPr>
          <w:sz w:val="16"/>
        </w:rPr>
        <w:t>balance</w:t>
      </w:r>
      <w:r>
        <w:rPr>
          <w:spacing w:val="-7"/>
          <w:sz w:val="16"/>
        </w:rPr>
        <w:t> </w:t>
      </w:r>
      <w:r>
        <w:rPr>
          <w:sz w:val="16"/>
        </w:rPr>
        <w:t>indicates</w:t>
      </w:r>
      <w:r>
        <w:rPr>
          <w:spacing w:val="-8"/>
          <w:sz w:val="16"/>
        </w:rPr>
        <w:t> </w:t>
      </w:r>
      <w:r>
        <w:rPr>
          <w:sz w:val="16"/>
        </w:rPr>
        <w:t>a</w:t>
      </w:r>
      <w:r>
        <w:rPr>
          <w:spacing w:val="-7"/>
          <w:sz w:val="16"/>
        </w:rPr>
        <w:t> </w:t>
      </w:r>
      <w:r>
        <w:rPr>
          <w:sz w:val="16"/>
        </w:rPr>
        <w:t>decrease</w:t>
      </w:r>
      <w:r>
        <w:rPr>
          <w:spacing w:val="-6"/>
          <w:sz w:val="16"/>
        </w:rPr>
        <w:t> </w:t>
      </w:r>
      <w:r>
        <w:rPr>
          <w:sz w:val="16"/>
        </w:rPr>
        <w:t>in</w:t>
      </w:r>
      <w:r>
        <w:rPr>
          <w:spacing w:val="-6"/>
          <w:sz w:val="16"/>
        </w:rPr>
        <w:t> </w:t>
      </w:r>
      <w:r>
        <w:rPr>
          <w:sz w:val="16"/>
        </w:rPr>
        <w:t>revenue</w:t>
      </w:r>
      <w:r>
        <w:rPr>
          <w:spacing w:val="-6"/>
          <w:sz w:val="16"/>
        </w:rPr>
        <w:t> </w:t>
      </w:r>
      <w:r>
        <w:rPr>
          <w:sz w:val="16"/>
        </w:rPr>
        <w:t>or</w:t>
      </w:r>
      <w:r>
        <w:rPr>
          <w:spacing w:val="-9"/>
          <w:sz w:val="16"/>
        </w:rPr>
        <w:t> </w:t>
      </w:r>
      <w:r>
        <w:rPr>
          <w:sz w:val="16"/>
        </w:rPr>
        <w:t>an</w:t>
      </w:r>
      <w:r>
        <w:rPr>
          <w:spacing w:val="-6"/>
          <w:sz w:val="16"/>
        </w:rPr>
        <w:t> </w:t>
      </w:r>
      <w:r>
        <w:rPr>
          <w:sz w:val="16"/>
        </w:rPr>
        <w:t>increase</w:t>
      </w:r>
      <w:r>
        <w:rPr>
          <w:spacing w:val="-8"/>
          <w:sz w:val="16"/>
        </w:rPr>
        <w:t> </w:t>
      </w:r>
      <w:r>
        <w:rPr>
          <w:sz w:val="16"/>
        </w:rPr>
        <w:t>in</w:t>
      </w:r>
      <w:r>
        <w:rPr>
          <w:spacing w:val="-9"/>
          <w:sz w:val="16"/>
        </w:rPr>
        <w:t> </w:t>
      </w:r>
      <w:r>
        <w:rPr>
          <w:sz w:val="16"/>
        </w:rPr>
        <w:t>expenses</w:t>
      </w:r>
      <w:r>
        <w:rPr>
          <w:spacing w:val="-7"/>
          <w:sz w:val="16"/>
        </w:rPr>
        <w:t> </w:t>
      </w:r>
      <w:r>
        <w:rPr>
          <w:sz w:val="16"/>
        </w:rPr>
        <w:t>or</w:t>
      </w:r>
      <w:r>
        <w:rPr>
          <w:spacing w:val="-9"/>
          <w:sz w:val="16"/>
        </w:rPr>
        <w:t> </w:t>
      </w:r>
      <w:r>
        <w:rPr>
          <w:sz w:val="16"/>
        </w:rPr>
        <w:t>net</w:t>
      </w:r>
      <w:r>
        <w:rPr>
          <w:spacing w:val="-9"/>
          <w:sz w:val="16"/>
        </w:rPr>
        <w:t> </w:t>
      </w:r>
      <w:r>
        <w:rPr>
          <w:sz w:val="16"/>
        </w:rPr>
        <w:t>capital</w:t>
      </w:r>
      <w:r>
        <w:rPr>
          <w:spacing w:val="-11"/>
          <w:sz w:val="16"/>
        </w:rPr>
        <w:t> </w:t>
      </w:r>
      <w:r>
        <w:rPr>
          <w:sz w:val="16"/>
        </w:rPr>
        <w:t>investment</w:t>
      </w:r>
      <w:r>
        <w:rPr>
          <w:spacing w:val="-8"/>
          <w:sz w:val="16"/>
        </w:rPr>
        <w:t> </w:t>
      </w:r>
      <w:r>
        <w:rPr>
          <w:sz w:val="16"/>
        </w:rPr>
        <w:t>in</w:t>
      </w:r>
      <w:r>
        <w:rPr>
          <w:spacing w:val="-9"/>
          <w:sz w:val="16"/>
        </w:rPr>
        <w:t> </w:t>
      </w:r>
      <w:r>
        <w:rPr>
          <w:sz w:val="16"/>
        </w:rPr>
        <w:t>accrual</w:t>
      </w:r>
      <w:r>
        <w:rPr>
          <w:spacing w:val="-7"/>
          <w:sz w:val="16"/>
        </w:rPr>
        <w:t> </w:t>
      </w:r>
      <w:r>
        <w:rPr>
          <w:spacing w:val="-2"/>
          <w:sz w:val="16"/>
        </w:rPr>
        <w:t>terms.</w:t>
      </w:r>
    </w:p>
    <w:p>
      <w:pPr>
        <w:spacing w:line="319" w:lineRule="auto" w:before="1"/>
        <w:ind w:left="514" w:right="185" w:firstLine="0"/>
        <w:jc w:val="left"/>
        <w:rPr>
          <w:sz w:val="16"/>
        </w:rPr>
      </w:pPr>
      <w:r>
        <w:rPr>
          <w:sz w:val="16"/>
        </w:rPr>
        <w:t>A</w:t>
      </w:r>
      <w:r>
        <w:rPr>
          <w:spacing w:val="-8"/>
          <w:sz w:val="16"/>
        </w:rPr>
        <w:t> </w:t>
      </w:r>
      <w:r>
        <w:rPr>
          <w:sz w:val="16"/>
        </w:rPr>
        <w:t>positive</w:t>
      </w:r>
      <w:r>
        <w:rPr>
          <w:spacing w:val="-9"/>
          <w:sz w:val="16"/>
        </w:rPr>
        <w:t> </w:t>
      </w:r>
      <w:r>
        <w:rPr>
          <w:sz w:val="16"/>
        </w:rPr>
        <w:t>number</w:t>
      </w:r>
      <w:r>
        <w:rPr>
          <w:spacing w:val="-8"/>
          <w:sz w:val="16"/>
        </w:rPr>
        <w:t> </w:t>
      </w:r>
      <w:r>
        <w:rPr>
          <w:sz w:val="16"/>
        </w:rPr>
        <w:t>for</w:t>
      </w:r>
      <w:r>
        <w:rPr>
          <w:spacing w:val="-7"/>
          <w:sz w:val="16"/>
        </w:rPr>
        <w:t> </w:t>
      </w:r>
      <w:r>
        <w:rPr>
          <w:sz w:val="16"/>
        </w:rPr>
        <w:t>the</w:t>
      </w:r>
      <w:r>
        <w:rPr>
          <w:spacing w:val="-8"/>
          <w:sz w:val="16"/>
        </w:rPr>
        <w:t> </w:t>
      </w:r>
      <w:r>
        <w:rPr>
          <w:sz w:val="16"/>
        </w:rPr>
        <w:t>underlying</w:t>
      </w:r>
      <w:r>
        <w:rPr>
          <w:spacing w:val="-7"/>
          <w:sz w:val="16"/>
        </w:rPr>
        <w:t> </w:t>
      </w:r>
      <w:r>
        <w:rPr>
          <w:sz w:val="16"/>
        </w:rPr>
        <w:t>cash</w:t>
      </w:r>
      <w:r>
        <w:rPr>
          <w:spacing w:val="-9"/>
          <w:sz w:val="16"/>
        </w:rPr>
        <w:t> </w:t>
      </w:r>
      <w:r>
        <w:rPr>
          <w:sz w:val="16"/>
        </w:rPr>
        <w:t>balance</w:t>
      </w:r>
      <w:r>
        <w:rPr>
          <w:spacing w:val="-8"/>
          <w:sz w:val="16"/>
        </w:rPr>
        <w:t> </w:t>
      </w:r>
      <w:r>
        <w:rPr>
          <w:sz w:val="16"/>
        </w:rPr>
        <w:t>indicates</w:t>
      </w:r>
      <w:r>
        <w:rPr>
          <w:spacing w:val="-9"/>
          <w:sz w:val="16"/>
        </w:rPr>
        <w:t> </w:t>
      </w:r>
      <w:r>
        <w:rPr>
          <w:sz w:val="16"/>
        </w:rPr>
        <w:t>an</w:t>
      </w:r>
      <w:r>
        <w:rPr>
          <w:spacing w:val="-8"/>
          <w:sz w:val="16"/>
        </w:rPr>
        <w:t> </w:t>
      </w:r>
      <w:r>
        <w:rPr>
          <w:sz w:val="16"/>
        </w:rPr>
        <w:t>increase</w:t>
      </w:r>
      <w:r>
        <w:rPr>
          <w:spacing w:val="-6"/>
          <w:sz w:val="16"/>
        </w:rPr>
        <w:t> </w:t>
      </w:r>
      <w:r>
        <w:rPr>
          <w:sz w:val="16"/>
        </w:rPr>
        <w:t>in</w:t>
      </w:r>
      <w:r>
        <w:rPr>
          <w:spacing w:val="-9"/>
          <w:sz w:val="16"/>
        </w:rPr>
        <w:t> </w:t>
      </w:r>
      <w:r>
        <w:rPr>
          <w:sz w:val="16"/>
        </w:rPr>
        <w:t>receipts</w:t>
      </w:r>
      <w:r>
        <w:rPr>
          <w:spacing w:val="-6"/>
          <w:sz w:val="16"/>
        </w:rPr>
        <w:t> </w:t>
      </w:r>
      <w:r>
        <w:rPr>
          <w:sz w:val="16"/>
        </w:rPr>
        <w:t>or</w:t>
      </w:r>
      <w:r>
        <w:rPr>
          <w:spacing w:val="-8"/>
          <w:sz w:val="16"/>
        </w:rPr>
        <w:t> </w:t>
      </w:r>
      <w:r>
        <w:rPr>
          <w:sz w:val="16"/>
        </w:rPr>
        <w:t>a</w:t>
      </w:r>
      <w:r>
        <w:rPr>
          <w:spacing w:val="-8"/>
          <w:sz w:val="16"/>
        </w:rPr>
        <w:t> </w:t>
      </w:r>
      <w:r>
        <w:rPr>
          <w:sz w:val="16"/>
        </w:rPr>
        <w:t>decrease</w:t>
      </w:r>
      <w:r>
        <w:rPr>
          <w:spacing w:val="-6"/>
          <w:sz w:val="16"/>
        </w:rPr>
        <w:t> </w:t>
      </w:r>
      <w:r>
        <w:rPr>
          <w:sz w:val="16"/>
        </w:rPr>
        <w:t>in</w:t>
      </w:r>
      <w:r>
        <w:rPr>
          <w:spacing w:val="-8"/>
          <w:sz w:val="16"/>
        </w:rPr>
        <w:t> </w:t>
      </w:r>
      <w:r>
        <w:rPr>
          <w:sz w:val="16"/>
        </w:rPr>
        <w:t>payments</w:t>
      </w:r>
      <w:r>
        <w:rPr>
          <w:spacing w:val="-9"/>
          <w:sz w:val="16"/>
        </w:rPr>
        <w:t> </w:t>
      </w:r>
      <w:r>
        <w:rPr>
          <w:sz w:val="16"/>
        </w:rPr>
        <w:t>or</w:t>
      </w:r>
      <w:r>
        <w:rPr>
          <w:spacing w:val="-11"/>
          <w:sz w:val="16"/>
        </w:rPr>
        <w:t> </w:t>
      </w:r>
      <w:r>
        <w:rPr>
          <w:sz w:val="16"/>
        </w:rPr>
        <w:t>net</w:t>
      </w:r>
      <w:r>
        <w:rPr>
          <w:spacing w:val="-6"/>
          <w:sz w:val="16"/>
        </w:rPr>
        <w:t> </w:t>
      </w:r>
      <w:r>
        <w:rPr>
          <w:sz w:val="16"/>
        </w:rPr>
        <w:t>capital</w:t>
      </w:r>
      <w:r>
        <w:rPr>
          <w:spacing w:val="-7"/>
          <w:sz w:val="16"/>
        </w:rPr>
        <w:t> </w:t>
      </w:r>
      <w:r>
        <w:rPr>
          <w:sz w:val="16"/>
        </w:rPr>
        <w:t>investment</w:t>
      </w:r>
      <w:r>
        <w:rPr>
          <w:spacing w:val="-7"/>
          <w:sz w:val="16"/>
        </w:rPr>
        <w:t> </w:t>
      </w:r>
      <w:r>
        <w:rPr>
          <w:sz w:val="16"/>
        </w:rPr>
        <w:t>in</w:t>
      </w:r>
      <w:r>
        <w:rPr>
          <w:spacing w:val="-6"/>
          <w:sz w:val="16"/>
        </w:rPr>
        <w:t> </w:t>
      </w:r>
      <w:r>
        <w:rPr>
          <w:sz w:val="16"/>
        </w:rPr>
        <w:t>cash</w:t>
      </w:r>
      <w:r>
        <w:rPr>
          <w:spacing w:val="-8"/>
          <w:sz w:val="16"/>
        </w:rPr>
        <w:t> </w:t>
      </w:r>
      <w:r>
        <w:rPr>
          <w:sz w:val="16"/>
        </w:rPr>
        <w:t>terms. A</w:t>
      </w:r>
      <w:r>
        <w:rPr>
          <w:spacing w:val="-9"/>
          <w:sz w:val="16"/>
        </w:rPr>
        <w:t> </w:t>
      </w:r>
      <w:r>
        <w:rPr>
          <w:sz w:val="16"/>
        </w:rPr>
        <w:t>negative</w:t>
      </w:r>
      <w:r>
        <w:rPr>
          <w:spacing w:val="-9"/>
          <w:sz w:val="16"/>
        </w:rPr>
        <w:t> </w:t>
      </w:r>
      <w:r>
        <w:rPr>
          <w:sz w:val="16"/>
        </w:rPr>
        <w:t>number</w:t>
      </w:r>
      <w:r>
        <w:rPr>
          <w:spacing w:val="-9"/>
          <w:sz w:val="16"/>
        </w:rPr>
        <w:t> </w:t>
      </w:r>
      <w:r>
        <w:rPr>
          <w:sz w:val="16"/>
        </w:rPr>
        <w:t>for</w:t>
      </w:r>
      <w:r>
        <w:rPr>
          <w:spacing w:val="-7"/>
          <w:sz w:val="16"/>
        </w:rPr>
        <w:t> </w:t>
      </w:r>
      <w:r>
        <w:rPr>
          <w:sz w:val="16"/>
        </w:rPr>
        <w:t>the</w:t>
      </w:r>
      <w:r>
        <w:rPr>
          <w:spacing w:val="-10"/>
          <w:sz w:val="16"/>
        </w:rPr>
        <w:t> </w:t>
      </w:r>
      <w:r>
        <w:rPr>
          <w:sz w:val="16"/>
        </w:rPr>
        <w:t>underlying</w:t>
      </w:r>
      <w:r>
        <w:rPr>
          <w:spacing w:val="-7"/>
          <w:sz w:val="16"/>
        </w:rPr>
        <w:t> </w:t>
      </w:r>
      <w:r>
        <w:rPr>
          <w:sz w:val="16"/>
        </w:rPr>
        <w:t>cash</w:t>
      </w:r>
      <w:r>
        <w:rPr>
          <w:spacing w:val="-9"/>
          <w:sz w:val="16"/>
        </w:rPr>
        <w:t> </w:t>
      </w:r>
      <w:r>
        <w:rPr>
          <w:sz w:val="16"/>
        </w:rPr>
        <w:t>balance</w:t>
      </w:r>
      <w:r>
        <w:rPr>
          <w:spacing w:val="-9"/>
          <w:sz w:val="16"/>
        </w:rPr>
        <w:t> </w:t>
      </w:r>
      <w:r>
        <w:rPr>
          <w:sz w:val="16"/>
        </w:rPr>
        <w:t>indicates</w:t>
      </w:r>
      <w:r>
        <w:rPr>
          <w:spacing w:val="-9"/>
          <w:sz w:val="16"/>
        </w:rPr>
        <w:t> </w:t>
      </w:r>
      <w:r>
        <w:rPr>
          <w:sz w:val="16"/>
        </w:rPr>
        <w:t>a</w:t>
      </w:r>
      <w:r>
        <w:rPr>
          <w:spacing w:val="-7"/>
          <w:sz w:val="16"/>
        </w:rPr>
        <w:t> </w:t>
      </w:r>
      <w:r>
        <w:rPr>
          <w:sz w:val="16"/>
        </w:rPr>
        <w:t>decrease</w:t>
      </w:r>
      <w:r>
        <w:rPr>
          <w:spacing w:val="-9"/>
          <w:sz w:val="16"/>
        </w:rPr>
        <w:t> </w:t>
      </w:r>
      <w:r>
        <w:rPr>
          <w:sz w:val="16"/>
        </w:rPr>
        <w:t>in</w:t>
      </w:r>
      <w:r>
        <w:rPr>
          <w:spacing w:val="-9"/>
          <w:sz w:val="16"/>
        </w:rPr>
        <w:t> </w:t>
      </w:r>
      <w:r>
        <w:rPr>
          <w:sz w:val="16"/>
        </w:rPr>
        <w:t>receipts</w:t>
      </w:r>
      <w:r>
        <w:rPr>
          <w:spacing w:val="-7"/>
          <w:sz w:val="16"/>
        </w:rPr>
        <w:t> </w:t>
      </w:r>
      <w:r>
        <w:rPr>
          <w:sz w:val="16"/>
        </w:rPr>
        <w:t>or</w:t>
      </w:r>
      <w:r>
        <w:rPr>
          <w:spacing w:val="-9"/>
          <w:sz w:val="16"/>
        </w:rPr>
        <w:t> </w:t>
      </w:r>
      <w:r>
        <w:rPr>
          <w:sz w:val="16"/>
        </w:rPr>
        <w:t>an</w:t>
      </w:r>
      <w:r>
        <w:rPr>
          <w:spacing w:val="-6"/>
          <w:sz w:val="16"/>
        </w:rPr>
        <w:t> </w:t>
      </w:r>
      <w:r>
        <w:rPr>
          <w:sz w:val="16"/>
        </w:rPr>
        <w:t>increase</w:t>
      </w:r>
      <w:r>
        <w:rPr>
          <w:spacing w:val="-10"/>
          <w:sz w:val="16"/>
        </w:rPr>
        <w:t> </w:t>
      </w:r>
      <w:r>
        <w:rPr>
          <w:sz w:val="16"/>
        </w:rPr>
        <w:t>in</w:t>
      </w:r>
      <w:r>
        <w:rPr>
          <w:spacing w:val="-9"/>
          <w:sz w:val="16"/>
        </w:rPr>
        <w:t> </w:t>
      </w:r>
      <w:r>
        <w:rPr>
          <w:sz w:val="16"/>
        </w:rPr>
        <w:t>payments</w:t>
      </w:r>
      <w:r>
        <w:rPr>
          <w:spacing w:val="-6"/>
          <w:sz w:val="16"/>
        </w:rPr>
        <w:t> </w:t>
      </w:r>
      <w:r>
        <w:rPr>
          <w:sz w:val="16"/>
        </w:rPr>
        <w:t>or</w:t>
      </w:r>
      <w:r>
        <w:rPr>
          <w:spacing w:val="-11"/>
          <w:sz w:val="16"/>
        </w:rPr>
        <w:t> </w:t>
      </w:r>
      <w:r>
        <w:rPr>
          <w:sz w:val="16"/>
        </w:rPr>
        <w:t>net</w:t>
      </w:r>
      <w:r>
        <w:rPr>
          <w:spacing w:val="-7"/>
          <w:sz w:val="16"/>
        </w:rPr>
        <w:t> </w:t>
      </w:r>
      <w:r>
        <w:rPr>
          <w:sz w:val="16"/>
        </w:rPr>
        <w:t>capital</w:t>
      </w:r>
      <w:r>
        <w:rPr>
          <w:spacing w:val="-8"/>
          <w:sz w:val="16"/>
        </w:rPr>
        <w:t> </w:t>
      </w:r>
      <w:r>
        <w:rPr>
          <w:sz w:val="16"/>
        </w:rPr>
        <w:t>investment</w:t>
      </w:r>
      <w:r>
        <w:rPr>
          <w:spacing w:val="-7"/>
          <w:sz w:val="16"/>
        </w:rPr>
        <w:t> </w:t>
      </w:r>
      <w:r>
        <w:rPr>
          <w:sz w:val="16"/>
        </w:rPr>
        <w:t>in</w:t>
      </w:r>
      <w:r>
        <w:rPr>
          <w:spacing w:val="-7"/>
          <w:sz w:val="16"/>
        </w:rPr>
        <w:t> </w:t>
      </w:r>
      <w:r>
        <w:rPr>
          <w:sz w:val="16"/>
        </w:rPr>
        <w:t>cash</w:t>
      </w:r>
      <w:r>
        <w:rPr>
          <w:spacing w:val="-9"/>
          <w:sz w:val="16"/>
        </w:rPr>
        <w:t> </w:t>
      </w:r>
      <w:r>
        <w:rPr>
          <w:sz w:val="16"/>
        </w:rPr>
        <w:t>terms.</w:t>
      </w:r>
    </w:p>
    <w:p>
      <w:pPr>
        <w:pStyle w:val="ListParagraph"/>
        <w:numPr>
          <w:ilvl w:val="0"/>
          <w:numId w:val="6"/>
        </w:numPr>
        <w:tabs>
          <w:tab w:pos="515" w:val="left" w:leader="none"/>
        </w:tabs>
        <w:spacing w:line="194" w:lineRule="exact" w:before="0" w:after="0"/>
        <w:ind w:left="514" w:right="0" w:hanging="284"/>
        <w:jc w:val="left"/>
        <w:rPr>
          <w:sz w:val="16"/>
        </w:rPr>
      </w:pPr>
      <w:r>
        <w:rPr>
          <w:sz w:val="16"/>
        </w:rPr>
        <w:t>Figures may not sum to totals due to</w:t>
      </w:r>
      <w:r>
        <w:rPr>
          <w:spacing w:val="-5"/>
          <w:sz w:val="16"/>
        </w:rPr>
        <w:t> </w:t>
      </w:r>
      <w:r>
        <w:rPr>
          <w:sz w:val="16"/>
        </w:rPr>
        <w:t>rounding.</w:t>
      </w:r>
    </w:p>
    <w:p>
      <w:pPr>
        <w:pStyle w:val="ListParagraph"/>
        <w:numPr>
          <w:ilvl w:val="0"/>
          <w:numId w:val="7"/>
        </w:numPr>
        <w:tabs>
          <w:tab w:pos="514" w:val="left" w:leader="none"/>
          <w:tab w:pos="515" w:val="left" w:leader="none"/>
        </w:tabs>
        <w:spacing w:line="240" w:lineRule="auto" w:before="66" w:after="0"/>
        <w:ind w:left="514" w:right="0" w:hanging="284"/>
        <w:jc w:val="left"/>
        <w:rPr>
          <w:sz w:val="16"/>
        </w:rPr>
      </w:pPr>
      <w:r>
        <w:rPr>
          <w:sz w:val="16"/>
        </w:rPr>
        <w:t>Indicates</w:t>
      </w:r>
      <w:r>
        <w:rPr>
          <w:spacing w:val="-2"/>
          <w:sz w:val="16"/>
        </w:rPr>
        <w:t> </w:t>
      </w:r>
      <w:r>
        <w:rPr>
          <w:sz w:val="16"/>
        </w:rPr>
        <w:t>nil.</w:t>
      </w:r>
    </w:p>
    <w:p>
      <w:pPr>
        <w:pStyle w:val="BodyText"/>
        <w:rPr>
          <w:sz w:val="16"/>
        </w:rPr>
      </w:pPr>
    </w:p>
    <w:p>
      <w:pPr>
        <w:pStyle w:val="BodyText"/>
        <w:rPr>
          <w:sz w:val="16"/>
        </w:rPr>
      </w:pPr>
    </w:p>
    <w:p>
      <w:pPr>
        <w:pStyle w:val="BodyText"/>
        <w:rPr>
          <w:sz w:val="16"/>
        </w:rPr>
      </w:pPr>
    </w:p>
    <w:p>
      <w:pPr>
        <w:pStyle w:val="BodyText"/>
        <w:spacing w:before="5"/>
        <w:rPr>
          <w:sz w:val="18"/>
        </w:rPr>
      </w:pPr>
    </w:p>
    <w:p>
      <w:pPr>
        <w:pStyle w:val="Heading2"/>
        <w:spacing w:line="268" w:lineRule="auto"/>
        <w:ind w:left="231" w:right="185" w:hanging="1"/>
      </w:pPr>
      <w:r>
        <w:rPr>
          <w:color w:val="3C4D7C"/>
          <w:spacing w:val="-4"/>
        </w:rPr>
        <w:t>Table </w:t>
      </w:r>
      <w:r>
        <w:rPr>
          <w:color w:val="3C4D7C"/>
          <w:spacing w:val="-3"/>
        </w:rPr>
        <w:t>A2: </w:t>
      </w:r>
      <w:r>
        <w:rPr>
          <w:color w:val="3C4D7C"/>
          <w:spacing w:val="-5"/>
        </w:rPr>
        <w:t>Impact </w:t>
      </w:r>
      <w:r>
        <w:rPr>
          <w:color w:val="3C4D7C"/>
          <w:spacing w:val="-3"/>
        </w:rPr>
        <w:t>of </w:t>
      </w:r>
      <w:r>
        <w:rPr>
          <w:color w:val="3C4D7C"/>
          <w:spacing w:val="-5"/>
        </w:rPr>
        <w:t>accelerating </w:t>
      </w:r>
      <w:r>
        <w:rPr>
          <w:color w:val="3C4D7C"/>
          <w:spacing w:val="-4"/>
        </w:rPr>
        <w:t>Stage </w:t>
      </w:r>
      <w:r>
        <w:rPr>
          <w:color w:val="3C4D7C"/>
        </w:rPr>
        <w:t>2 </w:t>
      </w:r>
      <w:r>
        <w:rPr>
          <w:color w:val="3C4D7C"/>
          <w:spacing w:val="-5"/>
        </w:rPr>
        <w:t>personal </w:t>
      </w:r>
      <w:r>
        <w:rPr>
          <w:color w:val="3C4D7C"/>
          <w:spacing w:val="-4"/>
        </w:rPr>
        <w:t>income </w:t>
      </w:r>
      <w:r>
        <w:rPr>
          <w:color w:val="3C4D7C"/>
          <w:spacing w:val="-3"/>
        </w:rPr>
        <w:t>tax </w:t>
      </w:r>
      <w:r>
        <w:rPr>
          <w:color w:val="3C4D7C"/>
          <w:spacing w:val="-4"/>
        </w:rPr>
        <w:t>cuts </w:t>
      </w:r>
      <w:r>
        <w:rPr>
          <w:color w:val="3C4D7C"/>
        </w:rPr>
        <w:t>– </w:t>
      </w:r>
      <w:r>
        <w:rPr>
          <w:color w:val="3C4D7C"/>
          <w:spacing w:val="-4"/>
        </w:rPr>
        <w:t>Option </w:t>
      </w:r>
      <w:r>
        <w:rPr>
          <w:color w:val="3C4D7C"/>
        </w:rPr>
        <w:t>2: </w:t>
      </w:r>
      <w:r>
        <w:rPr>
          <w:color w:val="3C4D7C"/>
          <w:spacing w:val="-4"/>
        </w:rPr>
        <w:t>Bring </w:t>
      </w:r>
      <w:r>
        <w:rPr>
          <w:color w:val="3C4D7C"/>
          <w:spacing w:val="-5"/>
        </w:rPr>
        <w:t>forward </w:t>
      </w:r>
      <w:r>
        <w:rPr>
          <w:color w:val="3C4D7C"/>
          <w:spacing w:val="-3"/>
        </w:rPr>
        <w:t>the </w:t>
      </w:r>
      <w:r>
        <w:rPr>
          <w:color w:val="3C4D7C"/>
          <w:spacing w:val="-5"/>
        </w:rPr>
        <w:t>scheduled personal </w:t>
      </w:r>
      <w:r>
        <w:rPr>
          <w:color w:val="3C4D7C"/>
          <w:spacing w:val="-4"/>
        </w:rPr>
        <w:t>income </w:t>
      </w:r>
      <w:r>
        <w:rPr>
          <w:color w:val="3C4D7C"/>
          <w:spacing w:val="-3"/>
        </w:rPr>
        <w:t>tax </w:t>
      </w:r>
      <w:r>
        <w:rPr>
          <w:color w:val="3C4D7C"/>
          <w:spacing w:val="-4"/>
        </w:rPr>
        <w:t>cuts </w:t>
      </w:r>
      <w:r>
        <w:rPr>
          <w:color w:val="3C4D7C"/>
          <w:spacing w:val="-5"/>
        </w:rPr>
        <w:t>beginning</w:t>
      </w:r>
      <w:r>
        <w:rPr>
          <w:color w:val="3C4D7C"/>
          <w:spacing w:val="-3"/>
        </w:rPr>
        <w:t> on </w:t>
      </w:r>
      <w:r>
        <w:rPr>
          <w:color w:val="3C4D7C"/>
        </w:rPr>
        <w:t>1 </w:t>
      </w:r>
      <w:r>
        <w:rPr>
          <w:color w:val="3C4D7C"/>
          <w:spacing w:val="-4"/>
        </w:rPr>
        <w:t>July </w:t>
      </w:r>
      <w:r>
        <w:rPr>
          <w:color w:val="3C4D7C"/>
          <w:spacing w:val="-3"/>
        </w:rPr>
        <w:t>2022 to </w:t>
      </w:r>
      <w:r>
        <w:rPr>
          <w:color w:val="3C4D7C"/>
        </w:rPr>
        <w:t>1 </w:t>
      </w:r>
      <w:r>
        <w:rPr>
          <w:color w:val="3C4D7C"/>
          <w:spacing w:val="-4"/>
        </w:rPr>
        <w:t>July 2020, </w:t>
      </w:r>
      <w:r>
        <w:rPr>
          <w:color w:val="3C4D7C"/>
          <w:spacing w:val="-5"/>
        </w:rPr>
        <w:t>without adjusting </w:t>
      </w:r>
      <w:r>
        <w:rPr>
          <w:color w:val="3C4D7C"/>
          <w:spacing w:val="-4"/>
        </w:rPr>
        <w:t>the end date </w:t>
      </w:r>
      <w:r>
        <w:rPr>
          <w:color w:val="3C4D7C"/>
        </w:rPr>
        <w:t>of </w:t>
      </w:r>
      <w:r>
        <w:rPr>
          <w:color w:val="3C4D7C"/>
          <w:spacing w:val="-3"/>
        </w:rPr>
        <w:t>the </w:t>
      </w:r>
      <w:r>
        <w:rPr>
          <w:color w:val="3C4D7C"/>
          <w:spacing w:val="-4"/>
        </w:rPr>
        <w:t>low </w:t>
      </w:r>
      <w:r>
        <w:rPr>
          <w:color w:val="3C4D7C"/>
          <w:spacing w:val="-5"/>
        </w:rPr>
        <w:t>and middle </w:t>
      </w:r>
      <w:r>
        <w:rPr>
          <w:color w:val="3C4D7C"/>
          <w:spacing w:val="-4"/>
        </w:rPr>
        <w:t>income </w:t>
      </w:r>
      <w:r>
        <w:rPr>
          <w:color w:val="3C4D7C"/>
          <w:spacing w:val="-3"/>
        </w:rPr>
        <w:t>tax </w:t>
      </w:r>
      <w:r>
        <w:rPr>
          <w:color w:val="3C4D7C"/>
          <w:spacing w:val="-5"/>
        </w:rPr>
        <w:t>offset </w:t>
      </w:r>
      <w:r>
        <w:rPr>
          <w:color w:val="3C4D7C"/>
        </w:rPr>
        <w:t>– </w:t>
      </w:r>
      <w:r>
        <w:rPr>
          <w:color w:val="3C4D7C"/>
          <w:spacing w:val="-5"/>
        </w:rPr>
        <w:t>Fiscal </w:t>
      </w:r>
      <w:r>
        <w:rPr>
          <w:color w:val="3C4D7C"/>
          <w:spacing w:val="-4"/>
        </w:rPr>
        <w:t>and </w:t>
      </w:r>
      <w:r>
        <w:rPr>
          <w:color w:val="3C4D7C"/>
          <w:spacing w:val="-5"/>
        </w:rPr>
        <w:t>underlying </w:t>
      </w:r>
      <w:r>
        <w:rPr>
          <w:color w:val="3C4D7C"/>
          <w:spacing w:val="-3"/>
        </w:rPr>
        <w:t>cash </w:t>
      </w:r>
      <w:r>
        <w:rPr>
          <w:color w:val="3C4D7C"/>
          <w:spacing w:val="-5"/>
        </w:rPr>
        <w:t>balances </w:t>
      </w:r>
      <w:r>
        <w:rPr>
          <w:color w:val="3C4D7C"/>
          <w:spacing w:val="-4"/>
        </w:rPr>
        <w:t>($m)</w:t>
      </w:r>
      <w:r>
        <w:rPr>
          <w:color w:val="3C4D7C"/>
          <w:spacing w:val="-4"/>
          <w:vertAlign w:val="superscript"/>
        </w:rPr>
        <w:t>(a)(b)</w:t>
      </w:r>
    </w:p>
    <w:p>
      <w:pPr>
        <w:pStyle w:val="BodyText"/>
        <w:spacing w:before="2"/>
        <w:rPr>
          <w:b/>
          <w:sz w:val="7"/>
        </w:rPr>
      </w:pPr>
    </w:p>
    <w:tbl>
      <w:tblPr>
        <w:tblW w:w="0" w:type="auto"/>
        <w:jc w:val="left"/>
        <w:tblInd w:w="133" w:type="dxa"/>
        <w:tblBorders>
          <w:top w:val="single" w:sz="8" w:space="0" w:color="788183"/>
          <w:left w:val="single" w:sz="8" w:space="0" w:color="788183"/>
          <w:bottom w:val="single" w:sz="8" w:space="0" w:color="788183"/>
          <w:right w:val="single" w:sz="8" w:space="0" w:color="788183"/>
          <w:insideH w:val="single" w:sz="8" w:space="0" w:color="788183"/>
          <w:insideV w:val="single" w:sz="8" w:space="0" w:color="788183"/>
        </w:tblBorders>
        <w:tblLayout w:type="fixed"/>
        <w:tblCellMar>
          <w:top w:w="0" w:type="dxa"/>
          <w:left w:w="0" w:type="dxa"/>
          <w:bottom w:w="0" w:type="dxa"/>
          <w:right w:w="0" w:type="dxa"/>
        </w:tblCellMar>
        <w:tblLook w:val="01E0"/>
      </w:tblPr>
      <w:tblGrid>
        <w:gridCol w:w="2347"/>
        <w:gridCol w:w="573"/>
        <w:gridCol w:w="573"/>
        <w:gridCol w:w="573"/>
        <w:gridCol w:w="573"/>
        <w:gridCol w:w="573"/>
        <w:gridCol w:w="575"/>
        <w:gridCol w:w="573"/>
        <w:gridCol w:w="573"/>
        <w:gridCol w:w="573"/>
        <w:gridCol w:w="573"/>
        <w:gridCol w:w="573"/>
        <w:gridCol w:w="710"/>
        <w:gridCol w:w="698"/>
      </w:tblGrid>
      <w:tr>
        <w:trPr>
          <w:trHeight w:val="505" w:hRule="atLeast"/>
        </w:trPr>
        <w:tc>
          <w:tcPr>
            <w:tcW w:w="2347" w:type="dxa"/>
            <w:shd w:val="clear" w:color="auto" w:fill="A7B1D3"/>
          </w:tcPr>
          <w:p>
            <w:pPr>
              <w:pStyle w:val="TableParagraph"/>
              <w:jc w:val="left"/>
              <w:rPr>
                <w:rFonts w:ascii="Times New Roman"/>
                <w:sz w:val="16"/>
              </w:rPr>
            </w:pPr>
          </w:p>
        </w:tc>
        <w:tc>
          <w:tcPr>
            <w:tcW w:w="573" w:type="dxa"/>
            <w:shd w:val="clear" w:color="auto" w:fill="A7B1D3"/>
          </w:tcPr>
          <w:p>
            <w:pPr>
              <w:pStyle w:val="TableParagraph"/>
              <w:spacing w:before="68"/>
              <w:ind w:left="119" w:right="2"/>
              <w:jc w:val="center"/>
              <w:rPr>
                <w:sz w:val="15"/>
              </w:rPr>
            </w:pPr>
            <w:r>
              <w:rPr>
                <w:sz w:val="15"/>
              </w:rPr>
              <w:t>2019–</w:t>
            </w:r>
          </w:p>
          <w:p>
            <w:pPr>
              <w:pStyle w:val="TableParagraph"/>
              <w:spacing w:before="1"/>
              <w:ind w:left="115" w:right="2"/>
              <w:jc w:val="center"/>
              <w:rPr>
                <w:sz w:val="15"/>
              </w:rPr>
            </w:pPr>
            <w:r>
              <w:rPr>
                <w:sz w:val="15"/>
              </w:rPr>
              <w:t>20</w:t>
            </w:r>
          </w:p>
        </w:tc>
        <w:tc>
          <w:tcPr>
            <w:tcW w:w="573" w:type="dxa"/>
            <w:shd w:val="clear" w:color="auto" w:fill="A7B1D3"/>
          </w:tcPr>
          <w:p>
            <w:pPr>
              <w:pStyle w:val="TableParagraph"/>
              <w:spacing w:before="68"/>
              <w:ind w:left="120" w:right="2"/>
              <w:jc w:val="center"/>
              <w:rPr>
                <w:sz w:val="15"/>
              </w:rPr>
            </w:pPr>
            <w:r>
              <w:rPr>
                <w:sz w:val="15"/>
              </w:rPr>
              <w:t>2020–</w:t>
            </w:r>
          </w:p>
          <w:p>
            <w:pPr>
              <w:pStyle w:val="TableParagraph"/>
              <w:spacing w:before="1"/>
              <w:ind w:left="117" w:right="2"/>
              <w:jc w:val="center"/>
              <w:rPr>
                <w:sz w:val="15"/>
              </w:rPr>
            </w:pPr>
            <w:r>
              <w:rPr>
                <w:sz w:val="15"/>
              </w:rPr>
              <w:t>21</w:t>
            </w:r>
          </w:p>
        </w:tc>
        <w:tc>
          <w:tcPr>
            <w:tcW w:w="573" w:type="dxa"/>
            <w:shd w:val="clear" w:color="auto" w:fill="A7B1D3"/>
          </w:tcPr>
          <w:p>
            <w:pPr>
              <w:pStyle w:val="TableParagraph"/>
              <w:spacing w:before="68"/>
              <w:ind w:left="121" w:right="2"/>
              <w:jc w:val="center"/>
              <w:rPr>
                <w:sz w:val="15"/>
              </w:rPr>
            </w:pPr>
            <w:r>
              <w:rPr>
                <w:sz w:val="15"/>
              </w:rPr>
              <w:t>2021–</w:t>
            </w:r>
          </w:p>
          <w:p>
            <w:pPr>
              <w:pStyle w:val="TableParagraph"/>
              <w:spacing w:before="1"/>
              <w:ind w:left="118" w:right="2"/>
              <w:jc w:val="center"/>
              <w:rPr>
                <w:sz w:val="15"/>
              </w:rPr>
            </w:pPr>
            <w:r>
              <w:rPr>
                <w:sz w:val="15"/>
              </w:rPr>
              <w:t>22</w:t>
            </w:r>
          </w:p>
        </w:tc>
        <w:tc>
          <w:tcPr>
            <w:tcW w:w="573" w:type="dxa"/>
            <w:shd w:val="clear" w:color="auto" w:fill="A7B1D3"/>
          </w:tcPr>
          <w:p>
            <w:pPr>
              <w:pStyle w:val="TableParagraph"/>
              <w:spacing w:before="68"/>
              <w:ind w:left="122" w:right="2"/>
              <w:jc w:val="center"/>
              <w:rPr>
                <w:sz w:val="15"/>
              </w:rPr>
            </w:pPr>
            <w:r>
              <w:rPr>
                <w:sz w:val="15"/>
              </w:rPr>
              <w:t>2022–</w:t>
            </w:r>
          </w:p>
          <w:p>
            <w:pPr>
              <w:pStyle w:val="TableParagraph"/>
              <w:spacing w:before="1"/>
              <w:ind w:left="119" w:right="2"/>
              <w:jc w:val="center"/>
              <w:rPr>
                <w:sz w:val="15"/>
              </w:rPr>
            </w:pPr>
            <w:r>
              <w:rPr>
                <w:sz w:val="15"/>
              </w:rPr>
              <w:t>23</w:t>
            </w:r>
          </w:p>
        </w:tc>
        <w:tc>
          <w:tcPr>
            <w:tcW w:w="573" w:type="dxa"/>
            <w:shd w:val="clear" w:color="auto" w:fill="A7B1D3"/>
          </w:tcPr>
          <w:p>
            <w:pPr>
              <w:pStyle w:val="TableParagraph"/>
              <w:spacing w:before="68"/>
              <w:ind w:left="123" w:right="2"/>
              <w:jc w:val="center"/>
              <w:rPr>
                <w:sz w:val="15"/>
              </w:rPr>
            </w:pPr>
            <w:r>
              <w:rPr>
                <w:sz w:val="15"/>
              </w:rPr>
              <w:t>2023–</w:t>
            </w:r>
          </w:p>
          <w:p>
            <w:pPr>
              <w:pStyle w:val="TableParagraph"/>
              <w:spacing w:before="1"/>
              <w:ind w:left="120" w:right="2"/>
              <w:jc w:val="center"/>
              <w:rPr>
                <w:sz w:val="15"/>
              </w:rPr>
            </w:pPr>
            <w:r>
              <w:rPr>
                <w:sz w:val="15"/>
              </w:rPr>
              <w:t>24</w:t>
            </w:r>
          </w:p>
        </w:tc>
        <w:tc>
          <w:tcPr>
            <w:tcW w:w="575" w:type="dxa"/>
            <w:shd w:val="clear" w:color="auto" w:fill="A7B1D3"/>
          </w:tcPr>
          <w:p>
            <w:pPr>
              <w:pStyle w:val="TableParagraph"/>
              <w:spacing w:before="68"/>
              <w:ind w:left="130" w:right="5"/>
              <w:jc w:val="center"/>
              <w:rPr>
                <w:sz w:val="15"/>
              </w:rPr>
            </w:pPr>
            <w:r>
              <w:rPr>
                <w:sz w:val="15"/>
              </w:rPr>
              <w:t>2024–</w:t>
            </w:r>
          </w:p>
          <w:p>
            <w:pPr>
              <w:pStyle w:val="TableParagraph"/>
              <w:spacing w:before="1"/>
              <w:ind w:left="127" w:right="5"/>
              <w:jc w:val="center"/>
              <w:rPr>
                <w:sz w:val="15"/>
              </w:rPr>
            </w:pPr>
            <w:r>
              <w:rPr>
                <w:sz w:val="15"/>
              </w:rPr>
              <w:t>25</w:t>
            </w:r>
          </w:p>
        </w:tc>
        <w:tc>
          <w:tcPr>
            <w:tcW w:w="573" w:type="dxa"/>
            <w:shd w:val="clear" w:color="auto" w:fill="A7B1D3"/>
          </w:tcPr>
          <w:p>
            <w:pPr>
              <w:pStyle w:val="TableParagraph"/>
              <w:spacing w:before="68"/>
              <w:ind w:left="125"/>
              <w:jc w:val="center"/>
              <w:rPr>
                <w:sz w:val="15"/>
              </w:rPr>
            </w:pPr>
            <w:r>
              <w:rPr>
                <w:sz w:val="15"/>
              </w:rPr>
              <w:t>2025–</w:t>
            </w:r>
          </w:p>
          <w:p>
            <w:pPr>
              <w:pStyle w:val="TableParagraph"/>
              <w:spacing w:before="1"/>
              <w:ind w:left="123" w:right="2"/>
              <w:jc w:val="center"/>
              <w:rPr>
                <w:sz w:val="15"/>
              </w:rPr>
            </w:pPr>
            <w:r>
              <w:rPr>
                <w:sz w:val="15"/>
              </w:rPr>
              <w:t>26</w:t>
            </w:r>
          </w:p>
        </w:tc>
        <w:tc>
          <w:tcPr>
            <w:tcW w:w="573" w:type="dxa"/>
            <w:shd w:val="clear" w:color="auto" w:fill="A7B1D3"/>
          </w:tcPr>
          <w:p>
            <w:pPr>
              <w:pStyle w:val="TableParagraph"/>
              <w:spacing w:before="68"/>
              <w:ind w:left="128" w:right="2"/>
              <w:jc w:val="center"/>
              <w:rPr>
                <w:sz w:val="15"/>
              </w:rPr>
            </w:pPr>
            <w:r>
              <w:rPr>
                <w:sz w:val="15"/>
              </w:rPr>
              <w:t>2026–</w:t>
            </w:r>
          </w:p>
          <w:p>
            <w:pPr>
              <w:pStyle w:val="TableParagraph"/>
              <w:spacing w:before="1"/>
              <w:ind w:left="125" w:right="2"/>
              <w:jc w:val="center"/>
              <w:rPr>
                <w:sz w:val="15"/>
              </w:rPr>
            </w:pPr>
            <w:r>
              <w:rPr>
                <w:sz w:val="15"/>
              </w:rPr>
              <w:t>27</w:t>
            </w:r>
          </w:p>
        </w:tc>
        <w:tc>
          <w:tcPr>
            <w:tcW w:w="573" w:type="dxa"/>
            <w:shd w:val="clear" w:color="auto" w:fill="A7B1D3"/>
          </w:tcPr>
          <w:p>
            <w:pPr>
              <w:pStyle w:val="TableParagraph"/>
              <w:spacing w:before="68"/>
              <w:ind w:left="129" w:right="2"/>
              <w:jc w:val="center"/>
              <w:rPr>
                <w:sz w:val="15"/>
              </w:rPr>
            </w:pPr>
            <w:r>
              <w:rPr>
                <w:sz w:val="15"/>
              </w:rPr>
              <w:t>2027–</w:t>
            </w:r>
          </w:p>
          <w:p>
            <w:pPr>
              <w:pStyle w:val="TableParagraph"/>
              <w:spacing w:before="1"/>
              <w:ind w:left="125" w:right="1"/>
              <w:jc w:val="center"/>
              <w:rPr>
                <w:sz w:val="15"/>
              </w:rPr>
            </w:pPr>
            <w:r>
              <w:rPr>
                <w:sz w:val="15"/>
              </w:rPr>
              <w:t>28</w:t>
            </w:r>
          </w:p>
        </w:tc>
        <w:tc>
          <w:tcPr>
            <w:tcW w:w="573" w:type="dxa"/>
            <w:shd w:val="clear" w:color="auto" w:fill="A7B1D3"/>
          </w:tcPr>
          <w:p>
            <w:pPr>
              <w:pStyle w:val="TableParagraph"/>
              <w:spacing w:before="68"/>
              <w:ind w:left="130" w:right="2"/>
              <w:jc w:val="center"/>
              <w:rPr>
                <w:sz w:val="15"/>
              </w:rPr>
            </w:pPr>
            <w:r>
              <w:rPr>
                <w:sz w:val="15"/>
              </w:rPr>
              <w:t>2028–</w:t>
            </w:r>
          </w:p>
          <w:p>
            <w:pPr>
              <w:pStyle w:val="TableParagraph"/>
              <w:spacing w:before="1"/>
              <w:ind w:left="125"/>
              <w:jc w:val="center"/>
              <w:rPr>
                <w:sz w:val="15"/>
              </w:rPr>
            </w:pPr>
            <w:r>
              <w:rPr>
                <w:sz w:val="15"/>
              </w:rPr>
              <w:t>29</w:t>
            </w:r>
          </w:p>
        </w:tc>
        <w:tc>
          <w:tcPr>
            <w:tcW w:w="573" w:type="dxa"/>
            <w:shd w:val="clear" w:color="auto" w:fill="A7B1D3"/>
          </w:tcPr>
          <w:p>
            <w:pPr>
              <w:pStyle w:val="TableParagraph"/>
              <w:spacing w:before="68"/>
              <w:ind w:left="130" w:right="1"/>
              <w:jc w:val="center"/>
              <w:rPr>
                <w:sz w:val="15"/>
              </w:rPr>
            </w:pPr>
            <w:r>
              <w:rPr>
                <w:sz w:val="15"/>
              </w:rPr>
              <w:t>2029–</w:t>
            </w:r>
          </w:p>
          <w:p>
            <w:pPr>
              <w:pStyle w:val="TableParagraph"/>
              <w:spacing w:before="1"/>
              <w:ind w:left="128" w:right="2"/>
              <w:jc w:val="center"/>
              <w:rPr>
                <w:sz w:val="15"/>
              </w:rPr>
            </w:pPr>
            <w:r>
              <w:rPr>
                <w:sz w:val="15"/>
              </w:rPr>
              <w:t>30</w:t>
            </w:r>
          </w:p>
        </w:tc>
        <w:tc>
          <w:tcPr>
            <w:tcW w:w="710" w:type="dxa"/>
            <w:shd w:val="clear" w:color="auto" w:fill="A7B1D3"/>
          </w:tcPr>
          <w:p>
            <w:pPr>
              <w:pStyle w:val="TableParagraph"/>
              <w:spacing w:before="68"/>
              <w:ind w:left="136" w:right="3" w:firstLine="43"/>
              <w:jc w:val="left"/>
              <w:rPr>
                <w:b/>
                <w:sz w:val="15"/>
              </w:rPr>
            </w:pPr>
            <w:r>
              <w:rPr>
                <w:b/>
                <w:sz w:val="15"/>
              </w:rPr>
              <w:t>Total to 2022–23</w:t>
            </w:r>
          </w:p>
        </w:tc>
        <w:tc>
          <w:tcPr>
            <w:tcW w:w="698" w:type="dxa"/>
            <w:shd w:val="clear" w:color="auto" w:fill="A7B1D3"/>
          </w:tcPr>
          <w:p>
            <w:pPr>
              <w:pStyle w:val="TableParagraph"/>
              <w:spacing w:before="68"/>
              <w:ind w:left="124" w:right="3" w:firstLine="43"/>
              <w:jc w:val="left"/>
              <w:rPr>
                <w:b/>
                <w:sz w:val="15"/>
              </w:rPr>
            </w:pPr>
            <w:r>
              <w:rPr>
                <w:b/>
                <w:sz w:val="15"/>
              </w:rPr>
              <w:t>Total to 2029–30</w:t>
            </w:r>
          </w:p>
        </w:tc>
      </w:tr>
      <w:tr>
        <w:trPr>
          <w:trHeight w:val="323" w:hRule="atLeast"/>
        </w:trPr>
        <w:tc>
          <w:tcPr>
            <w:tcW w:w="10060" w:type="dxa"/>
            <w:gridSpan w:val="14"/>
            <w:shd w:val="clear" w:color="auto" w:fill="D2D7E9"/>
          </w:tcPr>
          <w:p>
            <w:pPr>
              <w:pStyle w:val="TableParagraph"/>
              <w:spacing w:before="68"/>
              <w:ind w:left="50"/>
              <w:jc w:val="left"/>
              <w:rPr>
                <w:b/>
                <w:sz w:val="15"/>
              </w:rPr>
            </w:pPr>
            <w:r>
              <w:rPr>
                <w:b/>
                <w:sz w:val="15"/>
              </w:rPr>
              <w:t>Tax revenue</w:t>
            </w:r>
          </w:p>
        </w:tc>
      </w:tr>
      <w:tr>
        <w:trPr>
          <w:trHeight w:val="323" w:hRule="atLeast"/>
        </w:trPr>
        <w:tc>
          <w:tcPr>
            <w:tcW w:w="10060" w:type="dxa"/>
            <w:gridSpan w:val="14"/>
            <w:shd w:val="clear" w:color="auto" w:fill="F1F1F1"/>
          </w:tcPr>
          <w:p>
            <w:pPr>
              <w:pStyle w:val="TableParagraph"/>
              <w:spacing w:before="68"/>
              <w:ind w:left="50"/>
              <w:jc w:val="left"/>
              <w:rPr>
                <w:i/>
                <w:sz w:val="15"/>
              </w:rPr>
            </w:pPr>
            <w:r>
              <w:rPr>
                <w:i/>
                <w:sz w:val="15"/>
              </w:rPr>
              <w:t>Administered tax</w:t>
            </w:r>
          </w:p>
        </w:tc>
      </w:tr>
      <w:tr>
        <w:trPr>
          <w:trHeight w:val="505" w:hRule="atLeast"/>
        </w:trPr>
        <w:tc>
          <w:tcPr>
            <w:tcW w:w="2347" w:type="dxa"/>
          </w:tcPr>
          <w:p>
            <w:pPr>
              <w:pStyle w:val="TableParagraph"/>
              <w:spacing w:before="68"/>
              <w:ind w:left="50"/>
              <w:jc w:val="left"/>
              <w:rPr>
                <w:i/>
                <w:sz w:val="15"/>
              </w:rPr>
            </w:pPr>
            <w:r>
              <w:rPr>
                <w:i/>
                <w:sz w:val="15"/>
              </w:rPr>
              <w:t>Increase the tax threshold from</w:t>
            </w:r>
          </w:p>
          <w:p>
            <w:pPr>
              <w:pStyle w:val="TableParagraph"/>
              <w:spacing w:before="1"/>
              <w:ind w:left="50"/>
              <w:jc w:val="left"/>
              <w:rPr>
                <w:i/>
                <w:sz w:val="15"/>
              </w:rPr>
            </w:pPr>
            <w:r>
              <w:rPr>
                <w:i/>
                <w:sz w:val="15"/>
              </w:rPr>
              <w:t>$90,000 to $120,000</w:t>
            </w:r>
          </w:p>
        </w:tc>
        <w:tc>
          <w:tcPr>
            <w:tcW w:w="573" w:type="dxa"/>
          </w:tcPr>
          <w:p>
            <w:pPr>
              <w:pStyle w:val="TableParagraph"/>
              <w:spacing w:before="2"/>
              <w:jc w:val="left"/>
              <w:rPr>
                <w:b/>
                <w:sz w:val="13"/>
              </w:rPr>
            </w:pPr>
          </w:p>
          <w:p>
            <w:pPr>
              <w:pStyle w:val="TableParagraph"/>
              <w:spacing w:before="1"/>
              <w:ind w:right="27"/>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5"/>
              <w:rPr>
                <w:i/>
                <w:sz w:val="15"/>
              </w:rPr>
            </w:pPr>
            <w:r>
              <w:rPr>
                <w:i/>
                <w:sz w:val="15"/>
              </w:rPr>
              <w:t>-3,110</w:t>
            </w:r>
          </w:p>
        </w:tc>
        <w:tc>
          <w:tcPr>
            <w:tcW w:w="573" w:type="dxa"/>
          </w:tcPr>
          <w:p>
            <w:pPr>
              <w:pStyle w:val="TableParagraph"/>
              <w:spacing w:before="2"/>
              <w:jc w:val="left"/>
              <w:rPr>
                <w:b/>
                <w:sz w:val="13"/>
              </w:rPr>
            </w:pPr>
          </w:p>
          <w:p>
            <w:pPr>
              <w:pStyle w:val="TableParagraph"/>
              <w:spacing w:before="1"/>
              <w:ind w:right="24"/>
              <w:rPr>
                <w:i/>
                <w:sz w:val="15"/>
              </w:rPr>
            </w:pPr>
            <w:r>
              <w:rPr>
                <w:i/>
                <w:sz w:val="15"/>
              </w:rPr>
              <w:t>-3,630</w:t>
            </w:r>
          </w:p>
        </w:tc>
        <w:tc>
          <w:tcPr>
            <w:tcW w:w="573" w:type="dxa"/>
          </w:tcPr>
          <w:p>
            <w:pPr>
              <w:pStyle w:val="TableParagraph"/>
              <w:spacing w:before="2"/>
              <w:jc w:val="left"/>
              <w:rPr>
                <w:b/>
                <w:sz w:val="13"/>
              </w:rPr>
            </w:pPr>
          </w:p>
          <w:p>
            <w:pPr>
              <w:pStyle w:val="TableParagraph"/>
              <w:spacing w:before="1"/>
              <w:ind w:right="23"/>
              <w:rPr>
                <w:i/>
                <w:sz w:val="15"/>
              </w:rPr>
            </w:pPr>
            <w:r>
              <w:rPr>
                <w:i/>
                <w:sz w:val="15"/>
              </w:rPr>
              <w:t>-330</w:t>
            </w:r>
          </w:p>
        </w:tc>
        <w:tc>
          <w:tcPr>
            <w:tcW w:w="573" w:type="dxa"/>
          </w:tcPr>
          <w:p>
            <w:pPr>
              <w:pStyle w:val="TableParagraph"/>
              <w:spacing w:before="2"/>
              <w:jc w:val="left"/>
              <w:rPr>
                <w:b/>
                <w:sz w:val="13"/>
              </w:rPr>
            </w:pPr>
          </w:p>
          <w:p>
            <w:pPr>
              <w:pStyle w:val="TableParagraph"/>
              <w:spacing w:before="1"/>
              <w:ind w:right="23"/>
              <w:rPr>
                <w:i/>
                <w:sz w:val="15"/>
              </w:rPr>
            </w:pPr>
            <w:r>
              <w:rPr>
                <w:i/>
                <w:sz w:val="15"/>
              </w:rPr>
              <w:t>-40</w:t>
            </w:r>
          </w:p>
        </w:tc>
        <w:tc>
          <w:tcPr>
            <w:tcW w:w="575" w:type="dxa"/>
          </w:tcPr>
          <w:p>
            <w:pPr>
              <w:pStyle w:val="TableParagraph"/>
              <w:spacing w:before="2"/>
              <w:jc w:val="left"/>
              <w:rPr>
                <w:b/>
                <w:sz w:val="13"/>
              </w:rPr>
            </w:pPr>
          </w:p>
          <w:p>
            <w:pPr>
              <w:pStyle w:val="TableParagraph"/>
              <w:spacing w:before="1"/>
              <w:ind w:right="24"/>
              <w:rPr>
                <w:i/>
                <w:sz w:val="15"/>
              </w:rPr>
            </w:pPr>
            <w:r>
              <w:rPr>
                <w:i/>
                <w:sz w:val="15"/>
              </w:rPr>
              <w:t>..</w:t>
            </w:r>
          </w:p>
        </w:tc>
        <w:tc>
          <w:tcPr>
            <w:tcW w:w="573" w:type="dxa"/>
          </w:tcPr>
          <w:p>
            <w:pPr>
              <w:pStyle w:val="TableParagraph"/>
              <w:spacing w:before="2"/>
              <w:jc w:val="left"/>
              <w:rPr>
                <w:b/>
                <w:sz w:val="13"/>
              </w:rPr>
            </w:pPr>
          </w:p>
          <w:p>
            <w:pPr>
              <w:pStyle w:val="TableParagraph"/>
              <w:spacing w:before="1"/>
              <w:ind w:right="23"/>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2"/>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2"/>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1"/>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0"/>
              <w:rPr>
                <w:i/>
                <w:sz w:val="15"/>
              </w:rPr>
            </w:pPr>
            <w:r>
              <w:rPr>
                <w:i/>
                <w:w w:val="100"/>
                <w:sz w:val="15"/>
              </w:rPr>
              <w:t>-</w:t>
            </w:r>
          </w:p>
        </w:tc>
        <w:tc>
          <w:tcPr>
            <w:tcW w:w="710" w:type="dxa"/>
          </w:tcPr>
          <w:p>
            <w:pPr>
              <w:pStyle w:val="TableParagraph"/>
              <w:spacing w:before="2"/>
              <w:jc w:val="left"/>
              <w:rPr>
                <w:b/>
                <w:sz w:val="13"/>
              </w:rPr>
            </w:pPr>
          </w:p>
          <w:p>
            <w:pPr>
              <w:pStyle w:val="TableParagraph"/>
              <w:spacing w:before="1"/>
              <w:ind w:right="18"/>
              <w:rPr>
                <w:b/>
                <w:i/>
                <w:sz w:val="15"/>
              </w:rPr>
            </w:pPr>
            <w:r>
              <w:rPr>
                <w:b/>
                <w:i/>
                <w:sz w:val="15"/>
              </w:rPr>
              <w:t>-7,070</w:t>
            </w:r>
          </w:p>
        </w:tc>
        <w:tc>
          <w:tcPr>
            <w:tcW w:w="698" w:type="dxa"/>
          </w:tcPr>
          <w:p>
            <w:pPr>
              <w:pStyle w:val="TableParagraph"/>
              <w:spacing w:before="2"/>
              <w:jc w:val="left"/>
              <w:rPr>
                <w:b/>
                <w:sz w:val="13"/>
              </w:rPr>
            </w:pPr>
          </w:p>
          <w:p>
            <w:pPr>
              <w:pStyle w:val="TableParagraph"/>
              <w:spacing w:before="1"/>
              <w:ind w:right="18"/>
              <w:rPr>
                <w:b/>
                <w:i/>
                <w:sz w:val="15"/>
              </w:rPr>
            </w:pPr>
            <w:r>
              <w:rPr>
                <w:b/>
                <w:i/>
                <w:sz w:val="15"/>
              </w:rPr>
              <w:t>-7,100</w:t>
            </w:r>
          </w:p>
        </w:tc>
      </w:tr>
      <w:tr>
        <w:trPr>
          <w:trHeight w:val="508" w:hRule="atLeast"/>
        </w:trPr>
        <w:tc>
          <w:tcPr>
            <w:tcW w:w="2347" w:type="dxa"/>
          </w:tcPr>
          <w:p>
            <w:pPr>
              <w:pStyle w:val="TableParagraph"/>
              <w:spacing w:line="183" w:lineRule="exact" w:before="70"/>
              <w:ind w:left="50"/>
              <w:jc w:val="left"/>
              <w:rPr>
                <w:i/>
                <w:sz w:val="15"/>
              </w:rPr>
            </w:pPr>
            <w:r>
              <w:rPr>
                <w:i/>
                <w:sz w:val="15"/>
              </w:rPr>
              <w:t>Increase the tax threshold from</w:t>
            </w:r>
          </w:p>
          <w:p>
            <w:pPr>
              <w:pStyle w:val="TableParagraph"/>
              <w:spacing w:line="183" w:lineRule="exact"/>
              <w:ind w:left="50"/>
              <w:jc w:val="left"/>
              <w:rPr>
                <w:i/>
                <w:sz w:val="15"/>
              </w:rPr>
            </w:pPr>
            <w:r>
              <w:rPr>
                <w:i/>
                <w:sz w:val="15"/>
              </w:rPr>
              <w:t>$37,000 to $45,000</w:t>
            </w:r>
          </w:p>
        </w:tc>
        <w:tc>
          <w:tcPr>
            <w:tcW w:w="573" w:type="dxa"/>
          </w:tcPr>
          <w:p>
            <w:pPr>
              <w:pStyle w:val="TableParagraph"/>
              <w:spacing w:before="2"/>
              <w:jc w:val="left"/>
              <w:rPr>
                <w:b/>
                <w:sz w:val="13"/>
              </w:rPr>
            </w:pPr>
          </w:p>
          <w:p>
            <w:pPr>
              <w:pStyle w:val="TableParagraph"/>
              <w:spacing w:before="1"/>
              <w:ind w:right="27"/>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5"/>
              <w:rPr>
                <w:i/>
                <w:sz w:val="15"/>
              </w:rPr>
            </w:pPr>
            <w:r>
              <w:rPr>
                <w:i/>
                <w:sz w:val="15"/>
              </w:rPr>
              <w:t>-9,100</w:t>
            </w:r>
          </w:p>
        </w:tc>
        <w:tc>
          <w:tcPr>
            <w:tcW w:w="573" w:type="dxa"/>
          </w:tcPr>
          <w:p>
            <w:pPr>
              <w:pStyle w:val="TableParagraph"/>
              <w:spacing w:before="2"/>
              <w:jc w:val="left"/>
              <w:rPr>
                <w:b/>
                <w:sz w:val="13"/>
              </w:rPr>
            </w:pPr>
          </w:p>
          <w:p>
            <w:pPr>
              <w:pStyle w:val="TableParagraph"/>
              <w:spacing w:before="1"/>
              <w:ind w:right="24"/>
              <w:rPr>
                <w:i/>
                <w:sz w:val="15"/>
              </w:rPr>
            </w:pPr>
            <w:r>
              <w:rPr>
                <w:i/>
                <w:sz w:val="15"/>
              </w:rPr>
              <w:t>-10,200</w:t>
            </w:r>
          </w:p>
        </w:tc>
        <w:tc>
          <w:tcPr>
            <w:tcW w:w="573" w:type="dxa"/>
          </w:tcPr>
          <w:p>
            <w:pPr>
              <w:pStyle w:val="TableParagraph"/>
              <w:spacing w:before="2"/>
              <w:jc w:val="left"/>
              <w:rPr>
                <w:b/>
                <w:sz w:val="13"/>
              </w:rPr>
            </w:pPr>
          </w:p>
          <w:p>
            <w:pPr>
              <w:pStyle w:val="TableParagraph"/>
              <w:spacing w:before="1"/>
              <w:ind w:right="23"/>
              <w:rPr>
                <w:i/>
                <w:sz w:val="15"/>
              </w:rPr>
            </w:pPr>
            <w:r>
              <w:rPr>
                <w:i/>
                <w:sz w:val="15"/>
              </w:rPr>
              <w:t>-900</w:t>
            </w:r>
          </w:p>
        </w:tc>
        <w:tc>
          <w:tcPr>
            <w:tcW w:w="573" w:type="dxa"/>
          </w:tcPr>
          <w:p>
            <w:pPr>
              <w:pStyle w:val="TableParagraph"/>
              <w:spacing w:before="2"/>
              <w:jc w:val="left"/>
              <w:rPr>
                <w:b/>
                <w:sz w:val="13"/>
              </w:rPr>
            </w:pPr>
          </w:p>
          <w:p>
            <w:pPr>
              <w:pStyle w:val="TableParagraph"/>
              <w:spacing w:before="1"/>
              <w:ind w:right="23"/>
              <w:rPr>
                <w:i/>
                <w:sz w:val="15"/>
              </w:rPr>
            </w:pPr>
            <w:r>
              <w:rPr>
                <w:i/>
                <w:sz w:val="15"/>
              </w:rPr>
              <w:t>-100</w:t>
            </w:r>
          </w:p>
        </w:tc>
        <w:tc>
          <w:tcPr>
            <w:tcW w:w="575" w:type="dxa"/>
          </w:tcPr>
          <w:p>
            <w:pPr>
              <w:pStyle w:val="TableParagraph"/>
              <w:spacing w:before="2"/>
              <w:jc w:val="left"/>
              <w:rPr>
                <w:b/>
                <w:sz w:val="13"/>
              </w:rPr>
            </w:pPr>
          </w:p>
          <w:p>
            <w:pPr>
              <w:pStyle w:val="TableParagraph"/>
              <w:spacing w:before="1"/>
              <w:ind w:right="24"/>
              <w:rPr>
                <w:i/>
                <w:sz w:val="15"/>
              </w:rPr>
            </w:pPr>
            <w:r>
              <w:rPr>
                <w:i/>
                <w:sz w:val="15"/>
              </w:rPr>
              <w:t>..</w:t>
            </w:r>
          </w:p>
        </w:tc>
        <w:tc>
          <w:tcPr>
            <w:tcW w:w="573" w:type="dxa"/>
          </w:tcPr>
          <w:p>
            <w:pPr>
              <w:pStyle w:val="TableParagraph"/>
              <w:spacing w:before="2"/>
              <w:jc w:val="left"/>
              <w:rPr>
                <w:b/>
                <w:sz w:val="13"/>
              </w:rPr>
            </w:pPr>
          </w:p>
          <w:p>
            <w:pPr>
              <w:pStyle w:val="TableParagraph"/>
              <w:spacing w:before="1"/>
              <w:ind w:right="23"/>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2"/>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2"/>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1"/>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0"/>
              <w:rPr>
                <w:i/>
                <w:sz w:val="15"/>
              </w:rPr>
            </w:pPr>
            <w:r>
              <w:rPr>
                <w:i/>
                <w:w w:val="100"/>
                <w:sz w:val="15"/>
              </w:rPr>
              <w:t>-</w:t>
            </w:r>
          </w:p>
        </w:tc>
        <w:tc>
          <w:tcPr>
            <w:tcW w:w="710" w:type="dxa"/>
          </w:tcPr>
          <w:p>
            <w:pPr>
              <w:pStyle w:val="TableParagraph"/>
              <w:spacing w:before="2"/>
              <w:jc w:val="left"/>
              <w:rPr>
                <w:b/>
                <w:sz w:val="13"/>
              </w:rPr>
            </w:pPr>
          </w:p>
          <w:p>
            <w:pPr>
              <w:pStyle w:val="TableParagraph"/>
              <w:spacing w:before="1"/>
              <w:ind w:right="18"/>
              <w:rPr>
                <w:b/>
                <w:i/>
                <w:sz w:val="15"/>
              </w:rPr>
            </w:pPr>
            <w:r>
              <w:rPr>
                <w:b/>
                <w:i/>
                <w:sz w:val="15"/>
              </w:rPr>
              <w:t>-20,100</w:t>
            </w:r>
          </w:p>
        </w:tc>
        <w:tc>
          <w:tcPr>
            <w:tcW w:w="698" w:type="dxa"/>
          </w:tcPr>
          <w:p>
            <w:pPr>
              <w:pStyle w:val="TableParagraph"/>
              <w:spacing w:before="2"/>
              <w:jc w:val="left"/>
              <w:rPr>
                <w:b/>
                <w:sz w:val="13"/>
              </w:rPr>
            </w:pPr>
          </w:p>
          <w:p>
            <w:pPr>
              <w:pStyle w:val="TableParagraph"/>
              <w:spacing w:before="1"/>
              <w:ind w:right="18"/>
              <w:rPr>
                <w:b/>
                <w:i/>
                <w:sz w:val="15"/>
              </w:rPr>
            </w:pPr>
            <w:r>
              <w:rPr>
                <w:b/>
                <w:i/>
                <w:sz w:val="15"/>
              </w:rPr>
              <w:t>-20,200</w:t>
            </w:r>
          </w:p>
        </w:tc>
      </w:tr>
      <w:tr>
        <w:trPr>
          <w:trHeight w:val="505" w:hRule="atLeast"/>
        </w:trPr>
        <w:tc>
          <w:tcPr>
            <w:tcW w:w="2347" w:type="dxa"/>
          </w:tcPr>
          <w:p>
            <w:pPr>
              <w:pStyle w:val="TableParagraph"/>
              <w:spacing w:line="183" w:lineRule="exact" w:before="68"/>
              <w:ind w:left="50"/>
              <w:jc w:val="left"/>
              <w:rPr>
                <w:i/>
                <w:sz w:val="15"/>
              </w:rPr>
            </w:pPr>
            <w:r>
              <w:rPr>
                <w:i/>
                <w:sz w:val="15"/>
              </w:rPr>
              <w:t>Increase low income tax offset from</w:t>
            </w:r>
          </w:p>
          <w:p>
            <w:pPr>
              <w:pStyle w:val="TableParagraph"/>
              <w:spacing w:line="183" w:lineRule="exact"/>
              <w:ind w:left="50"/>
              <w:jc w:val="left"/>
              <w:rPr>
                <w:i/>
                <w:sz w:val="15"/>
              </w:rPr>
            </w:pPr>
            <w:r>
              <w:rPr>
                <w:i/>
                <w:sz w:val="15"/>
              </w:rPr>
              <w:t>$445 to $700</w:t>
            </w:r>
          </w:p>
        </w:tc>
        <w:tc>
          <w:tcPr>
            <w:tcW w:w="573" w:type="dxa"/>
          </w:tcPr>
          <w:p>
            <w:pPr>
              <w:pStyle w:val="TableParagraph"/>
              <w:jc w:val="left"/>
              <w:rPr>
                <w:b/>
                <w:sz w:val="13"/>
              </w:rPr>
            </w:pPr>
          </w:p>
          <w:p>
            <w:pPr>
              <w:pStyle w:val="TableParagraph"/>
              <w:ind w:right="27"/>
              <w:rPr>
                <w:i/>
                <w:sz w:val="15"/>
              </w:rPr>
            </w:pPr>
            <w:r>
              <w:rPr>
                <w:i/>
                <w:w w:val="100"/>
                <w:sz w:val="15"/>
              </w:rPr>
              <w:t>-</w:t>
            </w:r>
          </w:p>
        </w:tc>
        <w:tc>
          <w:tcPr>
            <w:tcW w:w="573" w:type="dxa"/>
          </w:tcPr>
          <w:p>
            <w:pPr>
              <w:pStyle w:val="TableParagraph"/>
              <w:jc w:val="left"/>
              <w:rPr>
                <w:b/>
                <w:sz w:val="13"/>
              </w:rPr>
            </w:pPr>
          </w:p>
          <w:p>
            <w:pPr>
              <w:pStyle w:val="TableParagraph"/>
              <w:ind w:right="24"/>
              <w:rPr>
                <w:i/>
                <w:sz w:val="15"/>
              </w:rPr>
            </w:pPr>
            <w:r>
              <w:rPr>
                <w:i/>
                <w:sz w:val="15"/>
              </w:rPr>
              <w:t>-70</w:t>
            </w:r>
          </w:p>
        </w:tc>
        <w:tc>
          <w:tcPr>
            <w:tcW w:w="573" w:type="dxa"/>
          </w:tcPr>
          <w:p>
            <w:pPr>
              <w:pStyle w:val="TableParagraph"/>
              <w:jc w:val="left"/>
              <w:rPr>
                <w:b/>
                <w:sz w:val="13"/>
              </w:rPr>
            </w:pPr>
          </w:p>
          <w:p>
            <w:pPr>
              <w:pStyle w:val="TableParagraph"/>
              <w:ind w:right="24"/>
              <w:rPr>
                <w:i/>
                <w:sz w:val="15"/>
              </w:rPr>
            </w:pPr>
            <w:r>
              <w:rPr>
                <w:i/>
                <w:sz w:val="15"/>
              </w:rPr>
              <w:t>-300</w:t>
            </w:r>
          </w:p>
        </w:tc>
        <w:tc>
          <w:tcPr>
            <w:tcW w:w="573" w:type="dxa"/>
          </w:tcPr>
          <w:p>
            <w:pPr>
              <w:pStyle w:val="TableParagraph"/>
              <w:jc w:val="left"/>
              <w:rPr>
                <w:b/>
                <w:sz w:val="13"/>
              </w:rPr>
            </w:pPr>
          </w:p>
          <w:p>
            <w:pPr>
              <w:pStyle w:val="TableParagraph"/>
              <w:ind w:right="23"/>
              <w:rPr>
                <w:i/>
                <w:sz w:val="15"/>
              </w:rPr>
            </w:pPr>
            <w:r>
              <w:rPr>
                <w:i/>
                <w:sz w:val="15"/>
              </w:rPr>
              <w:t>-230</w:t>
            </w:r>
          </w:p>
        </w:tc>
        <w:tc>
          <w:tcPr>
            <w:tcW w:w="573" w:type="dxa"/>
          </w:tcPr>
          <w:p>
            <w:pPr>
              <w:pStyle w:val="TableParagraph"/>
              <w:jc w:val="left"/>
              <w:rPr>
                <w:b/>
                <w:sz w:val="13"/>
              </w:rPr>
            </w:pPr>
          </w:p>
          <w:p>
            <w:pPr>
              <w:pStyle w:val="TableParagraph"/>
              <w:ind w:right="25"/>
              <w:rPr>
                <w:i/>
                <w:sz w:val="15"/>
              </w:rPr>
            </w:pPr>
            <w:r>
              <w:rPr>
                <w:i/>
                <w:sz w:val="15"/>
              </w:rPr>
              <w:t>..</w:t>
            </w:r>
          </w:p>
        </w:tc>
        <w:tc>
          <w:tcPr>
            <w:tcW w:w="575" w:type="dxa"/>
          </w:tcPr>
          <w:p>
            <w:pPr>
              <w:pStyle w:val="TableParagraph"/>
              <w:jc w:val="left"/>
              <w:rPr>
                <w:b/>
                <w:sz w:val="13"/>
              </w:rPr>
            </w:pPr>
          </w:p>
          <w:p>
            <w:pPr>
              <w:pStyle w:val="TableParagraph"/>
              <w:ind w:right="24"/>
              <w:rPr>
                <w:i/>
                <w:sz w:val="15"/>
              </w:rPr>
            </w:pPr>
            <w:r>
              <w:rPr>
                <w:i/>
                <w:sz w:val="15"/>
              </w:rPr>
              <w:t>..</w:t>
            </w:r>
          </w:p>
        </w:tc>
        <w:tc>
          <w:tcPr>
            <w:tcW w:w="573" w:type="dxa"/>
          </w:tcPr>
          <w:p>
            <w:pPr>
              <w:pStyle w:val="TableParagraph"/>
              <w:jc w:val="left"/>
              <w:rPr>
                <w:b/>
                <w:sz w:val="13"/>
              </w:rPr>
            </w:pPr>
          </w:p>
          <w:p>
            <w:pPr>
              <w:pStyle w:val="TableParagraph"/>
              <w:ind w:right="23"/>
              <w:rPr>
                <w:i/>
                <w:sz w:val="15"/>
              </w:rPr>
            </w:pPr>
            <w:r>
              <w:rPr>
                <w:i/>
                <w:w w:val="100"/>
                <w:sz w:val="15"/>
              </w:rPr>
              <w:t>-</w:t>
            </w:r>
          </w:p>
        </w:tc>
        <w:tc>
          <w:tcPr>
            <w:tcW w:w="573" w:type="dxa"/>
          </w:tcPr>
          <w:p>
            <w:pPr>
              <w:pStyle w:val="TableParagraph"/>
              <w:jc w:val="left"/>
              <w:rPr>
                <w:b/>
                <w:sz w:val="13"/>
              </w:rPr>
            </w:pPr>
          </w:p>
          <w:p>
            <w:pPr>
              <w:pStyle w:val="TableParagraph"/>
              <w:ind w:right="22"/>
              <w:rPr>
                <w:i/>
                <w:sz w:val="15"/>
              </w:rPr>
            </w:pPr>
            <w:r>
              <w:rPr>
                <w:i/>
                <w:w w:val="100"/>
                <w:sz w:val="15"/>
              </w:rPr>
              <w:t>-</w:t>
            </w:r>
          </w:p>
        </w:tc>
        <w:tc>
          <w:tcPr>
            <w:tcW w:w="573" w:type="dxa"/>
          </w:tcPr>
          <w:p>
            <w:pPr>
              <w:pStyle w:val="TableParagraph"/>
              <w:jc w:val="left"/>
              <w:rPr>
                <w:b/>
                <w:sz w:val="13"/>
              </w:rPr>
            </w:pPr>
          </w:p>
          <w:p>
            <w:pPr>
              <w:pStyle w:val="TableParagraph"/>
              <w:ind w:right="22"/>
              <w:rPr>
                <w:i/>
                <w:sz w:val="15"/>
              </w:rPr>
            </w:pPr>
            <w:r>
              <w:rPr>
                <w:i/>
                <w:w w:val="100"/>
                <w:sz w:val="15"/>
              </w:rPr>
              <w:t>-</w:t>
            </w:r>
          </w:p>
        </w:tc>
        <w:tc>
          <w:tcPr>
            <w:tcW w:w="573" w:type="dxa"/>
          </w:tcPr>
          <w:p>
            <w:pPr>
              <w:pStyle w:val="TableParagraph"/>
              <w:jc w:val="left"/>
              <w:rPr>
                <w:b/>
                <w:sz w:val="13"/>
              </w:rPr>
            </w:pPr>
          </w:p>
          <w:p>
            <w:pPr>
              <w:pStyle w:val="TableParagraph"/>
              <w:ind w:right="21"/>
              <w:rPr>
                <w:i/>
                <w:sz w:val="15"/>
              </w:rPr>
            </w:pPr>
            <w:r>
              <w:rPr>
                <w:i/>
                <w:w w:val="100"/>
                <w:sz w:val="15"/>
              </w:rPr>
              <w:t>-</w:t>
            </w:r>
          </w:p>
        </w:tc>
        <w:tc>
          <w:tcPr>
            <w:tcW w:w="573" w:type="dxa"/>
          </w:tcPr>
          <w:p>
            <w:pPr>
              <w:pStyle w:val="TableParagraph"/>
              <w:jc w:val="left"/>
              <w:rPr>
                <w:b/>
                <w:sz w:val="13"/>
              </w:rPr>
            </w:pPr>
          </w:p>
          <w:p>
            <w:pPr>
              <w:pStyle w:val="TableParagraph"/>
              <w:ind w:right="20"/>
              <w:rPr>
                <w:i/>
                <w:sz w:val="15"/>
              </w:rPr>
            </w:pPr>
            <w:r>
              <w:rPr>
                <w:i/>
                <w:w w:val="100"/>
                <w:sz w:val="15"/>
              </w:rPr>
              <w:t>-</w:t>
            </w:r>
          </w:p>
        </w:tc>
        <w:tc>
          <w:tcPr>
            <w:tcW w:w="710" w:type="dxa"/>
          </w:tcPr>
          <w:p>
            <w:pPr>
              <w:pStyle w:val="TableParagraph"/>
              <w:jc w:val="left"/>
              <w:rPr>
                <w:b/>
                <w:sz w:val="13"/>
              </w:rPr>
            </w:pPr>
          </w:p>
          <w:p>
            <w:pPr>
              <w:pStyle w:val="TableParagraph"/>
              <w:ind w:right="18"/>
              <w:rPr>
                <w:b/>
                <w:i/>
                <w:sz w:val="15"/>
              </w:rPr>
            </w:pPr>
            <w:r>
              <w:rPr>
                <w:b/>
                <w:i/>
                <w:sz w:val="15"/>
              </w:rPr>
              <w:t>-600</w:t>
            </w:r>
          </w:p>
        </w:tc>
        <w:tc>
          <w:tcPr>
            <w:tcW w:w="698" w:type="dxa"/>
          </w:tcPr>
          <w:p>
            <w:pPr>
              <w:pStyle w:val="TableParagraph"/>
              <w:jc w:val="left"/>
              <w:rPr>
                <w:b/>
                <w:sz w:val="13"/>
              </w:rPr>
            </w:pPr>
          </w:p>
          <w:p>
            <w:pPr>
              <w:pStyle w:val="TableParagraph"/>
              <w:ind w:right="18"/>
              <w:rPr>
                <w:b/>
                <w:i/>
                <w:sz w:val="15"/>
              </w:rPr>
            </w:pPr>
            <w:r>
              <w:rPr>
                <w:b/>
                <w:i/>
                <w:sz w:val="15"/>
              </w:rPr>
              <w:t>-600</w:t>
            </w:r>
          </w:p>
        </w:tc>
      </w:tr>
      <w:tr>
        <w:trPr>
          <w:trHeight w:val="323" w:hRule="atLeast"/>
        </w:trPr>
        <w:tc>
          <w:tcPr>
            <w:tcW w:w="2347" w:type="dxa"/>
            <w:shd w:val="clear" w:color="auto" w:fill="A7B1D3"/>
          </w:tcPr>
          <w:p>
            <w:pPr>
              <w:pStyle w:val="TableParagraph"/>
              <w:spacing w:before="68"/>
              <w:ind w:left="50"/>
              <w:jc w:val="left"/>
              <w:rPr>
                <w:b/>
                <w:sz w:val="15"/>
              </w:rPr>
            </w:pPr>
            <w:r>
              <w:rPr>
                <w:b/>
                <w:sz w:val="15"/>
              </w:rPr>
              <w:t>Total revenue</w:t>
            </w:r>
          </w:p>
        </w:tc>
        <w:tc>
          <w:tcPr>
            <w:tcW w:w="573" w:type="dxa"/>
            <w:shd w:val="clear" w:color="auto" w:fill="A7B1D3"/>
          </w:tcPr>
          <w:p>
            <w:pPr>
              <w:pStyle w:val="TableParagraph"/>
              <w:spacing w:before="68"/>
              <w:ind w:right="27"/>
              <w:rPr>
                <w:b/>
                <w:sz w:val="15"/>
              </w:rPr>
            </w:pPr>
            <w:r>
              <w:rPr>
                <w:b/>
                <w:w w:val="100"/>
                <w:sz w:val="15"/>
              </w:rPr>
              <w:t>-</w:t>
            </w:r>
          </w:p>
        </w:tc>
        <w:tc>
          <w:tcPr>
            <w:tcW w:w="573" w:type="dxa"/>
            <w:shd w:val="clear" w:color="auto" w:fill="A7B1D3"/>
          </w:tcPr>
          <w:p>
            <w:pPr>
              <w:pStyle w:val="TableParagraph"/>
              <w:spacing w:before="68"/>
              <w:ind w:right="24"/>
              <w:rPr>
                <w:b/>
                <w:sz w:val="15"/>
              </w:rPr>
            </w:pPr>
            <w:r>
              <w:rPr>
                <w:b/>
                <w:sz w:val="15"/>
              </w:rPr>
              <w:t>-12,280</w:t>
            </w:r>
          </w:p>
        </w:tc>
        <w:tc>
          <w:tcPr>
            <w:tcW w:w="573" w:type="dxa"/>
            <w:shd w:val="clear" w:color="auto" w:fill="A7B1D3"/>
          </w:tcPr>
          <w:p>
            <w:pPr>
              <w:pStyle w:val="TableParagraph"/>
              <w:spacing w:before="68"/>
              <w:ind w:right="24"/>
              <w:rPr>
                <w:b/>
                <w:sz w:val="15"/>
              </w:rPr>
            </w:pPr>
            <w:r>
              <w:rPr>
                <w:b/>
                <w:sz w:val="15"/>
              </w:rPr>
              <w:t>-14,130</w:t>
            </w:r>
          </w:p>
        </w:tc>
        <w:tc>
          <w:tcPr>
            <w:tcW w:w="573" w:type="dxa"/>
            <w:shd w:val="clear" w:color="auto" w:fill="A7B1D3"/>
          </w:tcPr>
          <w:p>
            <w:pPr>
              <w:pStyle w:val="TableParagraph"/>
              <w:spacing w:before="68"/>
              <w:ind w:right="23"/>
              <w:rPr>
                <w:b/>
                <w:sz w:val="15"/>
              </w:rPr>
            </w:pPr>
            <w:r>
              <w:rPr>
                <w:b/>
                <w:sz w:val="15"/>
              </w:rPr>
              <w:t>-1,460</w:t>
            </w:r>
          </w:p>
        </w:tc>
        <w:tc>
          <w:tcPr>
            <w:tcW w:w="573" w:type="dxa"/>
            <w:shd w:val="clear" w:color="auto" w:fill="A7B1D3"/>
          </w:tcPr>
          <w:p>
            <w:pPr>
              <w:pStyle w:val="TableParagraph"/>
              <w:spacing w:before="68"/>
              <w:ind w:right="23"/>
              <w:rPr>
                <w:b/>
                <w:sz w:val="15"/>
              </w:rPr>
            </w:pPr>
            <w:r>
              <w:rPr>
                <w:b/>
                <w:sz w:val="15"/>
              </w:rPr>
              <w:t>-140</w:t>
            </w:r>
          </w:p>
        </w:tc>
        <w:tc>
          <w:tcPr>
            <w:tcW w:w="575" w:type="dxa"/>
            <w:shd w:val="clear" w:color="auto" w:fill="A7B1D3"/>
          </w:tcPr>
          <w:p>
            <w:pPr>
              <w:pStyle w:val="TableParagraph"/>
              <w:spacing w:before="68"/>
              <w:ind w:right="23"/>
              <w:rPr>
                <w:b/>
                <w:sz w:val="15"/>
              </w:rPr>
            </w:pPr>
            <w:r>
              <w:rPr>
                <w:b/>
                <w:w w:val="100"/>
                <w:sz w:val="15"/>
              </w:rPr>
              <w:t>-</w:t>
            </w:r>
          </w:p>
        </w:tc>
        <w:tc>
          <w:tcPr>
            <w:tcW w:w="573" w:type="dxa"/>
            <w:shd w:val="clear" w:color="auto" w:fill="A7B1D3"/>
          </w:tcPr>
          <w:p>
            <w:pPr>
              <w:pStyle w:val="TableParagraph"/>
              <w:spacing w:before="68"/>
              <w:ind w:right="23"/>
              <w:rPr>
                <w:b/>
                <w:sz w:val="15"/>
              </w:rPr>
            </w:pPr>
            <w:r>
              <w:rPr>
                <w:b/>
                <w:w w:val="100"/>
                <w:sz w:val="15"/>
              </w:rPr>
              <w:t>-</w:t>
            </w:r>
          </w:p>
        </w:tc>
        <w:tc>
          <w:tcPr>
            <w:tcW w:w="573" w:type="dxa"/>
            <w:shd w:val="clear" w:color="auto" w:fill="A7B1D3"/>
          </w:tcPr>
          <w:p>
            <w:pPr>
              <w:pStyle w:val="TableParagraph"/>
              <w:spacing w:before="68"/>
              <w:ind w:right="22"/>
              <w:rPr>
                <w:b/>
                <w:sz w:val="15"/>
              </w:rPr>
            </w:pPr>
            <w:r>
              <w:rPr>
                <w:b/>
                <w:w w:val="100"/>
                <w:sz w:val="15"/>
              </w:rPr>
              <w:t>-</w:t>
            </w:r>
          </w:p>
        </w:tc>
        <w:tc>
          <w:tcPr>
            <w:tcW w:w="573" w:type="dxa"/>
            <w:shd w:val="clear" w:color="auto" w:fill="A7B1D3"/>
          </w:tcPr>
          <w:p>
            <w:pPr>
              <w:pStyle w:val="TableParagraph"/>
              <w:spacing w:before="68"/>
              <w:ind w:right="22"/>
              <w:rPr>
                <w:b/>
                <w:sz w:val="15"/>
              </w:rPr>
            </w:pPr>
            <w:r>
              <w:rPr>
                <w:b/>
                <w:w w:val="100"/>
                <w:sz w:val="15"/>
              </w:rPr>
              <w:t>-</w:t>
            </w:r>
          </w:p>
        </w:tc>
        <w:tc>
          <w:tcPr>
            <w:tcW w:w="573" w:type="dxa"/>
            <w:shd w:val="clear" w:color="auto" w:fill="A7B1D3"/>
          </w:tcPr>
          <w:p>
            <w:pPr>
              <w:pStyle w:val="TableParagraph"/>
              <w:spacing w:before="68"/>
              <w:ind w:right="21"/>
              <w:rPr>
                <w:b/>
                <w:sz w:val="15"/>
              </w:rPr>
            </w:pPr>
            <w:r>
              <w:rPr>
                <w:b/>
                <w:w w:val="100"/>
                <w:sz w:val="15"/>
              </w:rPr>
              <w:t>-</w:t>
            </w:r>
          </w:p>
        </w:tc>
        <w:tc>
          <w:tcPr>
            <w:tcW w:w="573" w:type="dxa"/>
            <w:shd w:val="clear" w:color="auto" w:fill="A7B1D3"/>
          </w:tcPr>
          <w:p>
            <w:pPr>
              <w:pStyle w:val="TableParagraph"/>
              <w:spacing w:before="68"/>
              <w:ind w:right="20"/>
              <w:rPr>
                <w:b/>
                <w:sz w:val="15"/>
              </w:rPr>
            </w:pPr>
            <w:r>
              <w:rPr>
                <w:b/>
                <w:w w:val="100"/>
                <w:sz w:val="15"/>
              </w:rPr>
              <w:t>-</w:t>
            </w:r>
          </w:p>
        </w:tc>
        <w:tc>
          <w:tcPr>
            <w:tcW w:w="710" w:type="dxa"/>
            <w:shd w:val="clear" w:color="auto" w:fill="A7B1D3"/>
          </w:tcPr>
          <w:p>
            <w:pPr>
              <w:pStyle w:val="TableParagraph"/>
              <w:spacing w:before="68"/>
              <w:ind w:right="18"/>
              <w:rPr>
                <w:b/>
                <w:sz w:val="15"/>
              </w:rPr>
            </w:pPr>
            <w:r>
              <w:rPr>
                <w:b/>
                <w:sz w:val="15"/>
              </w:rPr>
              <w:t>-27,770</w:t>
            </w:r>
          </w:p>
        </w:tc>
        <w:tc>
          <w:tcPr>
            <w:tcW w:w="698" w:type="dxa"/>
            <w:shd w:val="clear" w:color="auto" w:fill="A7B1D3"/>
          </w:tcPr>
          <w:p>
            <w:pPr>
              <w:pStyle w:val="TableParagraph"/>
              <w:spacing w:before="68"/>
              <w:ind w:right="18"/>
              <w:rPr>
                <w:b/>
                <w:sz w:val="15"/>
              </w:rPr>
            </w:pPr>
            <w:r>
              <w:rPr>
                <w:b/>
                <w:sz w:val="15"/>
              </w:rPr>
              <w:t>-27,900</w:t>
            </w:r>
          </w:p>
        </w:tc>
      </w:tr>
    </w:tbl>
    <w:p>
      <w:pPr>
        <w:pStyle w:val="ListParagraph"/>
        <w:numPr>
          <w:ilvl w:val="0"/>
          <w:numId w:val="8"/>
        </w:numPr>
        <w:tabs>
          <w:tab w:pos="515" w:val="left" w:leader="none"/>
        </w:tabs>
        <w:spacing w:line="319" w:lineRule="auto" w:before="64" w:after="0"/>
        <w:ind w:left="514" w:right="718" w:hanging="284"/>
        <w:jc w:val="left"/>
        <w:rPr>
          <w:sz w:val="16"/>
        </w:rPr>
      </w:pPr>
      <w:r>
        <w:rPr>
          <w:sz w:val="16"/>
        </w:rPr>
        <w:t>A</w:t>
      </w:r>
      <w:r>
        <w:rPr>
          <w:spacing w:val="-8"/>
          <w:sz w:val="16"/>
        </w:rPr>
        <w:t> </w:t>
      </w:r>
      <w:r>
        <w:rPr>
          <w:sz w:val="16"/>
        </w:rPr>
        <w:t>positive</w:t>
      </w:r>
      <w:r>
        <w:rPr>
          <w:spacing w:val="-9"/>
          <w:sz w:val="16"/>
        </w:rPr>
        <w:t> </w:t>
      </w:r>
      <w:r>
        <w:rPr>
          <w:sz w:val="16"/>
        </w:rPr>
        <w:t>number</w:t>
      </w:r>
      <w:r>
        <w:rPr>
          <w:spacing w:val="-9"/>
          <w:sz w:val="16"/>
        </w:rPr>
        <w:t> </w:t>
      </w:r>
      <w:r>
        <w:rPr>
          <w:sz w:val="16"/>
        </w:rPr>
        <w:t>for</w:t>
      </w:r>
      <w:r>
        <w:rPr>
          <w:spacing w:val="-7"/>
          <w:sz w:val="16"/>
        </w:rPr>
        <w:t> </w:t>
      </w:r>
      <w:r>
        <w:rPr>
          <w:sz w:val="16"/>
        </w:rPr>
        <w:t>the</w:t>
      </w:r>
      <w:r>
        <w:rPr>
          <w:spacing w:val="-6"/>
          <w:sz w:val="16"/>
        </w:rPr>
        <w:t> </w:t>
      </w:r>
      <w:r>
        <w:rPr>
          <w:sz w:val="16"/>
        </w:rPr>
        <w:t>fiscal</w:t>
      </w:r>
      <w:r>
        <w:rPr>
          <w:spacing w:val="-7"/>
          <w:sz w:val="16"/>
        </w:rPr>
        <w:t> </w:t>
      </w:r>
      <w:r>
        <w:rPr>
          <w:sz w:val="16"/>
        </w:rPr>
        <w:t>balance</w:t>
      </w:r>
      <w:r>
        <w:rPr>
          <w:spacing w:val="-6"/>
          <w:sz w:val="16"/>
        </w:rPr>
        <w:t> </w:t>
      </w:r>
      <w:r>
        <w:rPr>
          <w:sz w:val="16"/>
        </w:rPr>
        <w:t>indicates</w:t>
      </w:r>
      <w:r>
        <w:rPr>
          <w:spacing w:val="-9"/>
          <w:sz w:val="16"/>
        </w:rPr>
        <w:t> </w:t>
      </w:r>
      <w:r>
        <w:rPr>
          <w:sz w:val="16"/>
        </w:rPr>
        <w:t>an</w:t>
      </w:r>
      <w:r>
        <w:rPr>
          <w:spacing w:val="-8"/>
          <w:sz w:val="16"/>
        </w:rPr>
        <w:t> </w:t>
      </w:r>
      <w:r>
        <w:rPr>
          <w:sz w:val="16"/>
        </w:rPr>
        <w:t>increase</w:t>
      </w:r>
      <w:r>
        <w:rPr>
          <w:spacing w:val="-7"/>
          <w:sz w:val="16"/>
        </w:rPr>
        <w:t> </w:t>
      </w:r>
      <w:r>
        <w:rPr>
          <w:sz w:val="16"/>
        </w:rPr>
        <w:t>in</w:t>
      </w:r>
      <w:r>
        <w:rPr>
          <w:spacing w:val="-6"/>
          <w:sz w:val="16"/>
        </w:rPr>
        <w:t> </w:t>
      </w:r>
      <w:r>
        <w:rPr>
          <w:sz w:val="16"/>
        </w:rPr>
        <w:t>revenue</w:t>
      </w:r>
      <w:r>
        <w:rPr>
          <w:spacing w:val="-8"/>
          <w:sz w:val="16"/>
        </w:rPr>
        <w:t> </w:t>
      </w:r>
      <w:r>
        <w:rPr>
          <w:sz w:val="16"/>
        </w:rPr>
        <w:t>or</w:t>
      </w:r>
      <w:r>
        <w:rPr>
          <w:spacing w:val="-9"/>
          <w:sz w:val="16"/>
        </w:rPr>
        <w:t> </w:t>
      </w:r>
      <w:r>
        <w:rPr>
          <w:sz w:val="16"/>
        </w:rPr>
        <w:t>a</w:t>
      </w:r>
      <w:r>
        <w:rPr>
          <w:spacing w:val="-6"/>
          <w:sz w:val="16"/>
        </w:rPr>
        <w:t> </w:t>
      </w:r>
      <w:r>
        <w:rPr>
          <w:sz w:val="16"/>
        </w:rPr>
        <w:t>decrease</w:t>
      </w:r>
      <w:r>
        <w:rPr>
          <w:spacing w:val="-9"/>
          <w:sz w:val="16"/>
        </w:rPr>
        <w:t> </w:t>
      </w:r>
      <w:r>
        <w:rPr>
          <w:sz w:val="16"/>
        </w:rPr>
        <w:t>in</w:t>
      </w:r>
      <w:r>
        <w:rPr>
          <w:spacing w:val="-9"/>
          <w:sz w:val="16"/>
        </w:rPr>
        <w:t> </w:t>
      </w:r>
      <w:r>
        <w:rPr>
          <w:sz w:val="16"/>
        </w:rPr>
        <w:t>expenses</w:t>
      </w:r>
      <w:r>
        <w:rPr>
          <w:spacing w:val="-8"/>
          <w:sz w:val="16"/>
        </w:rPr>
        <w:t> </w:t>
      </w:r>
      <w:r>
        <w:rPr>
          <w:sz w:val="16"/>
        </w:rPr>
        <w:t>or</w:t>
      </w:r>
      <w:r>
        <w:rPr>
          <w:spacing w:val="-9"/>
          <w:sz w:val="16"/>
        </w:rPr>
        <w:t> </w:t>
      </w:r>
      <w:r>
        <w:rPr>
          <w:sz w:val="16"/>
        </w:rPr>
        <w:t>net</w:t>
      </w:r>
      <w:r>
        <w:rPr>
          <w:spacing w:val="-7"/>
          <w:sz w:val="16"/>
        </w:rPr>
        <w:t> </w:t>
      </w:r>
      <w:r>
        <w:rPr>
          <w:sz w:val="16"/>
        </w:rPr>
        <w:t>capital</w:t>
      </w:r>
      <w:r>
        <w:rPr>
          <w:spacing w:val="-9"/>
          <w:sz w:val="16"/>
        </w:rPr>
        <w:t> </w:t>
      </w:r>
      <w:r>
        <w:rPr>
          <w:sz w:val="16"/>
        </w:rPr>
        <w:t>investment</w:t>
      </w:r>
      <w:r>
        <w:rPr>
          <w:spacing w:val="-8"/>
          <w:sz w:val="16"/>
        </w:rPr>
        <w:t> </w:t>
      </w:r>
      <w:r>
        <w:rPr>
          <w:sz w:val="16"/>
        </w:rPr>
        <w:t>in</w:t>
      </w:r>
      <w:r>
        <w:rPr>
          <w:spacing w:val="-9"/>
          <w:sz w:val="16"/>
        </w:rPr>
        <w:t> </w:t>
      </w:r>
      <w:r>
        <w:rPr>
          <w:sz w:val="16"/>
        </w:rPr>
        <w:t>accrual</w:t>
      </w:r>
      <w:r>
        <w:rPr>
          <w:spacing w:val="-7"/>
          <w:sz w:val="16"/>
        </w:rPr>
        <w:t> </w:t>
      </w:r>
      <w:r>
        <w:rPr>
          <w:sz w:val="16"/>
        </w:rPr>
        <w:t>terms. A</w:t>
      </w:r>
      <w:r>
        <w:rPr>
          <w:spacing w:val="-8"/>
          <w:sz w:val="16"/>
        </w:rPr>
        <w:t> </w:t>
      </w:r>
      <w:r>
        <w:rPr>
          <w:sz w:val="16"/>
        </w:rPr>
        <w:t>negative</w:t>
      </w:r>
      <w:r>
        <w:rPr>
          <w:spacing w:val="-9"/>
          <w:sz w:val="16"/>
        </w:rPr>
        <w:t> </w:t>
      </w:r>
      <w:r>
        <w:rPr>
          <w:sz w:val="16"/>
        </w:rPr>
        <w:t>number</w:t>
      </w:r>
      <w:r>
        <w:rPr>
          <w:spacing w:val="-8"/>
          <w:sz w:val="16"/>
        </w:rPr>
        <w:t> </w:t>
      </w:r>
      <w:r>
        <w:rPr>
          <w:sz w:val="16"/>
        </w:rPr>
        <w:t>for</w:t>
      </w:r>
      <w:r>
        <w:rPr>
          <w:spacing w:val="-7"/>
          <w:sz w:val="16"/>
        </w:rPr>
        <w:t> </w:t>
      </w:r>
      <w:r>
        <w:rPr>
          <w:sz w:val="16"/>
        </w:rPr>
        <w:t>the</w:t>
      </w:r>
      <w:r>
        <w:rPr>
          <w:spacing w:val="-6"/>
          <w:sz w:val="16"/>
        </w:rPr>
        <w:t> </w:t>
      </w:r>
      <w:r>
        <w:rPr>
          <w:sz w:val="16"/>
        </w:rPr>
        <w:t>fiscal</w:t>
      </w:r>
      <w:r>
        <w:rPr>
          <w:spacing w:val="-7"/>
          <w:sz w:val="16"/>
        </w:rPr>
        <w:t> </w:t>
      </w:r>
      <w:r>
        <w:rPr>
          <w:sz w:val="16"/>
        </w:rPr>
        <w:t>balance</w:t>
      </w:r>
      <w:r>
        <w:rPr>
          <w:spacing w:val="-7"/>
          <w:sz w:val="16"/>
        </w:rPr>
        <w:t> </w:t>
      </w:r>
      <w:r>
        <w:rPr>
          <w:sz w:val="16"/>
        </w:rPr>
        <w:t>indicates</w:t>
      </w:r>
      <w:r>
        <w:rPr>
          <w:spacing w:val="-8"/>
          <w:sz w:val="16"/>
        </w:rPr>
        <w:t> </w:t>
      </w:r>
      <w:r>
        <w:rPr>
          <w:sz w:val="16"/>
        </w:rPr>
        <w:t>a</w:t>
      </w:r>
      <w:r>
        <w:rPr>
          <w:spacing w:val="-7"/>
          <w:sz w:val="16"/>
        </w:rPr>
        <w:t> </w:t>
      </w:r>
      <w:r>
        <w:rPr>
          <w:sz w:val="16"/>
        </w:rPr>
        <w:t>decrease</w:t>
      </w:r>
      <w:r>
        <w:rPr>
          <w:spacing w:val="-6"/>
          <w:sz w:val="16"/>
        </w:rPr>
        <w:t> </w:t>
      </w:r>
      <w:r>
        <w:rPr>
          <w:sz w:val="16"/>
        </w:rPr>
        <w:t>in</w:t>
      </w:r>
      <w:r>
        <w:rPr>
          <w:spacing w:val="-6"/>
          <w:sz w:val="16"/>
        </w:rPr>
        <w:t> </w:t>
      </w:r>
      <w:r>
        <w:rPr>
          <w:sz w:val="16"/>
        </w:rPr>
        <w:t>revenue</w:t>
      </w:r>
      <w:r>
        <w:rPr>
          <w:spacing w:val="-6"/>
          <w:sz w:val="16"/>
        </w:rPr>
        <w:t> </w:t>
      </w:r>
      <w:r>
        <w:rPr>
          <w:sz w:val="16"/>
        </w:rPr>
        <w:t>or</w:t>
      </w:r>
      <w:r>
        <w:rPr>
          <w:spacing w:val="-9"/>
          <w:sz w:val="16"/>
        </w:rPr>
        <w:t> </w:t>
      </w:r>
      <w:r>
        <w:rPr>
          <w:sz w:val="16"/>
        </w:rPr>
        <w:t>an</w:t>
      </w:r>
      <w:r>
        <w:rPr>
          <w:spacing w:val="-6"/>
          <w:sz w:val="16"/>
        </w:rPr>
        <w:t> </w:t>
      </w:r>
      <w:r>
        <w:rPr>
          <w:sz w:val="16"/>
        </w:rPr>
        <w:t>increase</w:t>
      </w:r>
      <w:r>
        <w:rPr>
          <w:spacing w:val="-8"/>
          <w:sz w:val="16"/>
        </w:rPr>
        <w:t> </w:t>
      </w:r>
      <w:r>
        <w:rPr>
          <w:sz w:val="16"/>
        </w:rPr>
        <w:t>in</w:t>
      </w:r>
      <w:r>
        <w:rPr>
          <w:spacing w:val="-9"/>
          <w:sz w:val="16"/>
        </w:rPr>
        <w:t> </w:t>
      </w:r>
      <w:r>
        <w:rPr>
          <w:sz w:val="16"/>
        </w:rPr>
        <w:t>expenses</w:t>
      </w:r>
      <w:r>
        <w:rPr>
          <w:spacing w:val="-7"/>
          <w:sz w:val="16"/>
        </w:rPr>
        <w:t> </w:t>
      </w:r>
      <w:r>
        <w:rPr>
          <w:sz w:val="16"/>
        </w:rPr>
        <w:t>or</w:t>
      </w:r>
      <w:r>
        <w:rPr>
          <w:spacing w:val="-9"/>
          <w:sz w:val="16"/>
        </w:rPr>
        <w:t> </w:t>
      </w:r>
      <w:r>
        <w:rPr>
          <w:sz w:val="16"/>
        </w:rPr>
        <w:t>net</w:t>
      </w:r>
      <w:r>
        <w:rPr>
          <w:spacing w:val="-9"/>
          <w:sz w:val="16"/>
        </w:rPr>
        <w:t> </w:t>
      </w:r>
      <w:r>
        <w:rPr>
          <w:sz w:val="16"/>
        </w:rPr>
        <w:t>capital</w:t>
      </w:r>
      <w:r>
        <w:rPr>
          <w:spacing w:val="-11"/>
          <w:sz w:val="16"/>
        </w:rPr>
        <w:t> </w:t>
      </w:r>
      <w:r>
        <w:rPr>
          <w:sz w:val="16"/>
        </w:rPr>
        <w:t>investment</w:t>
      </w:r>
      <w:r>
        <w:rPr>
          <w:spacing w:val="-8"/>
          <w:sz w:val="16"/>
        </w:rPr>
        <w:t> </w:t>
      </w:r>
      <w:r>
        <w:rPr>
          <w:sz w:val="16"/>
        </w:rPr>
        <w:t>in</w:t>
      </w:r>
      <w:r>
        <w:rPr>
          <w:spacing w:val="-9"/>
          <w:sz w:val="16"/>
        </w:rPr>
        <w:t> </w:t>
      </w:r>
      <w:r>
        <w:rPr>
          <w:sz w:val="16"/>
        </w:rPr>
        <w:t>accrual</w:t>
      </w:r>
      <w:r>
        <w:rPr>
          <w:spacing w:val="-7"/>
          <w:sz w:val="16"/>
        </w:rPr>
        <w:t> </w:t>
      </w:r>
      <w:r>
        <w:rPr>
          <w:spacing w:val="-2"/>
          <w:sz w:val="16"/>
        </w:rPr>
        <w:t>terms.</w:t>
      </w:r>
    </w:p>
    <w:p>
      <w:pPr>
        <w:spacing w:line="319" w:lineRule="auto" w:before="1"/>
        <w:ind w:left="514" w:right="185" w:firstLine="0"/>
        <w:jc w:val="left"/>
        <w:rPr>
          <w:sz w:val="16"/>
        </w:rPr>
      </w:pPr>
      <w:r>
        <w:rPr>
          <w:sz w:val="16"/>
        </w:rPr>
        <w:t>A</w:t>
      </w:r>
      <w:r>
        <w:rPr>
          <w:spacing w:val="-8"/>
          <w:sz w:val="16"/>
        </w:rPr>
        <w:t> </w:t>
      </w:r>
      <w:r>
        <w:rPr>
          <w:sz w:val="16"/>
        </w:rPr>
        <w:t>positive</w:t>
      </w:r>
      <w:r>
        <w:rPr>
          <w:spacing w:val="-9"/>
          <w:sz w:val="16"/>
        </w:rPr>
        <w:t> </w:t>
      </w:r>
      <w:r>
        <w:rPr>
          <w:sz w:val="16"/>
        </w:rPr>
        <w:t>number</w:t>
      </w:r>
      <w:r>
        <w:rPr>
          <w:spacing w:val="-8"/>
          <w:sz w:val="16"/>
        </w:rPr>
        <w:t> </w:t>
      </w:r>
      <w:r>
        <w:rPr>
          <w:sz w:val="16"/>
        </w:rPr>
        <w:t>for</w:t>
      </w:r>
      <w:r>
        <w:rPr>
          <w:spacing w:val="-7"/>
          <w:sz w:val="16"/>
        </w:rPr>
        <w:t> </w:t>
      </w:r>
      <w:r>
        <w:rPr>
          <w:sz w:val="16"/>
        </w:rPr>
        <w:t>the</w:t>
      </w:r>
      <w:r>
        <w:rPr>
          <w:spacing w:val="-8"/>
          <w:sz w:val="16"/>
        </w:rPr>
        <w:t> </w:t>
      </w:r>
      <w:r>
        <w:rPr>
          <w:sz w:val="16"/>
        </w:rPr>
        <w:t>underlying</w:t>
      </w:r>
      <w:r>
        <w:rPr>
          <w:spacing w:val="-7"/>
          <w:sz w:val="16"/>
        </w:rPr>
        <w:t> </w:t>
      </w:r>
      <w:r>
        <w:rPr>
          <w:sz w:val="16"/>
        </w:rPr>
        <w:t>cash</w:t>
      </w:r>
      <w:r>
        <w:rPr>
          <w:spacing w:val="-9"/>
          <w:sz w:val="16"/>
        </w:rPr>
        <w:t> </w:t>
      </w:r>
      <w:r>
        <w:rPr>
          <w:sz w:val="16"/>
        </w:rPr>
        <w:t>balance</w:t>
      </w:r>
      <w:r>
        <w:rPr>
          <w:spacing w:val="-8"/>
          <w:sz w:val="16"/>
        </w:rPr>
        <w:t> </w:t>
      </w:r>
      <w:r>
        <w:rPr>
          <w:sz w:val="16"/>
        </w:rPr>
        <w:t>indicates</w:t>
      </w:r>
      <w:r>
        <w:rPr>
          <w:spacing w:val="-9"/>
          <w:sz w:val="16"/>
        </w:rPr>
        <w:t> </w:t>
      </w:r>
      <w:r>
        <w:rPr>
          <w:sz w:val="16"/>
        </w:rPr>
        <w:t>an</w:t>
      </w:r>
      <w:r>
        <w:rPr>
          <w:spacing w:val="-8"/>
          <w:sz w:val="16"/>
        </w:rPr>
        <w:t> </w:t>
      </w:r>
      <w:r>
        <w:rPr>
          <w:sz w:val="16"/>
        </w:rPr>
        <w:t>increase</w:t>
      </w:r>
      <w:r>
        <w:rPr>
          <w:spacing w:val="-6"/>
          <w:sz w:val="16"/>
        </w:rPr>
        <w:t> </w:t>
      </w:r>
      <w:r>
        <w:rPr>
          <w:sz w:val="16"/>
        </w:rPr>
        <w:t>in</w:t>
      </w:r>
      <w:r>
        <w:rPr>
          <w:spacing w:val="-9"/>
          <w:sz w:val="16"/>
        </w:rPr>
        <w:t> </w:t>
      </w:r>
      <w:r>
        <w:rPr>
          <w:sz w:val="16"/>
        </w:rPr>
        <w:t>receipts</w:t>
      </w:r>
      <w:r>
        <w:rPr>
          <w:spacing w:val="-6"/>
          <w:sz w:val="16"/>
        </w:rPr>
        <w:t> </w:t>
      </w:r>
      <w:r>
        <w:rPr>
          <w:sz w:val="16"/>
        </w:rPr>
        <w:t>or</w:t>
      </w:r>
      <w:r>
        <w:rPr>
          <w:spacing w:val="-8"/>
          <w:sz w:val="16"/>
        </w:rPr>
        <w:t> </w:t>
      </w:r>
      <w:r>
        <w:rPr>
          <w:sz w:val="16"/>
        </w:rPr>
        <w:t>a</w:t>
      </w:r>
      <w:r>
        <w:rPr>
          <w:spacing w:val="-8"/>
          <w:sz w:val="16"/>
        </w:rPr>
        <w:t> </w:t>
      </w:r>
      <w:r>
        <w:rPr>
          <w:sz w:val="16"/>
        </w:rPr>
        <w:t>decrease</w:t>
      </w:r>
      <w:r>
        <w:rPr>
          <w:spacing w:val="-6"/>
          <w:sz w:val="16"/>
        </w:rPr>
        <w:t> </w:t>
      </w:r>
      <w:r>
        <w:rPr>
          <w:sz w:val="16"/>
        </w:rPr>
        <w:t>in</w:t>
      </w:r>
      <w:r>
        <w:rPr>
          <w:spacing w:val="-9"/>
          <w:sz w:val="16"/>
        </w:rPr>
        <w:t> </w:t>
      </w:r>
      <w:r>
        <w:rPr>
          <w:sz w:val="16"/>
        </w:rPr>
        <w:t>payments</w:t>
      </w:r>
      <w:r>
        <w:rPr>
          <w:spacing w:val="-8"/>
          <w:sz w:val="16"/>
        </w:rPr>
        <w:t> </w:t>
      </w:r>
      <w:r>
        <w:rPr>
          <w:sz w:val="16"/>
        </w:rPr>
        <w:t>or</w:t>
      </w:r>
      <w:r>
        <w:rPr>
          <w:spacing w:val="-11"/>
          <w:sz w:val="16"/>
        </w:rPr>
        <w:t> </w:t>
      </w:r>
      <w:r>
        <w:rPr>
          <w:sz w:val="16"/>
        </w:rPr>
        <w:t>net</w:t>
      </w:r>
      <w:r>
        <w:rPr>
          <w:spacing w:val="-6"/>
          <w:sz w:val="16"/>
        </w:rPr>
        <w:t> </w:t>
      </w:r>
      <w:r>
        <w:rPr>
          <w:sz w:val="16"/>
        </w:rPr>
        <w:t>capital</w:t>
      </w:r>
      <w:r>
        <w:rPr>
          <w:spacing w:val="-7"/>
          <w:sz w:val="16"/>
        </w:rPr>
        <w:t> </w:t>
      </w:r>
      <w:r>
        <w:rPr>
          <w:sz w:val="16"/>
        </w:rPr>
        <w:t>investment</w:t>
      </w:r>
      <w:r>
        <w:rPr>
          <w:spacing w:val="-7"/>
          <w:sz w:val="16"/>
        </w:rPr>
        <w:t> </w:t>
      </w:r>
      <w:r>
        <w:rPr>
          <w:sz w:val="16"/>
        </w:rPr>
        <w:t>in</w:t>
      </w:r>
      <w:r>
        <w:rPr>
          <w:spacing w:val="-6"/>
          <w:sz w:val="16"/>
        </w:rPr>
        <w:t> </w:t>
      </w:r>
      <w:r>
        <w:rPr>
          <w:sz w:val="16"/>
        </w:rPr>
        <w:t>cash</w:t>
      </w:r>
      <w:r>
        <w:rPr>
          <w:spacing w:val="-8"/>
          <w:sz w:val="16"/>
        </w:rPr>
        <w:t> </w:t>
      </w:r>
      <w:r>
        <w:rPr>
          <w:sz w:val="16"/>
        </w:rPr>
        <w:t>terms. A</w:t>
      </w:r>
      <w:r>
        <w:rPr>
          <w:spacing w:val="-9"/>
          <w:sz w:val="16"/>
        </w:rPr>
        <w:t> </w:t>
      </w:r>
      <w:r>
        <w:rPr>
          <w:sz w:val="16"/>
        </w:rPr>
        <w:t>negative</w:t>
      </w:r>
      <w:r>
        <w:rPr>
          <w:spacing w:val="-9"/>
          <w:sz w:val="16"/>
        </w:rPr>
        <w:t> </w:t>
      </w:r>
      <w:r>
        <w:rPr>
          <w:sz w:val="16"/>
        </w:rPr>
        <w:t>number</w:t>
      </w:r>
      <w:r>
        <w:rPr>
          <w:spacing w:val="-9"/>
          <w:sz w:val="16"/>
        </w:rPr>
        <w:t> </w:t>
      </w:r>
      <w:r>
        <w:rPr>
          <w:sz w:val="16"/>
        </w:rPr>
        <w:t>for</w:t>
      </w:r>
      <w:r>
        <w:rPr>
          <w:spacing w:val="-7"/>
          <w:sz w:val="16"/>
        </w:rPr>
        <w:t> </w:t>
      </w:r>
      <w:r>
        <w:rPr>
          <w:sz w:val="16"/>
        </w:rPr>
        <w:t>the</w:t>
      </w:r>
      <w:r>
        <w:rPr>
          <w:spacing w:val="-10"/>
          <w:sz w:val="16"/>
        </w:rPr>
        <w:t> </w:t>
      </w:r>
      <w:r>
        <w:rPr>
          <w:sz w:val="16"/>
        </w:rPr>
        <w:t>underlying</w:t>
      </w:r>
      <w:r>
        <w:rPr>
          <w:spacing w:val="-7"/>
          <w:sz w:val="16"/>
        </w:rPr>
        <w:t> </w:t>
      </w:r>
      <w:r>
        <w:rPr>
          <w:sz w:val="16"/>
        </w:rPr>
        <w:t>cash</w:t>
      </w:r>
      <w:r>
        <w:rPr>
          <w:spacing w:val="-9"/>
          <w:sz w:val="16"/>
        </w:rPr>
        <w:t> </w:t>
      </w:r>
      <w:r>
        <w:rPr>
          <w:sz w:val="16"/>
        </w:rPr>
        <w:t>balance</w:t>
      </w:r>
      <w:r>
        <w:rPr>
          <w:spacing w:val="-9"/>
          <w:sz w:val="16"/>
        </w:rPr>
        <w:t> </w:t>
      </w:r>
      <w:r>
        <w:rPr>
          <w:sz w:val="16"/>
        </w:rPr>
        <w:t>indicates</w:t>
      </w:r>
      <w:r>
        <w:rPr>
          <w:spacing w:val="-9"/>
          <w:sz w:val="16"/>
        </w:rPr>
        <w:t> </w:t>
      </w:r>
      <w:r>
        <w:rPr>
          <w:sz w:val="16"/>
        </w:rPr>
        <w:t>a</w:t>
      </w:r>
      <w:r>
        <w:rPr>
          <w:spacing w:val="-7"/>
          <w:sz w:val="16"/>
        </w:rPr>
        <w:t> </w:t>
      </w:r>
      <w:r>
        <w:rPr>
          <w:sz w:val="16"/>
        </w:rPr>
        <w:t>decrease</w:t>
      </w:r>
      <w:r>
        <w:rPr>
          <w:spacing w:val="-9"/>
          <w:sz w:val="16"/>
        </w:rPr>
        <w:t> </w:t>
      </w:r>
      <w:r>
        <w:rPr>
          <w:sz w:val="16"/>
        </w:rPr>
        <w:t>in</w:t>
      </w:r>
      <w:r>
        <w:rPr>
          <w:spacing w:val="-9"/>
          <w:sz w:val="16"/>
        </w:rPr>
        <w:t> </w:t>
      </w:r>
      <w:r>
        <w:rPr>
          <w:sz w:val="16"/>
        </w:rPr>
        <w:t>receipts</w:t>
      </w:r>
      <w:r>
        <w:rPr>
          <w:spacing w:val="-7"/>
          <w:sz w:val="16"/>
        </w:rPr>
        <w:t> </w:t>
      </w:r>
      <w:r>
        <w:rPr>
          <w:sz w:val="16"/>
        </w:rPr>
        <w:t>or</w:t>
      </w:r>
      <w:r>
        <w:rPr>
          <w:spacing w:val="-9"/>
          <w:sz w:val="16"/>
        </w:rPr>
        <w:t> </w:t>
      </w:r>
      <w:r>
        <w:rPr>
          <w:sz w:val="16"/>
        </w:rPr>
        <w:t>an</w:t>
      </w:r>
      <w:r>
        <w:rPr>
          <w:spacing w:val="-6"/>
          <w:sz w:val="16"/>
        </w:rPr>
        <w:t> </w:t>
      </w:r>
      <w:r>
        <w:rPr>
          <w:sz w:val="16"/>
        </w:rPr>
        <w:t>increase</w:t>
      </w:r>
      <w:r>
        <w:rPr>
          <w:spacing w:val="-10"/>
          <w:sz w:val="16"/>
        </w:rPr>
        <w:t> </w:t>
      </w:r>
      <w:r>
        <w:rPr>
          <w:sz w:val="16"/>
        </w:rPr>
        <w:t>in</w:t>
      </w:r>
      <w:r>
        <w:rPr>
          <w:spacing w:val="-9"/>
          <w:sz w:val="16"/>
        </w:rPr>
        <w:t> </w:t>
      </w:r>
      <w:r>
        <w:rPr>
          <w:sz w:val="16"/>
        </w:rPr>
        <w:t>payments</w:t>
      </w:r>
      <w:r>
        <w:rPr>
          <w:spacing w:val="-6"/>
          <w:sz w:val="16"/>
        </w:rPr>
        <w:t> </w:t>
      </w:r>
      <w:r>
        <w:rPr>
          <w:sz w:val="16"/>
        </w:rPr>
        <w:t>or</w:t>
      </w:r>
      <w:r>
        <w:rPr>
          <w:spacing w:val="-11"/>
          <w:sz w:val="16"/>
        </w:rPr>
        <w:t> </w:t>
      </w:r>
      <w:r>
        <w:rPr>
          <w:sz w:val="16"/>
        </w:rPr>
        <w:t>net</w:t>
      </w:r>
      <w:r>
        <w:rPr>
          <w:spacing w:val="-7"/>
          <w:sz w:val="16"/>
        </w:rPr>
        <w:t> </w:t>
      </w:r>
      <w:r>
        <w:rPr>
          <w:sz w:val="16"/>
        </w:rPr>
        <w:t>capital</w:t>
      </w:r>
      <w:r>
        <w:rPr>
          <w:spacing w:val="-8"/>
          <w:sz w:val="16"/>
        </w:rPr>
        <w:t> </w:t>
      </w:r>
      <w:r>
        <w:rPr>
          <w:sz w:val="16"/>
        </w:rPr>
        <w:t>investment</w:t>
      </w:r>
      <w:r>
        <w:rPr>
          <w:spacing w:val="-7"/>
          <w:sz w:val="16"/>
        </w:rPr>
        <w:t> </w:t>
      </w:r>
      <w:r>
        <w:rPr>
          <w:sz w:val="16"/>
        </w:rPr>
        <w:t>in</w:t>
      </w:r>
      <w:r>
        <w:rPr>
          <w:spacing w:val="-7"/>
          <w:sz w:val="16"/>
        </w:rPr>
        <w:t> </w:t>
      </w:r>
      <w:r>
        <w:rPr>
          <w:sz w:val="16"/>
        </w:rPr>
        <w:t>cash</w:t>
      </w:r>
      <w:r>
        <w:rPr>
          <w:spacing w:val="-9"/>
          <w:sz w:val="16"/>
        </w:rPr>
        <w:t> </w:t>
      </w:r>
      <w:r>
        <w:rPr>
          <w:sz w:val="16"/>
        </w:rPr>
        <w:t>terms.</w:t>
      </w:r>
    </w:p>
    <w:p>
      <w:pPr>
        <w:pStyle w:val="ListParagraph"/>
        <w:numPr>
          <w:ilvl w:val="0"/>
          <w:numId w:val="8"/>
        </w:numPr>
        <w:tabs>
          <w:tab w:pos="515" w:val="left" w:leader="none"/>
        </w:tabs>
        <w:spacing w:line="194" w:lineRule="exact" w:before="0" w:after="0"/>
        <w:ind w:left="514" w:right="0" w:hanging="284"/>
        <w:jc w:val="left"/>
        <w:rPr>
          <w:sz w:val="16"/>
        </w:rPr>
      </w:pPr>
      <w:r>
        <w:rPr>
          <w:sz w:val="16"/>
        </w:rPr>
        <w:t>Figures may not sum to totals due to</w:t>
      </w:r>
      <w:r>
        <w:rPr>
          <w:spacing w:val="-5"/>
          <w:sz w:val="16"/>
        </w:rPr>
        <w:t> </w:t>
      </w:r>
      <w:r>
        <w:rPr>
          <w:sz w:val="16"/>
        </w:rPr>
        <w:t>rounding.</w:t>
      </w:r>
    </w:p>
    <w:p>
      <w:pPr>
        <w:pStyle w:val="ListParagraph"/>
        <w:numPr>
          <w:ilvl w:val="0"/>
          <w:numId w:val="7"/>
        </w:numPr>
        <w:tabs>
          <w:tab w:pos="514" w:val="left" w:leader="none"/>
          <w:tab w:pos="515" w:val="left" w:leader="none"/>
        </w:tabs>
        <w:spacing w:line="240" w:lineRule="auto" w:before="66" w:after="0"/>
        <w:ind w:left="514" w:right="0" w:hanging="284"/>
        <w:jc w:val="left"/>
        <w:rPr>
          <w:sz w:val="16"/>
        </w:rPr>
      </w:pPr>
      <w:r>
        <w:rPr>
          <w:sz w:val="16"/>
        </w:rPr>
        <w:t>Indicates</w:t>
      </w:r>
      <w:r>
        <w:rPr>
          <w:spacing w:val="-2"/>
          <w:sz w:val="16"/>
        </w:rPr>
        <w:t> </w:t>
      </w:r>
      <w:r>
        <w:rPr>
          <w:sz w:val="16"/>
        </w:rPr>
        <w:t>nil.</w:t>
      </w:r>
    </w:p>
    <w:p>
      <w:pPr>
        <w:spacing w:after="0" w:line="240" w:lineRule="auto"/>
        <w:jc w:val="left"/>
        <w:rPr>
          <w:sz w:val="16"/>
        </w:rPr>
        <w:sectPr>
          <w:headerReference w:type="default" r:id="rId10"/>
          <w:footerReference w:type="default" r:id="rId11"/>
          <w:pgSz w:w="11910" w:h="16840"/>
          <w:pgMar w:header="596" w:footer="620" w:top="1100" w:bottom="800" w:left="760" w:right="820"/>
          <w:pgNumType w:start="4"/>
        </w:sectPr>
      </w:pPr>
    </w:p>
    <w:p>
      <w:pPr>
        <w:pStyle w:val="Heading2"/>
        <w:spacing w:line="268" w:lineRule="auto" w:before="62"/>
        <w:ind w:left="231" w:right="185" w:hanging="1"/>
      </w:pPr>
      <w:r>
        <w:rPr>
          <w:color w:val="3C4D7C"/>
          <w:spacing w:val="-4"/>
        </w:rPr>
        <w:t>Table </w:t>
      </w:r>
      <w:r>
        <w:rPr>
          <w:color w:val="3C4D7C"/>
          <w:spacing w:val="-3"/>
        </w:rPr>
        <w:t>A3: </w:t>
      </w:r>
      <w:r>
        <w:rPr>
          <w:color w:val="3C4D7C"/>
          <w:spacing w:val="-5"/>
        </w:rPr>
        <w:t>Impact </w:t>
      </w:r>
      <w:r>
        <w:rPr>
          <w:color w:val="3C4D7C"/>
          <w:spacing w:val="-3"/>
        </w:rPr>
        <w:t>of </w:t>
      </w:r>
      <w:r>
        <w:rPr>
          <w:color w:val="3C4D7C"/>
          <w:spacing w:val="-5"/>
        </w:rPr>
        <w:t>accelerating </w:t>
      </w:r>
      <w:r>
        <w:rPr>
          <w:color w:val="3C4D7C"/>
          <w:spacing w:val="-4"/>
        </w:rPr>
        <w:t>Stage </w:t>
      </w:r>
      <w:r>
        <w:rPr>
          <w:color w:val="3C4D7C"/>
        </w:rPr>
        <w:t>2 </w:t>
      </w:r>
      <w:r>
        <w:rPr>
          <w:color w:val="3C4D7C"/>
          <w:spacing w:val="-5"/>
        </w:rPr>
        <w:t>personal </w:t>
      </w:r>
      <w:r>
        <w:rPr>
          <w:color w:val="3C4D7C"/>
          <w:spacing w:val="-4"/>
        </w:rPr>
        <w:t>income </w:t>
      </w:r>
      <w:r>
        <w:rPr>
          <w:color w:val="3C4D7C"/>
          <w:spacing w:val="-3"/>
        </w:rPr>
        <w:t>tax </w:t>
      </w:r>
      <w:r>
        <w:rPr>
          <w:color w:val="3C4D7C"/>
          <w:spacing w:val="-4"/>
        </w:rPr>
        <w:t>cuts </w:t>
      </w:r>
      <w:r>
        <w:rPr>
          <w:color w:val="3C4D7C"/>
        </w:rPr>
        <w:t>– </w:t>
      </w:r>
      <w:r>
        <w:rPr>
          <w:color w:val="3C4D7C"/>
          <w:spacing w:val="-4"/>
        </w:rPr>
        <w:t>Option </w:t>
      </w:r>
      <w:r>
        <w:rPr>
          <w:color w:val="3C4D7C"/>
        </w:rPr>
        <w:t>3: </w:t>
      </w:r>
      <w:r>
        <w:rPr>
          <w:color w:val="3C4D7C"/>
          <w:spacing w:val="-4"/>
        </w:rPr>
        <w:t>Bring </w:t>
      </w:r>
      <w:r>
        <w:rPr>
          <w:color w:val="3C4D7C"/>
          <w:spacing w:val="-5"/>
        </w:rPr>
        <w:t>forward </w:t>
      </w:r>
      <w:r>
        <w:rPr>
          <w:color w:val="3C4D7C"/>
          <w:spacing w:val="-3"/>
        </w:rPr>
        <w:t>the </w:t>
      </w:r>
      <w:r>
        <w:rPr>
          <w:color w:val="3C4D7C"/>
          <w:spacing w:val="-5"/>
        </w:rPr>
        <w:t>scheduled personal </w:t>
      </w:r>
      <w:r>
        <w:rPr>
          <w:color w:val="3C4D7C"/>
          <w:spacing w:val="-4"/>
        </w:rPr>
        <w:t>income </w:t>
      </w:r>
      <w:r>
        <w:rPr>
          <w:color w:val="3C4D7C"/>
          <w:spacing w:val="-3"/>
        </w:rPr>
        <w:t>tax </w:t>
      </w:r>
      <w:r>
        <w:rPr>
          <w:color w:val="3C4D7C"/>
          <w:spacing w:val="-4"/>
        </w:rPr>
        <w:t>cuts </w:t>
      </w:r>
      <w:r>
        <w:rPr>
          <w:color w:val="3C4D7C"/>
          <w:spacing w:val="-5"/>
        </w:rPr>
        <w:t>beginning</w:t>
      </w:r>
      <w:r>
        <w:rPr>
          <w:color w:val="3C4D7C"/>
          <w:spacing w:val="-3"/>
        </w:rPr>
        <w:t> on </w:t>
      </w:r>
      <w:r>
        <w:rPr>
          <w:color w:val="3C4D7C"/>
        </w:rPr>
        <w:t>1 </w:t>
      </w:r>
      <w:r>
        <w:rPr>
          <w:color w:val="3C4D7C"/>
          <w:spacing w:val="-4"/>
        </w:rPr>
        <w:t>July </w:t>
      </w:r>
      <w:r>
        <w:rPr>
          <w:color w:val="3C4D7C"/>
          <w:spacing w:val="-3"/>
        </w:rPr>
        <w:t>2022 to </w:t>
      </w:r>
      <w:r>
        <w:rPr>
          <w:color w:val="3C4D7C"/>
        </w:rPr>
        <w:t>1 </w:t>
      </w:r>
      <w:r>
        <w:rPr>
          <w:color w:val="3C4D7C"/>
          <w:spacing w:val="-4"/>
        </w:rPr>
        <w:t>July 2021, and remove </w:t>
      </w:r>
      <w:r>
        <w:rPr>
          <w:color w:val="3C4D7C"/>
          <w:spacing w:val="-3"/>
        </w:rPr>
        <w:t>the </w:t>
      </w:r>
      <w:r>
        <w:rPr>
          <w:color w:val="3C4D7C"/>
          <w:spacing w:val="-2"/>
        </w:rPr>
        <w:t>low </w:t>
      </w:r>
      <w:r>
        <w:rPr>
          <w:color w:val="3C4D7C"/>
          <w:spacing w:val="-4"/>
        </w:rPr>
        <w:t>and Middle Income </w:t>
      </w:r>
      <w:r>
        <w:rPr>
          <w:color w:val="3C4D7C"/>
          <w:spacing w:val="-3"/>
        </w:rPr>
        <w:t>Tax </w:t>
      </w:r>
      <w:r>
        <w:rPr>
          <w:color w:val="3C4D7C"/>
          <w:spacing w:val="-5"/>
        </w:rPr>
        <w:t>Offset </w:t>
      </w:r>
      <w:r>
        <w:rPr>
          <w:color w:val="3C4D7C"/>
          <w:spacing w:val="-3"/>
        </w:rPr>
        <w:t>for the </w:t>
      </w:r>
      <w:r>
        <w:rPr>
          <w:color w:val="3C4D7C"/>
          <w:spacing w:val="-4"/>
        </w:rPr>
        <w:t>2021-22 income year </w:t>
      </w:r>
      <w:r>
        <w:rPr>
          <w:color w:val="3C4D7C"/>
        </w:rPr>
        <w:t>– </w:t>
      </w:r>
      <w:r>
        <w:rPr>
          <w:color w:val="3C4D7C"/>
          <w:spacing w:val="-5"/>
        </w:rPr>
        <w:t>Fiscal </w:t>
      </w:r>
      <w:r>
        <w:rPr>
          <w:color w:val="3C4D7C"/>
          <w:spacing w:val="-4"/>
        </w:rPr>
        <w:t>and </w:t>
      </w:r>
      <w:r>
        <w:rPr>
          <w:color w:val="3C4D7C"/>
          <w:spacing w:val="-5"/>
        </w:rPr>
        <w:t>underlying </w:t>
      </w:r>
      <w:r>
        <w:rPr>
          <w:color w:val="3C4D7C"/>
          <w:spacing w:val="-4"/>
        </w:rPr>
        <w:t>cash </w:t>
      </w:r>
      <w:r>
        <w:rPr>
          <w:color w:val="3C4D7C"/>
          <w:spacing w:val="-5"/>
        </w:rPr>
        <w:t>balances </w:t>
      </w:r>
      <w:r>
        <w:rPr>
          <w:color w:val="3C4D7C"/>
          <w:spacing w:val="-4"/>
        </w:rPr>
        <w:t>($m)</w:t>
      </w:r>
      <w:r>
        <w:rPr>
          <w:color w:val="3C4D7C"/>
          <w:spacing w:val="-4"/>
          <w:vertAlign w:val="superscript"/>
        </w:rPr>
        <w:t>(a)(b)</w:t>
      </w:r>
    </w:p>
    <w:p>
      <w:pPr>
        <w:pStyle w:val="BodyText"/>
        <w:spacing w:before="2"/>
        <w:rPr>
          <w:b/>
          <w:sz w:val="7"/>
        </w:rPr>
      </w:pPr>
    </w:p>
    <w:tbl>
      <w:tblPr>
        <w:tblW w:w="0" w:type="auto"/>
        <w:jc w:val="left"/>
        <w:tblInd w:w="133" w:type="dxa"/>
        <w:tblBorders>
          <w:top w:val="single" w:sz="8" w:space="0" w:color="788183"/>
          <w:left w:val="single" w:sz="8" w:space="0" w:color="788183"/>
          <w:bottom w:val="single" w:sz="8" w:space="0" w:color="788183"/>
          <w:right w:val="single" w:sz="8" w:space="0" w:color="788183"/>
          <w:insideH w:val="single" w:sz="8" w:space="0" w:color="788183"/>
          <w:insideV w:val="single" w:sz="8" w:space="0" w:color="788183"/>
        </w:tblBorders>
        <w:tblLayout w:type="fixed"/>
        <w:tblCellMar>
          <w:top w:w="0" w:type="dxa"/>
          <w:left w:w="0" w:type="dxa"/>
          <w:bottom w:w="0" w:type="dxa"/>
          <w:right w:w="0" w:type="dxa"/>
        </w:tblCellMar>
        <w:tblLook w:val="01E0"/>
      </w:tblPr>
      <w:tblGrid>
        <w:gridCol w:w="2347"/>
        <w:gridCol w:w="573"/>
        <w:gridCol w:w="573"/>
        <w:gridCol w:w="573"/>
        <w:gridCol w:w="573"/>
        <w:gridCol w:w="573"/>
        <w:gridCol w:w="575"/>
        <w:gridCol w:w="573"/>
        <w:gridCol w:w="573"/>
        <w:gridCol w:w="573"/>
        <w:gridCol w:w="573"/>
        <w:gridCol w:w="573"/>
        <w:gridCol w:w="710"/>
        <w:gridCol w:w="698"/>
      </w:tblGrid>
      <w:tr>
        <w:trPr>
          <w:trHeight w:val="508" w:hRule="atLeast"/>
        </w:trPr>
        <w:tc>
          <w:tcPr>
            <w:tcW w:w="2347" w:type="dxa"/>
            <w:shd w:val="clear" w:color="auto" w:fill="A7B1D3"/>
          </w:tcPr>
          <w:p>
            <w:pPr>
              <w:pStyle w:val="TableParagraph"/>
              <w:jc w:val="left"/>
              <w:rPr>
                <w:rFonts w:ascii="Times New Roman"/>
                <w:sz w:val="16"/>
              </w:rPr>
            </w:pPr>
          </w:p>
        </w:tc>
        <w:tc>
          <w:tcPr>
            <w:tcW w:w="573" w:type="dxa"/>
            <w:shd w:val="clear" w:color="auto" w:fill="A7B1D3"/>
          </w:tcPr>
          <w:p>
            <w:pPr>
              <w:pStyle w:val="TableParagraph"/>
              <w:spacing w:line="183" w:lineRule="exact" w:before="70"/>
              <w:ind w:left="119" w:right="2"/>
              <w:jc w:val="center"/>
              <w:rPr>
                <w:sz w:val="15"/>
              </w:rPr>
            </w:pPr>
            <w:r>
              <w:rPr>
                <w:sz w:val="15"/>
              </w:rPr>
              <w:t>2019–</w:t>
            </w:r>
          </w:p>
          <w:p>
            <w:pPr>
              <w:pStyle w:val="TableParagraph"/>
              <w:spacing w:line="183" w:lineRule="exact"/>
              <w:ind w:left="115" w:right="2"/>
              <w:jc w:val="center"/>
              <w:rPr>
                <w:sz w:val="15"/>
              </w:rPr>
            </w:pPr>
            <w:r>
              <w:rPr>
                <w:sz w:val="15"/>
              </w:rPr>
              <w:t>20</w:t>
            </w:r>
          </w:p>
        </w:tc>
        <w:tc>
          <w:tcPr>
            <w:tcW w:w="573" w:type="dxa"/>
            <w:shd w:val="clear" w:color="auto" w:fill="A7B1D3"/>
          </w:tcPr>
          <w:p>
            <w:pPr>
              <w:pStyle w:val="TableParagraph"/>
              <w:spacing w:line="183" w:lineRule="exact" w:before="70"/>
              <w:ind w:left="120" w:right="2"/>
              <w:jc w:val="center"/>
              <w:rPr>
                <w:sz w:val="15"/>
              </w:rPr>
            </w:pPr>
            <w:r>
              <w:rPr>
                <w:sz w:val="15"/>
              </w:rPr>
              <w:t>2020–</w:t>
            </w:r>
          </w:p>
          <w:p>
            <w:pPr>
              <w:pStyle w:val="TableParagraph"/>
              <w:spacing w:line="183" w:lineRule="exact"/>
              <w:ind w:left="117" w:right="2"/>
              <w:jc w:val="center"/>
              <w:rPr>
                <w:sz w:val="15"/>
              </w:rPr>
            </w:pPr>
            <w:r>
              <w:rPr>
                <w:sz w:val="15"/>
              </w:rPr>
              <w:t>21</w:t>
            </w:r>
          </w:p>
        </w:tc>
        <w:tc>
          <w:tcPr>
            <w:tcW w:w="573" w:type="dxa"/>
            <w:shd w:val="clear" w:color="auto" w:fill="A7B1D3"/>
          </w:tcPr>
          <w:p>
            <w:pPr>
              <w:pStyle w:val="TableParagraph"/>
              <w:spacing w:line="183" w:lineRule="exact" w:before="70"/>
              <w:ind w:left="121" w:right="2"/>
              <w:jc w:val="center"/>
              <w:rPr>
                <w:sz w:val="15"/>
              </w:rPr>
            </w:pPr>
            <w:r>
              <w:rPr>
                <w:sz w:val="15"/>
              </w:rPr>
              <w:t>2021–</w:t>
            </w:r>
          </w:p>
          <w:p>
            <w:pPr>
              <w:pStyle w:val="TableParagraph"/>
              <w:spacing w:line="183" w:lineRule="exact"/>
              <w:ind w:left="118" w:right="2"/>
              <w:jc w:val="center"/>
              <w:rPr>
                <w:sz w:val="15"/>
              </w:rPr>
            </w:pPr>
            <w:r>
              <w:rPr>
                <w:sz w:val="15"/>
              </w:rPr>
              <w:t>22</w:t>
            </w:r>
          </w:p>
        </w:tc>
        <w:tc>
          <w:tcPr>
            <w:tcW w:w="573" w:type="dxa"/>
            <w:shd w:val="clear" w:color="auto" w:fill="A7B1D3"/>
          </w:tcPr>
          <w:p>
            <w:pPr>
              <w:pStyle w:val="TableParagraph"/>
              <w:spacing w:line="183" w:lineRule="exact" w:before="70"/>
              <w:ind w:left="122" w:right="2"/>
              <w:jc w:val="center"/>
              <w:rPr>
                <w:sz w:val="15"/>
              </w:rPr>
            </w:pPr>
            <w:r>
              <w:rPr>
                <w:sz w:val="15"/>
              </w:rPr>
              <w:t>2022–</w:t>
            </w:r>
          </w:p>
          <w:p>
            <w:pPr>
              <w:pStyle w:val="TableParagraph"/>
              <w:spacing w:line="183" w:lineRule="exact"/>
              <w:ind w:left="119" w:right="2"/>
              <w:jc w:val="center"/>
              <w:rPr>
                <w:sz w:val="15"/>
              </w:rPr>
            </w:pPr>
            <w:r>
              <w:rPr>
                <w:sz w:val="15"/>
              </w:rPr>
              <w:t>23</w:t>
            </w:r>
          </w:p>
        </w:tc>
        <w:tc>
          <w:tcPr>
            <w:tcW w:w="573" w:type="dxa"/>
            <w:shd w:val="clear" w:color="auto" w:fill="A7B1D3"/>
          </w:tcPr>
          <w:p>
            <w:pPr>
              <w:pStyle w:val="TableParagraph"/>
              <w:spacing w:line="183" w:lineRule="exact" w:before="70"/>
              <w:ind w:left="123" w:right="2"/>
              <w:jc w:val="center"/>
              <w:rPr>
                <w:sz w:val="15"/>
              </w:rPr>
            </w:pPr>
            <w:r>
              <w:rPr>
                <w:sz w:val="15"/>
              </w:rPr>
              <w:t>2023–</w:t>
            </w:r>
          </w:p>
          <w:p>
            <w:pPr>
              <w:pStyle w:val="TableParagraph"/>
              <w:spacing w:line="183" w:lineRule="exact"/>
              <w:ind w:left="120" w:right="2"/>
              <w:jc w:val="center"/>
              <w:rPr>
                <w:sz w:val="15"/>
              </w:rPr>
            </w:pPr>
            <w:r>
              <w:rPr>
                <w:sz w:val="15"/>
              </w:rPr>
              <w:t>24</w:t>
            </w:r>
          </w:p>
        </w:tc>
        <w:tc>
          <w:tcPr>
            <w:tcW w:w="575" w:type="dxa"/>
            <w:shd w:val="clear" w:color="auto" w:fill="A7B1D3"/>
          </w:tcPr>
          <w:p>
            <w:pPr>
              <w:pStyle w:val="TableParagraph"/>
              <w:spacing w:line="183" w:lineRule="exact" w:before="70"/>
              <w:ind w:left="130" w:right="5"/>
              <w:jc w:val="center"/>
              <w:rPr>
                <w:sz w:val="15"/>
              </w:rPr>
            </w:pPr>
            <w:r>
              <w:rPr>
                <w:sz w:val="15"/>
              </w:rPr>
              <w:t>2024–</w:t>
            </w:r>
          </w:p>
          <w:p>
            <w:pPr>
              <w:pStyle w:val="TableParagraph"/>
              <w:spacing w:line="183" w:lineRule="exact"/>
              <w:ind w:left="127" w:right="5"/>
              <w:jc w:val="center"/>
              <w:rPr>
                <w:sz w:val="15"/>
              </w:rPr>
            </w:pPr>
            <w:r>
              <w:rPr>
                <w:sz w:val="15"/>
              </w:rPr>
              <w:t>25</w:t>
            </w:r>
          </w:p>
        </w:tc>
        <w:tc>
          <w:tcPr>
            <w:tcW w:w="573" w:type="dxa"/>
            <w:shd w:val="clear" w:color="auto" w:fill="A7B1D3"/>
          </w:tcPr>
          <w:p>
            <w:pPr>
              <w:pStyle w:val="TableParagraph"/>
              <w:spacing w:line="183" w:lineRule="exact" w:before="70"/>
              <w:ind w:left="125"/>
              <w:jc w:val="center"/>
              <w:rPr>
                <w:sz w:val="15"/>
              </w:rPr>
            </w:pPr>
            <w:r>
              <w:rPr>
                <w:sz w:val="15"/>
              </w:rPr>
              <w:t>2025–</w:t>
            </w:r>
          </w:p>
          <w:p>
            <w:pPr>
              <w:pStyle w:val="TableParagraph"/>
              <w:spacing w:line="183" w:lineRule="exact"/>
              <w:ind w:left="123" w:right="2"/>
              <w:jc w:val="center"/>
              <w:rPr>
                <w:sz w:val="15"/>
              </w:rPr>
            </w:pPr>
            <w:r>
              <w:rPr>
                <w:sz w:val="15"/>
              </w:rPr>
              <w:t>26</w:t>
            </w:r>
          </w:p>
        </w:tc>
        <w:tc>
          <w:tcPr>
            <w:tcW w:w="573" w:type="dxa"/>
            <w:shd w:val="clear" w:color="auto" w:fill="A7B1D3"/>
          </w:tcPr>
          <w:p>
            <w:pPr>
              <w:pStyle w:val="TableParagraph"/>
              <w:spacing w:line="183" w:lineRule="exact" w:before="70"/>
              <w:ind w:left="128" w:right="2"/>
              <w:jc w:val="center"/>
              <w:rPr>
                <w:sz w:val="15"/>
              </w:rPr>
            </w:pPr>
            <w:r>
              <w:rPr>
                <w:sz w:val="15"/>
              </w:rPr>
              <w:t>2026–</w:t>
            </w:r>
          </w:p>
          <w:p>
            <w:pPr>
              <w:pStyle w:val="TableParagraph"/>
              <w:spacing w:line="183" w:lineRule="exact"/>
              <w:ind w:left="125" w:right="2"/>
              <w:jc w:val="center"/>
              <w:rPr>
                <w:sz w:val="15"/>
              </w:rPr>
            </w:pPr>
            <w:r>
              <w:rPr>
                <w:sz w:val="15"/>
              </w:rPr>
              <w:t>27</w:t>
            </w:r>
          </w:p>
        </w:tc>
        <w:tc>
          <w:tcPr>
            <w:tcW w:w="573" w:type="dxa"/>
            <w:shd w:val="clear" w:color="auto" w:fill="A7B1D3"/>
          </w:tcPr>
          <w:p>
            <w:pPr>
              <w:pStyle w:val="TableParagraph"/>
              <w:spacing w:line="183" w:lineRule="exact" w:before="70"/>
              <w:ind w:left="129" w:right="2"/>
              <w:jc w:val="center"/>
              <w:rPr>
                <w:sz w:val="15"/>
              </w:rPr>
            </w:pPr>
            <w:r>
              <w:rPr>
                <w:sz w:val="15"/>
              </w:rPr>
              <w:t>2027–</w:t>
            </w:r>
          </w:p>
          <w:p>
            <w:pPr>
              <w:pStyle w:val="TableParagraph"/>
              <w:spacing w:line="183" w:lineRule="exact"/>
              <w:ind w:left="125" w:right="1"/>
              <w:jc w:val="center"/>
              <w:rPr>
                <w:sz w:val="15"/>
              </w:rPr>
            </w:pPr>
            <w:r>
              <w:rPr>
                <w:sz w:val="15"/>
              </w:rPr>
              <w:t>28</w:t>
            </w:r>
          </w:p>
        </w:tc>
        <w:tc>
          <w:tcPr>
            <w:tcW w:w="573" w:type="dxa"/>
            <w:shd w:val="clear" w:color="auto" w:fill="A7B1D3"/>
          </w:tcPr>
          <w:p>
            <w:pPr>
              <w:pStyle w:val="TableParagraph"/>
              <w:spacing w:line="183" w:lineRule="exact" w:before="70"/>
              <w:ind w:left="130" w:right="2"/>
              <w:jc w:val="center"/>
              <w:rPr>
                <w:sz w:val="15"/>
              </w:rPr>
            </w:pPr>
            <w:r>
              <w:rPr>
                <w:sz w:val="15"/>
              </w:rPr>
              <w:t>2028–</w:t>
            </w:r>
          </w:p>
          <w:p>
            <w:pPr>
              <w:pStyle w:val="TableParagraph"/>
              <w:spacing w:line="183" w:lineRule="exact"/>
              <w:ind w:left="125"/>
              <w:jc w:val="center"/>
              <w:rPr>
                <w:sz w:val="15"/>
              </w:rPr>
            </w:pPr>
            <w:r>
              <w:rPr>
                <w:sz w:val="15"/>
              </w:rPr>
              <w:t>29</w:t>
            </w:r>
          </w:p>
        </w:tc>
        <w:tc>
          <w:tcPr>
            <w:tcW w:w="573" w:type="dxa"/>
            <w:shd w:val="clear" w:color="auto" w:fill="A7B1D3"/>
          </w:tcPr>
          <w:p>
            <w:pPr>
              <w:pStyle w:val="TableParagraph"/>
              <w:spacing w:line="183" w:lineRule="exact" w:before="70"/>
              <w:ind w:left="130" w:right="1"/>
              <w:jc w:val="center"/>
              <w:rPr>
                <w:sz w:val="15"/>
              </w:rPr>
            </w:pPr>
            <w:r>
              <w:rPr>
                <w:sz w:val="15"/>
              </w:rPr>
              <w:t>2029–</w:t>
            </w:r>
          </w:p>
          <w:p>
            <w:pPr>
              <w:pStyle w:val="TableParagraph"/>
              <w:spacing w:line="183" w:lineRule="exact"/>
              <w:ind w:left="128" w:right="2"/>
              <w:jc w:val="center"/>
              <w:rPr>
                <w:sz w:val="15"/>
              </w:rPr>
            </w:pPr>
            <w:r>
              <w:rPr>
                <w:sz w:val="15"/>
              </w:rPr>
              <w:t>30</w:t>
            </w:r>
          </w:p>
        </w:tc>
        <w:tc>
          <w:tcPr>
            <w:tcW w:w="710" w:type="dxa"/>
            <w:shd w:val="clear" w:color="auto" w:fill="A7B1D3"/>
          </w:tcPr>
          <w:p>
            <w:pPr>
              <w:pStyle w:val="TableParagraph"/>
              <w:spacing w:before="70"/>
              <w:ind w:left="136" w:right="3" w:firstLine="43"/>
              <w:jc w:val="left"/>
              <w:rPr>
                <w:b/>
                <w:sz w:val="15"/>
              </w:rPr>
            </w:pPr>
            <w:r>
              <w:rPr>
                <w:b/>
                <w:sz w:val="15"/>
              </w:rPr>
              <w:t>Total to 2022–23</w:t>
            </w:r>
          </w:p>
        </w:tc>
        <w:tc>
          <w:tcPr>
            <w:tcW w:w="698" w:type="dxa"/>
            <w:shd w:val="clear" w:color="auto" w:fill="A7B1D3"/>
          </w:tcPr>
          <w:p>
            <w:pPr>
              <w:pStyle w:val="TableParagraph"/>
              <w:spacing w:before="70"/>
              <w:ind w:left="124" w:right="3" w:firstLine="43"/>
              <w:jc w:val="left"/>
              <w:rPr>
                <w:b/>
                <w:sz w:val="15"/>
              </w:rPr>
            </w:pPr>
            <w:r>
              <w:rPr>
                <w:b/>
                <w:sz w:val="15"/>
              </w:rPr>
              <w:t>Total to 2029–30</w:t>
            </w:r>
          </w:p>
        </w:tc>
      </w:tr>
      <w:tr>
        <w:trPr>
          <w:trHeight w:val="323" w:hRule="atLeast"/>
        </w:trPr>
        <w:tc>
          <w:tcPr>
            <w:tcW w:w="10060" w:type="dxa"/>
            <w:gridSpan w:val="14"/>
            <w:shd w:val="clear" w:color="auto" w:fill="D2D7E9"/>
          </w:tcPr>
          <w:p>
            <w:pPr>
              <w:pStyle w:val="TableParagraph"/>
              <w:spacing w:before="68"/>
              <w:ind w:left="50"/>
              <w:jc w:val="left"/>
              <w:rPr>
                <w:b/>
                <w:sz w:val="15"/>
              </w:rPr>
            </w:pPr>
            <w:r>
              <w:rPr>
                <w:b/>
                <w:sz w:val="15"/>
              </w:rPr>
              <w:t>Tax revenue</w:t>
            </w:r>
          </w:p>
        </w:tc>
      </w:tr>
      <w:tr>
        <w:trPr>
          <w:trHeight w:val="323" w:hRule="atLeast"/>
        </w:trPr>
        <w:tc>
          <w:tcPr>
            <w:tcW w:w="10060" w:type="dxa"/>
            <w:gridSpan w:val="14"/>
            <w:shd w:val="clear" w:color="auto" w:fill="F1F1F1"/>
          </w:tcPr>
          <w:p>
            <w:pPr>
              <w:pStyle w:val="TableParagraph"/>
              <w:spacing w:before="68"/>
              <w:ind w:left="50"/>
              <w:jc w:val="left"/>
              <w:rPr>
                <w:i/>
                <w:sz w:val="15"/>
              </w:rPr>
            </w:pPr>
            <w:r>
              <w:rPr>
                <w:i/>
                <w:sz w:val="15"/>
              </w:rPr>
              <w:t>Administered tax</w:t>
            </w:r>
          </w:p>
        </w:tc>
      </w:tr>
      <w:tr>
        <w:trPr>
          <w:trHeight w:val="505" w:hRule="atLeast"/>
        </w:trPr>
        <w:tc>
          <w:tcPr>
            <w:tcW w:w="2347" w:type="dxa"/>
          </w:tcPr>
          <w:p>
            <w:pPr>
              <w:pStyle w:val="TableParagraph"/>
              <w:spacing w:line="183" w:lineRule="exact" w:before="68"/>
              <w:ind w:left="50"/>
              <w:jc w:val="left"/>
              <w:rPr>
                <w:i/>
                <w:sz w:val="15"/>
              </w:rPr>
            </w:pPr>
            <w:r>
              <w:rPr>
                <w:i/>
                <w:sz w:val="15"/>
              </w:rPr>
              <w:t>Increase the tax threshold from</w:t>
            </w:r>
          </w:p>
          <w:p>
            <w:pPr>
              <w:pStyle w:val="TableParagraph"/>
              <w:spacing w:line="183" w:lineRule="exact"/>
              <w:ind w:left="50"/>
              <w:jc w:val="left"/>
              <w:rPr>
                <w:i/>
                <w:sz w:val="15"/>
              </w:rPr>
            </w:pPr>
            <w:r>
              <w:rPr>
                <w:i/>
                <w:sz w:val="15"/>
              </w:rPr>
              <w:t>$90,000 to $120,000</w:t>
            </w:r>
          </w:p>
        </w:tc>
        <w:tc>
          <w:tcPr>
            <w:tcW w:w="573" w:type="dxa"/>
          </w:tcPr>
          <w:p>
            <w:pPr>
              <w:pStyle w:val="TableParagraph"/>
              <w:jc w:val="left"/>
              <w:rPr>
                <w:b/>
                <w:sz w:val="13"/>
              </w:rPr>
            </w:pPr>
          </w:p>
          <w:p>
            <w:pPr>
              <w:pStyle w:val="TableParagraph"/>
              <w:ind w:right="27"/>
              <w:rPr>
                <w:i/>
                <w:sz w:val="15"/>
              </w:rPr>
            </w:pPr>
            <w:r>
              <w:rPr>
                <w:i/>
                <w:w w:val="100"/>
                <w:sz w:val="15"/>
              </w:rPr>
              <w:t>-</w:t>
            </w:r>
          </w:p>
        </w:tc>
        <w:tc>
          <w:tcPr>
            <w:tcW w:w="573" w:type="dxa"/>
          </w:tcPr>
          <w:p>
            <w:pPr>
              <w:pStyle w:val="TableParagraph"/>
              <w:jc w:val="left"/>
              <w:rPr>
                <w:b/>
                <w:sz w:val="13"/>
              </w:rPr>
            </w:pPr>
          </w:p>
          <w:p>
            <w:pPr>
              <w:pStyle w:val="TableParagraph"/>
              <w:ind w:right="26"/>
              <w:rPr>
                <w:i/>
                <w:sz w:val="15"/>
              </w:rPr>
            </w:pPr>
            <w:r>
              <w:rPr>
                <w:i/>
                <w:w w:val="100"/>
                <w:sz w:val="15"/>
              </w:rPr>
              <w:t>-</w:t>
            </w:r>
          </w:p>
        </w:tc>
        <w:tc>
          <w:tcPr>
            <w:tcW w:w="573" w:type="dxa"/>
          </w:tcPr>
          <w:p>
            <w:pPr>
              <w:pStyle w:val="TableParagraph"/>
              <w:jc w:val="left"/>
              <w:rPr>
                <w:b/>
                <w:sz w:val="13"/>
              </w:rPr>
            </w:pPr>
          </w:p>
          <w:p>
            <w:pPr>
              <w:pStyle w:val="TableParagraph"/>
              <w:ind w:right="24"/>
              <w:rPr>
                <w:i/>
                <w:sz w:val="15"/>
              </w:rPr>
            </w:pPr>
            <w:r>
              <w:rPr>
                <w:i/>
                <w:sz w:val="15"/>
              </w:rPr>
              <w:t>-3,350</w:t>
            </w:r>
          </w:p>
        </w:tc>
        <w:tc>
          <w:tcPr>
            <w:tcW w:w="573" w:type="dxa"/>
          </w:tcPr>
          <w:p>
            <w:pPr>
              <w:pStyle w:val="TableParagraph"/>
              <w:jc w:val="left"/>
              <w:rPr>
                <w:b/>
                <w:sz w:val="13"/>
              </w:rPr>
            </w:pPr>
          </w:p>
          <w:p>
            <w:pPr>
              <w:pStyle w:val="TableParagraph"/>
              <w:ind w:right="23"/>
              <w:rPr>
                <w:i/>
                <w:sz w:val="15"/>
              </w:rPr>
            </w:pPr>
            <w:r>
              <w:rPr>
                <w:i/>
                <w:sz w:val="15"/>
              </w:rPr>
              <w:t>-290</w:t>
            </w:r>
          </w:p>
        </w:tc>
        <w:tc>
          <w:tcPr>
            <w:tcW w:w="573" w:type="dxa"/>
          </w:tcPr>
          <w:p>
            <w:pPr>
              <w:pStyle w:val="TableParagraph"/>
              <w:jc w:val="left"/>
              <w:rPr>
                <w:b/>
                <w:sz w:val="13"/>
              </w:rPr>
            </w:pPr>
          </w:p>
          <w:p>
            <w:pPr>
              <w:pStyle w:val="TableParagraph"/>
              <w:ind w:right="23"/>
              <w:rPr>
                <w:i/>
                <w:sz w:val="15"/>
              </w:rPr>
            </w:pPr>
            <w:r>
              <w:rPr>
                <w:i/>
                <w:sz w:val="15"/>
              </w:rPr>
              <w:t>-40</w:t>
            </w:r>
          </w:p>
        </w:tc>
        <w:tc>
          <w:tcPr>
            <w:tcW w:w="575" w:type="dxa"/>
          </w:tcPr>
          <w:p>
            <w:pPr>
              <w:pStyle w:val="TableParagraph"/>
              <w:jc w:val="left"/>
              <w:rPr>
                <w:b/>
                <w:sz w:val="13"/>
              </w:rPr>
            </w:pPr>
          </w:p>
          <w:p>
            <w:pPr>
              <w:pStyle w:val="TableParagraph"/>
              <w:ind w:right="24"/>
              <w:rPr>
                <w:i/>
                <w:sz w:val="15"/>
              </w:rPr>
            </w:pPr>
            <w:r>
              <w:rPr>
                <w:i/>
                <w:sz w:val="15"/>
              </w:rPr>
              <w:t>..</w:t>
            </w:r>
          </w:p>
        </w:tc>
        <w:tc>
          <w:tcPr>
            <w:tcW w:w="573" w:type="dxa"/>
          </w:tcPr>
          <w:p>
            <w:pPr>
              <w:pStyle w:val="TableParagraph"/>
              <w:jc w:val="left"/>
              <w:rPr>
                <w:b/>
                <w:sz w:val="13"/>
              </w:rPr>
            </w:pPr>
          </w:p>
          <w:p>
            <w:pPr>
              <w:pStyle w:val="TableParagraph"/>
              <w:ind w:right="23"/>
              <w:rPr>
                <w:i/>
                <w:sz w:val="15"/>
              </w:rPr>
            </w:pPr>
            <w:r>
              <w:rPr>
                <w:i/>
                <w:w w:val="100"/>
                <w:sz w:val="15"/>
              </w:rPr>
              <w:t>-</w:t>
            </w:r>
          </w:p>
        </w:tc>
        <w:tc>
          <w:tcPr>
            <w:tcW w:w="573" w:type="dxa"/>
          </w:tcPr>
          <w:p>
            <w:pPr>
              <w:pStyle w:val="TableParagraph"/>
              <w:jc w:val="left"/>
              <w:rPr>
                <w:b/>
                <w:sz w:val="13"/>
              </w:rPr>
            </w:pPr>
          </w:p>
          <w:p>
            <w:pPr>
              <w:pStyle w:val="TableParagraph"/>
              <w:ind w:right="22"/>
              <w:rPr>
                <w:i/>
                <w:sz w:val="15"/>
              </w:rPr>
            </w:pPr>
            <w:r>
              <w:rPr>
                <w:i/>
                <w:w w:val="100"/>
                <w:sz w:val="15"/>
              </w:rPr>
              <w:t>-</w:t>
            </w:r>
          </w:p>
        </w:tc>
        <w:tc>
          <w:tcPr>
            <w:tcW w:w="573" w:type="dxa"/>
          </w:tcPr>
          <w:p>
            <w:pPr>
              <w:pStyle w:val="TableParagraph"/>
              <w:jc w:val="left"/>
              <w:rPr>
                <w:b/>
                <w:sz w:val="13"/>
              </w:rPr>
            </w:pPr>
          </w:p>
          <w:p>
            <w:pPr>
              <w:pStyle w:val="TableParagraph"/>
              <w:ind w:right="22"/>
              <w:rPr>
                <w:i/>
                <w:sz w:val="15"/>
              </w:rPr>
            </w:pPr>
            <w:r>
              <w:rPr>
                <w:i/>
                <w:w w:val="100"/>
                <w:sz w:val="15"/>
              </w:rPr>
              <w:t>-</w:t>
            </w:r>
          </w:p>
        </w:tc>
        <w:tc>
          <w:tcPr>
            <w:tcW w:w="573" w:type="dxa"/>
          </w:tcPr>
          <w:p>
            <w:pPr>
              <w:pStyle w:val="TableParagraph"/>
              <w:jc w:val="left"/>
              <w:rPr>
                <w:b/>
                <w:sz w:val="13"/>
              </w:rPr>
            </w:pPr>
          </w:p>
          <w:p>
            <w:pPr>
              <w:pStyle w:val="TableParagraph"/>
              <w:ind w:right="21"/>
              <w:rPr>
                <w:i/>
                <w:sz w:val="15"/>
              </w:rPr>
            </w:pPr>
            <w:r>
              <w:rPr>
                <w:i/>
                <w:w w:val="100"/>
                <w:sz w:val="15"/>
              </w:rPr>
              <w:t>-</w:t>
            </w:r>
          </w:p>
        </w:tc>
        <w:tc>
          <w:tcPr>
            <w:tcW w:w="573" w:type="dxa"/>
          </w:tcPr>
          <w:p>
            <w:pPr>
              <w:pStyle w:val="TableParagraph"/>
              <w:jc w:val="left"/>
              <w:rPr>
                <w:b/>
                <w:sz w:val="13"/>
              </w:rPr>
            </w:pPr>
          </w:p>
          <w:p>
            <w:pPr>
              <w:pStyle w:val="TableParagraph"/>
              <w:ind w:right="20"/>
              <w:rPr>
                <w:i/>
                <w:sz w:val="15"/>
              </w:rPr>
            </w:pPr>
            <w:r>
              <w:rPr>
                <w:i/>
                <w:w w:val="100"/>
                <w:sz w:val="15"/>
              </w:rPr>
              <w:t>-</w:t>
            </w:r>
          </w:p>
        </w:tc>
        <w:tc>
          <w:tcPr>
            <w:tcW w:w="710" w:type="dxa"/>
          </w:tcPr>
          <w:p>
            <w:pPr>
              <w:pStyle w:val="TableParagraph"/>
              <w:jc w:val="left"/>
              <w:rPr>
                <w:b/>
                <w:sz w:val="13"/>
              </w:rPr>
            </w:pPr>
          </w:p>
          <w:p>
            <w:pPr>
              <w:pStyle w:val="TableParagraph"/>
              <w:ind w:right="18"/>
              <w:rPr>
                <w:b/>
                <w:i/>
                <w:sz w:val="15"/>
              </w:rPr>
            </w:pPr>
            <w:r>
              <w:rPr>
                <w:b/>
                <w:i/>
                <w:sz w:val="15"/>
              </w:rPr>
              <w:t>-3,650</w:t>
            </w:r>
          </w:p>
        </w:tc>
        <w:tc>
          <w:tcPr>
            <w:tcW w:w="698" w:type="dxa"/>
          </w:tcPr>
          <w:p>
            <w:pPr>
              <w:pStyle w:val="TableParagraph"/>
              <w:jc w:val="left"/>
              <w:rPr>
                <w:b/>
                <w:sz w:val="13"/>
              </w:rPr>
            </w:pPr>
          </w:p>
          <w:p>
            <w:pPr>
              <w:pStyle w:val="TableParagraph"/>
              <w:ind w:right="18"/>
              <w:rPr>
                <w:b/>
                <w:i/>
                <w:sz w:val="15"/>
              </w:rPr>
            </w:pPr>
            <w:r>
              <w:rPr>
                <w:b/>
                <w:i/>
                <w:sz w:val="15"/>
              </w:rPr>
              <w:t>-3,690</w:t>
            </w:r>
          </w:p>
        </w:tc>
      </w:tr>
      <w:tr>
        <w:trPr>
          <w:trHeight w:val="505" w:hRule="atLeast"/>
        </w:trPr>
        <w:tc>
          <w:tcPr>
            <w:tcW w:w="2347" w:type="dxa"/>
          </w:tcPr>
          <w:p>
            <w:pPr>
              <w:pStyle w:val="TableParagraph"/>
              <w:spacing w:before="68"/>
              <w:ind w:left="50"/>
              <w:jc w:val="left"/>
              <w:rPr>
                <w:i/>
                <w:sz w:val="15"/>
              </w:rPr>
            </w:pPr>
            <w:r>
              <w:rPr>
                <w:i/>
                <w:sz w:val="15"/>
              </w:rPr>
              <w:t>Increase the tax threshold from</w:t>
            </w:r>
          </w:p>
          <w:p>
            <w:pPr>
              <w:pStyle w:val="TableParagraph"/>
              <w:spacing w:before="1"/>
              <w:ind w:left="50"/>
              <w:jc w:val="left"/>
              <w:rPr>
                <w:i/>
                <w:sz w:val="15"/>
              </w:rPr>
            </w:pPr>
            <w:r>
              <w:rPr>
                <w:i/>
                <w:sz w:val="15"/>
              </w:rPr>
              <w:t>$37,000 to $45,000</w:t>
            </w:r>
          </w:p>
        </w:tc>
        <w:tc>
          <w:tcPr>
            <w:tcW w:w="573" w:type="dxa"/>
          </w:tcPr>
          <w:p>
            <w:pPr>
              <w:pStyle w:val="TableParagraph"/>
              <w:jc w:val="left"/>
              <w:rPr>
                <w:b/>
                <w:sz w:val="13"/>
              </w:rPr>
            </w:pPr>
          </w:p>
          <w:p>
            <w:pPr>
              <w:pStyle w:val="TableParagraph"/>
              <w:ind w:right="27"/>
              <w:rPr>
                <w:i/>
                <w:sz w:val="15"/>
              </w:rPr>
            </w:pPr>
            <w:r>
              <w:rPr>
                <w:i/>
                <w:w w:val="100"/>
                <w:sz w:val="15"/>
              </w:rPr>
              <w:t>-</w:t>
            </w:r>
          </w:p>
        </w:tc>
        <w:tc>
          <w:tcPr>
            <w:tcW w:w="573" w:type="dxa"/>
          </w:tcPr>
          <w:p>
            <w:pPr>
              <w:pStyle w:val="TableParagraph"/>
              <w:jc w:val="left"/>
              <w:rPr>
                <w:b/>
                <w:sz w:val="13"/>
              </w:rPr>
            </w:pPr>
          </w:p>
          <w:p>
            <w:pPr>
              <w:pStyle w:val="TableParagraph"/>
              <w:ind w:right="26"/>
              <w:rPr>
                <w:i/>
                <w:sz w:val="15"/>
              </w:rPr>
            </w:pPr>
            <w:r>
              <w:rPr>
                <w:i/>
                <w:w w:val="100"/>
                <w:sz w:val="15"/>
              </w:rPr>
              <w:t>-</w:t>
            </w:r>
          </w:p>
        </w:tc>
        <w:tc>
          <w:tcPr>
            <w:tcW w:w="573" w:type="dxa"/>
          </w:tcPr>
          <w:p>
            <w:pPr>
              <w:pStyle w:val="TableParagraph"/>
              <w:jc w:val="left"/>
              <w:rPr>
                <w:b/>
                <w:sz w:val="13"/>
              </w:rPr>
            </w:pPr>
          </w:p>
          <w:p>
            <w:pPr>
              <w:pStyle w:val="TableParagraph"/>
              <w:ind w:right="24"/>
              <w:rPr>
                <w:i/>
                <w:sz w:val="15"/>
              </w:rPr>
            </w:pPr>
            <w:r>
              <w:rPr>
                <w:i/>
                <w:sz w:val="15"/>
              </w:rPr>
              <w:t>-9,390</w:t>
            </w:r>
          </w:p>
        </w:tc>
        <w:tc>
          <w:tcPr>
            <w:tcW w:w="573" w:type="dxa"/>
          </w:tcPr>
          <w:p>
            <w:pPr>
              <w:pStyle w:val="TableParagraph"/>
              <w:jc w:val="left"/>
              <w:rPr>
                <w:b/>
                <w:sz w:val="13"/>
              </w:rPr>
            </w:pPr>
          </w:p>
          <w:p>
            <w:pPr>
              <w:pStyle w:val="TableParagraph"/>
              <w:ind w:right="23"/>
              <w:rPr>
                <w:i/>
                <w:sz w:val="15"/>
              </w:rPr>
            </w:pPr>
            <w:r>
              <w:rPr>
                <w:i/>
                <w:sz w:val="15"/>
              </w:rPr>
              <w:t>-800</w:t>
            </w:r>
          </w:p>
        </w:tc>
        <w:tc>
          <w:tcPr>
            <w:tcW w:w="573" w:type="dxa"/>
          </w:tcPr>
          <w:p>
            <w:pPr>
              <w:pStyle w:val="TableParagraph"/>
              <w:jc w:val="left"/>
              <w:rPr>
                <w:b/>
                <w:sz w:val="13"/>
              </w:rPr>
            </w:pPr>
          </w:p>
          <w:p>
            <w:pPr>
              <w:pStyle w:val="TableParagraph"/>
              <w:ind w:right="23"/>
              <w:rPr>
                <w:i/>
                <w:sz w:val="15"/>
              </w:rPr>
            </w:pPr>
            <w:r>
              <w:rPr>
                <w:i/>
                <w:sz w:val="15"/>
              </w:rPr>
              <w:t>-100</w:t>
            </w:r>
          </w:p>
        </w:tc>
        <w:tc>
          <w:tcPr>
            <w:tcW w:w="575" w:type="dxa"/>
          </w:tcPr>
          <w:p>
            <w:pPr>
              <w:pStyle w:val="TableParagraph"/>
              <w:jc w:val="left"/>
              <w:rPr>
                <w:b/>
                <w:sz w:val="13"/>
              </w:rPr>
            </w:pPr>
          </w:p>
          <w:p>
            <w:pPr>
              <w:pStyle w:val="TableParagraph"/>
              <w:ind w:right="24"/>
              <w:rPr>
                <w:i/>
                <w:sz w:val="15"/>
              </w:rPr>
            </w:pPr>
            <w:r>
              <w:rPr>
                <w:i/>
                <w:sz w:val="15"/>
              </w:rPr>
              <w:t>..</w:t>
            </w:r>
          </w:p>
        </w:tc>
        <w:tc>
          <w:tcPr>
            <w:tcW w:w="573" w:type="dxa"/>
          </w:tcPr>
          <w:p>
            <w:pPr>
              <w:pStyle w:val="TableParagraph"/>
              <w:jc w:val="left"/>
              <w:rPr>
                <w:b/>
                <w:sz w:val="13"/>
              </w:rPr>
            </w:pPr>
          </w:p>
          <w:p>
            <w:pPr>
              <w:pStyle w:val="TableParagraph"/>
              <w:ind w:right="23"/>
              <w:rPr>
                <w:i/>
                <w:sz w:val="15"/>
              </w:rPr>
            </w:pPr>
            <w:r>
              <w:rPr>
                <w:i/>
                <w:w w:val="100"/>
                <w:sz w:val="15"/>
              </w:rPr>
              <w:t>-</w:t>
            </w:r>
          </w:p>
        </w:tc>
        <w:tc>
          <w:tcPr>
            <w:tcW w:w="573" w:type="dxa"/>
          </w:tcPr>
          <w:p>
            <w:pPr>
              <w:pStyle w:val="TableParagraph"/>
              <w:jc w:val="left"/>
              <w:rPr>
                <w:b/>
                <w:sz w:val="13"/>
              </w:rPr>
            </w:pPr>
          </w:p>
          <w:p>
            <w:pPr>
              <w:pStyle w:val="TableParagraph"/>
              <w:ind w:right="22"/>
              <w:rPr>
                <w:i/>
                <w:sz w:val="15"/>
              </w:rPr>
            </w:pPr>
            <w:r>
              <w:rPr>
                <w:i/>
                <w:w w:val="100"/>
                <w:sz w:val="15"/>
              </w:rPr>
              <w:t>-</w:t>
            </w:r>
          </w:p>
        </w:tc>
        <w:tc>
          <w:tcPr>
            <w:tcW w:w="573" w:type="dxa"/>
          </w:tcPr>
          <w:p>
            <w:pPr>
              <w:pStyle w:val="TableParagraph"/>
              <w:jc w:val="left"/>
              <w:rPr>
                <w:b/>
                <w:sz w:val="13"/>
              </w:rPr>
            </w:pPr>
          </w:p>
          <w:p>
            <w:pPr>
              <w:pStyle w:val="TableParagraph"/>
              <w:ind w:right="22"/>
              <w:rPr>
                <w:i/>
                <w:sz w:val="15"/>
              </w:rPr>
            </w:pPr>
            <w:r>
              <w:rPr>
                <w:i/>
                <w:w w:val="100"/>
                <w:sz w:val="15"/>
              </w:rPr>
              <w:t>-</w:t>
            </w:r>
          </w:p>
        </w:tc>
        <w:tc>
          <w:tcPr>
            <w:tcW w:w="573" w:type="dxa"/>
          </w:tcPr>
          <w:p>
            <w:pPr>
              <w:pStyle w:val="TableParagraph"/>
              <w:jc w:val="left"/>
              <w:rPr>
                <w:b/>
                <w:sz w:val="13"/>
              </w:rPr>
            </w:pPr>
          </w:p>
          <w:p>
            <w:pPr>
              <w:pStyle w:val="TableParagraph"/>
              <w:ind w:right="21"/>
              <w:rPr>
                <w:i/>
                <w:sz w:val="15"/>
              </w:rPr>
            </w:pPr>
            <w:r>
              <w:rPr>
                <w:i/>
                <w:w w:val="100"/>
                <w:sz w:val="15"/>
              </w:rPr>
              <w:t>-</w:t>
            </w:r>
          </w:p>
        </w:tc>
        <w:tc>
          <w:tcPr>
            <w:tcW w:w="573" w:type="dxa"/>
          </w:tcPr>
          <w:p>
            <w:pPr>
              <w:pStyle w:val="TableParagraph"/>
              <w:jc w:val="left"/>
              <w:rPr>
                <w:b/>
                <w:sz w:val="13"/>
              </w:rPr>
            </w:pPr>
          </w:p>
          <w:p>
            <w:pPr>
              <w:pStyle w:val="TableParagraph"/>
              <w:ind w:right="20"/>
              <w:rPr>
                <w:i/>
                <w:sz w:val="15"/>
              </w:rPr>
            </w:pPr>
            <w:r>
              <w:rPr>
                <w:i/>
                <w:w w:val="100"/>
                <w:sz w:val="15"/>
              </w:rPr>
              <w:t>-</w:t>
            </w:r>
          </w:p>
        </w:tc>
        <w:tc>
          <w:tcPr>
            <w:tcW w:w="710" w:type="dxa"/>
          </w:tcPr>
          <w:p>
            <w:pPr>
              <w:pStyle w:val="TableParagraph"/>
              <w:jc w:val="left"/>
              <w:rPr>
                <w:b/>
                <w:sz w:val="13"/>
              </w:rPr>
            </w:pPr>
          </w:p>
          <w:p>
            <w:pPr>
              <w:pStyle w:val="TableParagraph"/>
              <w:ind w:right="18"/>
              <w:rPr>
                <w:b/>
                <w:i/>
                <w:sz w:val="15"/>
              </w:rPr>
            </w:pPr>
            <w:r>
              <w:rPr>
                <w:b/>
                <w:i/>
                <w:sz w:val="15"/>
              </w:rPr>
              <w:t>-10,190</w:t>
            </w:r>
          </w:p>
        </w:tc>
        <w:tc>
          <w:tcPr>
            <w:tcW w:w="698" w:type="dxa"/>
          </w:tcPr>
          <w:p>
            <w:pPr>
              <w:pStyle w:val="TableParagraph"/>
              <w:jc w:val="left"/>
              <w:rPr>
                <w:b/>
                <w:sz w:val="13"/>
              </w:rPr>
            </w:pPr>
          </w:p>
          <w:p>
            <w:pPr>
              <w:pStyle w:val="TableParagraph"/>
              <w:ind w:right="18"/>
              <w:rPr>
                <w:b/>
                <w:i/>
                <w:sz w:val="15"/>
              </w:rPr>
            </w:pPr>
            <w:r>
              <w:rPr>
                <w:b/>
                <w:i/>
                <w:sz w:val="15"/>
              </w:rPr>
              <w:t>-10,290</w:t>
            </w:r>
          </w:p>
        </w:tc>
      </w:tr>
      <w:tr>
        <w:trPr>
          <w:trHeight w:val="505" w:hRule="atLeast"/>
        </w:trPr>
        <w:tc>
          <w:tcPr>
            <w:tcW w:w="2347" w:type="dxa"/>
          </w:tcPr>
          <w:p>
            <w:pPr>
              <w:pStyle w:val="TableParagraph"/>
              <w:spacing w:line="183" w:lineRule="exact" w:before="70"/>
              <w:ind w:left="50"/>
              <w:jc w:val="left"/>
              <w:rPr>
                <w:i/>
                <w:sz w:val="15"/>
              </w:rPr>
            </w:pPr>
            <w:r>
              <w:rPr>
                <w:i/>
                <w:sz w:val="15"/>
              </w:rPr>
              <w:t>Increase low income tax offset from</w:t>
            </w:r>
          </w:p>
          <w:p>
            <w:pPr>
              <w:pStyle w:val="TableParagraph"/>
              <w:spacing w:line="183" w:lineRule="exact"/>
              <w:ind w:left="50"/>
              <w:jc w:val="left"/>
              <w:rPr>
                <w:i/>
                <w:sz w:val="15"/>
              </w:rPr>
            </w:pPr>
            <w:r>
              <w:rPr>
                <w:i/>
                <w:sz w:val="15"/>
              </w:rPr>
              <w:t>$445 to $700</w:t>
            </w:r>
          </w:p>
        </w:tc>
        <w:tc>
          <w:tcPr>
            <w:tcW w:w="573" w:type="dxa"/>
          </w:tcPr>
          <w:p>
            <w:pPr>
              <w:pStyle w:val="TableParagraph"/>
              <w:spacing w:before="2"/>
              <w:jc w:val="left"/>
              <w:rPr>
                <w:b/>
                <w:sz w:val="13"/>
              </w:rPr>
            </w:pPr>
          </w:p>
          <w:p>
            <w:pPr>
              <w:pStyle w:val="TableParagraph"/>
              <w:spacing w:before="1"/>
              <w:ind w:right="27"/>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6"/>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4"/>
              <w:rPr>
                <w:i/>
                <w:sz w:val="15"/>
              </w:rPr>
            </w:pPr>
            <w:r>
              <w:rPr>
                <w:i/>
                <w:sz w:val="15"/>
              </w:rPr>
              <w:t>-70</w:t>
            </w:r>
          </w:p>
        </w:tc>
        <w:tc>
          <w:tcPr>
            <w:tcW w:w="573" w:type="dxa"/>
          </w:tcPr>
          <w:p>
            <w:pPr>
              <w:pStyle w:val="TableParagraph"/>
              <w:spacing w:before="2"/>
              <w:jc w:val="left"/>
              <w:rPr>
                <w:b/>
                <w:sz w:val="13"/>
              </w:rPr>
            </w:pPr>
          </w:p>
          <w:p>
            <w:pPr>
              <w:pStyle w:val="TableParagraph"/>
              <w:spacing w:before="1"/>
              <w:ind w:right="23"/>
              <w:rPr>
                <w:i/>
                <w:sz w:val="15"/>
              </w:rPr>
            </w:pPr>
            <w:r>
              <w:rPr>
                <w:i/>
                <w:sz w:val="15"/>
              </w:rPr>
              <w:t>-230</w:t>
            </w:r>
          </w:p>
        </w:tc>
        <w:tc>
          <w:tcPr>
            <w:tcW w:w="573" w:type="dxa"/>
          </w:tcPr>
          <w:p>
            <w:pPr>
              <w:pStyle w:val="TableParagraph"/>
              <w:spacing w:before="2"/>
              <w:jc w:val="left"/>
              <w:rPr>
                <w:b/>
                <w:sz w:val="13"/>
              </w:rPr>
            </w:pPr>
          </w:p>
          <w:p>
            <w:pPr>
              <w:pStyle w:val="TableParagraph"/>
              <w:spacing w:before="1"/>
              <w:ind w:right="25"/>
              <w:rPr>
                <w:i/>
                <w:sz w:val="15"/>
              </w:rPr>
            </w:pPr>
            <w:r>
              <w:rPr>
                <w:i/>
                <w:sz w:val="15"/>
              </w:rPr>
              <w:t>..</w:t>
            </w:r>
          </w:p>
        </w:tc>
        <w:tc>
          <w:tcPr>
            <w:tcW w:w="575" w:type="dxa"/>
          </w:tcPr>
          <w:p>
            <w:pPr>
              <w:pStyle w:val="TableParagraph"/>
              <w:spacing w:before="2"/>
              <w:jc w:val="left"/>
              <w:rPr>
                <w:b/>
                <w:sz w:val="13"/>
              </w:rPr>
            </w:pPr>
          </w:p>
          <w:p>
            <w:pPr>
              <w:pStyle w:val="TableParagraph"/>
              <w:spacing w:before="1"/>
              <w:ind w:right="24"/>
              <w:rPr>
                <w:i/>
                <w:sz w:val="15"/>
              </w:rPr>
            </w:pPr>
            <w:r>
              <w:rPr>
                <w:i/>
                <w:sz w:val="15"/>
              </w:rPr>
              <w:t>..</w:t>
            </w:r>
          </w:p>
        </w:tc>
        <w:tc>
          <w:tcPr>
            <w:tcW w:w="573" w:type="dxa"/>
          </w:tcPr>
          <w:p>
            <w:pPr>
              <w:pStyle w:val="TableParagraph"/>
              <w:spacing w:before="2"/>
              <w:jc w:val="left"/>
              <w:rPr>
                <w:b/>
                <w:sz w:val="13"/>
              </w:rPr>
            </w:pPr>
          </w:p>
          <w:p>
            <w:pPr>
              <w:pStyle w:val="TableParagraph"/>
              <w:spacing w:before="1"/>
              <w:ind w:right="23"/>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2"/>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2"/>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1"/>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0"/>
              <w:rPr>
                <w:i/>
                <w:sz w:val="15"/>
              </w:rPr>
            </w:pPr>
            <w:r>
              <w:rPr>
                <w:i/>
                <w:w w:val="100"/>
                <w:sz w:val="15"/>
              </w:rPr>
              <w:t>-</w:t>
            </w:r>
          </w:p>
        </w:tc>
        <w:tc>
          <w:tcPr>
            <w:tcW w:w="710" w:type="dxa"/>
          </w:tcPr>
          <w:p>
            <w:pPr>
              <w:pStyle w:val="TableParagraph"/>
              <w:spacing w:before="2"/>
              <w:jc w:val="left"/>
              <w:rPr>
                <w:b/>
                <w:sz w:val="13"/>
              </w:rPr>
            </w:pPr>
          </w:p>
          <w:p>
            <w:pPr>
              <w:pStyle w:val="TableParagraph"/>
              <w:spacing w:before="1"/>
              <w:ind w:right="18"/>
              <w:rPr>
                <w:b/>
                <w:i/>
                <w:sz w:val="15"/>
              </w:rPr>
            </w:pPr>
            <w:r>
              <w:rPr>
                <w:b/>
                <w:i/>
                <w:sz w:val="15"/>
              </w:rPr>
              <w:t>-300</w:t>
            </w:r>
          </w:p>
        </w:tc>
        <w:tc>
          <w:tcPr>
            <w:tcW w:w="698" w:type="dxa"/>
          </w:tcPr>
          <w:p>
            <w:pPr>
              <w:pStyle w:val="TableParagraph"/>
              <w:spacing w:before="2"/>
              <w:jc w:val="left"/>
              <w:rPr>
                <w:b/>
                <w:sz w:val="13"/>
              </w:rPr>
            </w:pPr>
          </w:p>
          <w:p>
            <w:pPr>
              <w:pStyle w:val="TableParagraph"/>
              <w:spacing w:before="1"/>
              <w:ind w:right="18"/>
              <w:rPr>
                <w:b/>
                <w:i/>
                <w:sz w:val="15"/>
              </w:rPr>
            </w:pPr>
            <w:r>
              <w:rPr>
                <w:b/>
                <w:i/>
                <w:sz w:val="15"/>
              </w:rPr>
              <w:t>-300</w:t>
            </w:r>
          </w:p>
        </w:tc>
      </w:tr>
      <w:tr>
        <w:trPr>
          <w:trHeight w:val="323" w:hRule="atLeast"/>
        </w:trPr>
        <w:tc>
          <w:tcPr>
            <w:tcW w:w="2347" w:type="dxa"/>
          </w:tcPr>
          <w:p>
            <w:pPr>
              <w:pStyle w:val="TableParagraph"/>
              <w:spacing w:before="70"/>
              <w:ind w:left="50"/>
              <w:jc w:val="left"/>
              <w:rPr>
                <w:i/>
                <w:sz w:val="15"/>
              </w:rPr>
            </w:pPr>
            <w:r>
              <w:rPr>
                <w:i/>
                <w:sz w:val="15"/>
              </w:rPr>
              <w:t>Low and middle income tax offset</w:t>
            </w:r>
          </w:p>
        </w:tc>
        <w:tc>
          <w:tcPr>
            <w:tcW w:w="573" w:type="dxa"/>
          </w:tcPr>
          <w:p>
            <w:pPr>
              <w:pStyle w:val="TableParagraph"/>
              <w:spacing w:before="70"/>
              <w:ind w:right="27"/>
              <w:rPr>
                <w:i/>
                <w:sz w:val="15"/>
              </w:rPr>
            </w:pPr>
            <w:r>
              <w:rPr>
                <w:i/>
                <w:w w:val="100"/>
                <w:sz w:val="15"/>
              </w:rPr>
              <w:t>-</w:t>
            </w:r>
          </w:p>
        </w:tc>
        <w:tc>
          <w:tcPr>
            <w:tcW w:w="573" w:type="dxa"/>
          </w:tcPr>
          <w:p>
            <w:pPr>
              <w:pStyle w:val="TableParagraph"/>
              <w:spacing w:before="70"/>
              <w:ind w:right="26"/>
              <w:rPr>
                <w:i/>
                <w:sz w:val="15"/>
              </w:rPr>
            </w:pPr>
            <w:r>
              <w:rPr>
                <w:i/>
                <w:w w:val="100"/>
                <w:sz w:val="15"/>
              </w:rPr>
              <w:t>-</w:t>
            </w:r>
          </w:p>
        </w:tc>
        <w:tc>
          <w:tcPr>
            <w:tcW w:w="573" w:type="dxa"/>
          </w:tcPr>
          <w:p>
            <w:pPr>
              <w:pStyle w:val="TableParagraph"/>
              <w:spacing w:before="70"/>
              <w:ind w:right="26"/>
              <w:rPr>
                <w:i/>
                <w:sz w:val="15"/>
              </w:rPr>
            </w:pPr>
            <w:r>
              <w:rPr>
                <w:i/>
                <w:w w:val="100"/>
                <w:sz w:val="15"/>
              </w:rPr>
              <w:t>-</w:t>
            </w:r>
          </w:p>
        </w:tc>
        <w:tc>
          <w:tcPr>
            <w:tcW w:w="573" w:type="dxa"/>
          </w:tcPr>
          <w:p>
            <w:pPr>
              <w:pStyle w:val="TableParagraph"/>
              <w:spacing w:before="70"/>
              <w:ind w:right="23"/>
              <w:rPr>
                <w:i/>
                <w:sz w:val="15"/>
              </w:rPr>
            </w:pPr>
            <w:r>
              <w:rPr>
                <w:i/>
                <w:sz w:val="15"/>
              </w:rPr>
              <w:t>7,550</w:t>
            </w:r>
          </w:p>
        </w:tc>
        <w:tc>
          <w:tcPr>
            <w:tcW w:w="573" w:type="dxa"/>
          </w:tcPr>
          <w:p>
            <w:pPr>
              <w:pStyle w:val="TableParagraph"/>
              <w:spacing w:before="70"/>
              <w:ind w:right="23"/>
              <w:rPr>
                <w:i/>
                <w:sz w:val="15"/>
              </w:rPr>
            </w:pPr>
            <w:r>
              <w:rPr>
                <w:i/>
                <w:sz w:val="15"/>
              </w:rPr>
              <w:t>400</w:t>
            </w:r>
          </w:p>
        </w:tc>
        <w:tc>
          <w:tcPr>
            <w:tcW w:w="575" w:type="dxa"/>
          </w:tcPr>
          <w:p>
            <w:pPr>
              <w:pStyle w:val="TableParagraph"/>
              <w:spacing w:before="70"/>
              <w:ind w:right="24"/>
              <w:rPr>
                <w:i/>
                <w:sz w:val="15"/>
              </w:rPr>
            </w:pPr>
            <w:r>
              <w:rPr>
                <w:i/>
                <w:sz w:val="15"/>
              </w:rPr>
              <w:t>..</w:t>
            </w:r>
          </w:p>
        </w:tc>
        <w:tc>
          <w:tcPr>
            <w:tcW w:w="573" w:type="dxa"/>
          </w:tcPr>
          <w:p>
            <w:pPr>
              <w:pStyle w:val="TableParagraph"/>
              <w:spacing w:before="70"/>
              <w:ind w:right="23"/>
              <w:rPr>
                <w:i/>
                <w:sz w:val="15"/>
              </w:rPr>
            </w:pPr>
            <w:r>
              <w:rPr>
                <w:i/>
                <w:w w:val="100"/>
                <w:sz w:val="15"/>
              </w:rPr>
              <w:t>-</w:t>
            </w:r>
          </w:p>
        </w:tc>
        <w:tc>
          <w:tcPr>
            <w:tcW w:w="573" w:type="dxa"/>
          </w:tcPr>
          <w:p>
            <w:pPr>
              <w:pStyle w:val="TableParagraph"/>
              <w:spacing w:before="70"/>
              <w:ind w:right="22"/>
              <w:rPr>
                <w:i/>
                <w:sz w:val="15"/>
              </w:rPr>
            </w:pPr>
            <w:r>
              <w:rPr>
                <w:i/>
                <w:w w:val="100"/>
                <w:sz w:val="15"/>
              </w:rPr>
              <w:t>-</w:t>
            </w:r>
          </w:p>
        </w:tc>
        <w:tc>
          <w:tcPr>
            <w:tcW w:w="573" w:type="dxa"/>
          </w:tcPr>
          <w:p>
            <w:pPr>
              <w:pStyle w:val="TableParagraph"/>
              <w:spacing w:before="70"/>
              <w:ind w:right="22"/>
              <w:rPr>
                <w:i/>
                <w:sz w:val="15"/>
              </w:rPr>
            </w:pPr>
            <w:r>
              <w:rPr>
                <w:i/>
                <w:w w:val="100"/>
                <w:sz w:val="15"/>
              </w:rPr>
              <w:t>-</w:t>
            </w:r>
          </w:p>
        </w:tc>
        <w:tc>
          <w:tcPr>
            <w:tcW w:w="573" w:type="dxa"/>
          </w:tcPr>
          <w:p>
            <w:pPr>
              <w:pStyle w:val="TableParagraph"/>
              <w:spacing w:before="70"/>
              <w:ind w:right="21"/>
              <w:rPr>
                <w:i/>
                <w:sz w:val="15"/>
              </w:rPr>
            </w:pPr>
            <w:r>
              <w:rPr>
                <w:i/>
                <w:w w:val="100"/>
                <w:sz w:val="15"/>
              </w:rPr>
              <w:t>-</w:t>
            </w:r>
          </w:p>
        </w:tc>
        <w:tc>
          <w:tcPr>
            <w:tcW w:w="573" w:type="dxa"/>
          </w:tcPr>
          <w:p>
            <w:pPr>
              <w:pStyle w:val="TableParagraph"/>
              <w:spacing w:before="70"/>
              <w:ind w:right="20"/>
              <w:rPr>
                <w:i/>
                <w:sz w:val="15"/>
              </w:rPr>
            </w:pPr>
            <w:r>
              <w:rPr>
                <w:i/>
                <w:w w:val="100"/>
                <w:sz w:val="15"/>
              </w:rPr>
              <w:t>-</w:t>
            </w:r>
          </w:p>
        </w:tc>
        <w:tc>
          <w:tcPr>
            <w:tcW w:w="710" w:type="dxa"/>
          </w:tcPr>
          <w:p>
            <w:pPr>
              <w:pStyle w:val="TableParagraph"/>
              <w:spacing w:before="70"/>
              <w:ind w:right="18"/>
              <w:rPr>
                <w:b/>
                <w:i/>
                <w:sz w:val="15"/>
              </w:rPr>
            </w:pPr>
            <w:r>
              <w:rPr>
                <w:b/>
                <w:i/>
                <w:sz w:val="15"/>
              </w:rPr>
              <w:t>7,550</w:t>
            </w:r>
          </w:p>
        </w:tc>
        <w:tc>
          <w:tcPr>
            <w:tcW w:w="698" w:type="dxa"/>
          </w:tcPr>
          <w:p>
            <w:pPr>
              <w:pStyle w:val="TableParagraph"/>
              <w:spacing w:before="70"/>
              <w:ind w:right="18"/>
              <w:rPr>
                <w:b/>
                <w:i/>
                <w:sz w:val="15"/>
              </w:rPr>
            </w:pPr>
            <w:r>
              <w:rPr>
                <w:b/>
                <w:i/>
                <w:sz w:val="15"/>
              </w:rPr>
              <w:t>7,950</w:t>
            </w:r>
          </w:p>
        </w:tc>
      </w:tr>
      <w:tr>
        <w:trPr>
          <w:trHeight w:val="325" w:hRule="atLeast"/>
        </w:trPr>
        <w:tc>
          <w:tcPr>
            <w:tcW w:w="2347" w:type="dxa"/>
            <w:shd w:val="clear" w:color="auto" w:fill="A7B1D3"/>
          </w:tcPr>
          <w:p>
            <w:pPr>
              <w:pStyle w:val="TableParagraph"/>
              <w:spacing w:before="70"/>
              <w:ind w:left="50"/>
              <w:jc w:val="left"/>
              <w:rPr>
                <w:b/>
                <w:sz w:val="15"/>
              </w:rPr>
            </w:pPr>
            <w:r>
              <w:rPr>
                <w:b/>
                <w:sz w:val="15"/>
              </w:rPr>
              <w:t>Total revenue</w:t>
            </w:r>
          </w:p>
        </w:tc>
        <w:tc>
          <w:tcPr>
            <w:tcW w:w="573" w:type="dxa"/>
            <w:shd w:val="clear" w:color="auto" w:fill="A7B1D3"/>
          </w:tcPr>
          <w:p>
            <w:pPr>
              <w:pStyle w:val="TableParagraph"/>
              <w:spacing w:before="70"/>
              <w:ind w:right="27"/>
              <w:rPr>
                <w:b/>
                <w:sz w:val="15"/>
              </w:rPr>
            </w:pPr>
            <w:r>
              <w:rPr>
                <w:b/>
                <w:w w:val="100"/>
                <w:sz w:val="15"/>
              </w:rPr>
              <w:t>-</w:t>
            </w:r>
          </w:p>
        </w:tc>
        <w:tc>
          <w:tcPr>
            <w:tcW w:w="573" w:type="dxa"/>
            <w:shd w:val="clear" w:color="auto" w:fill="A7B1D3"/>
          </w:tcPr>
          <w:p>
            <w:pPr>
              <w:pStyle w:val="TableParagraph"/>
              <w:spacing w:before="70"/>
              <w:ind w:right="26"/>
              <w:rPr>
                <w:b/>
                <w:sz w:val="15"/>
              </w:rPr>
            </w:pPr>
            <w:r>
              <w:rPr>
                <w:b/>
                <w:w w:val="100"/>
                <w:sz w:val="15"/>
              </w:rPr>
              <w:t>-</w:t>
            </w:r>
          </w:p>
        </w:tc>
        <w:tc>
          <w:tcPr>
            <w:tcW w:w="573" w:type="dxa"/>
            <w:shd w:val="clear" w:color="auto" w:fill="A7B1D3"/>
          </w:tcPr>
          <w:p>
            <w:pPr>
              <w:pStyle w:val="TableParagraph"/>
              <w:spacing w:before="70"/>
              <w:ind w:right="24"/>
              <w:rPr>
                <w:b/>
                <w:sz w:val="15"/>
              </w:rPr>
            </w:pPr>
            <w:r>
              <w:rPr>
                <w:b/>
                <w:sz w:val="15"/>
              </w:rPr>
              <w:t>-12,810</w:t>
            </w:r>
          </w:p>
        </w:tc>
        <w:tc>
          <w:tcPr>
            <w:tcW w:w="573" w:type="dxa"/>
            <w:shd w:val="clear" w:color="auto" w:fill="A7B1D3"/>
          </w:tcPr>
          <w:p>
            <w:pPr>
              <w:pStyle w:val="TableParagraph"/>
              <w:spacing w:before="70"/>
              <w:ind w:right="23"/>
              <w:rPr>
                <w:b/>
                <w:sz w:val="15"/>
              </w:rPr>
            </w:pPr>
            <w:r>
              <w:rPr>
                <w:b/>
                <w:sz w:val="15"/>
              </w:rPr>
              <w:t>6,230</w:t>
            </w:r>
          </w:p>
        </w:tc>
        <w:tc>
          <w:tcPr>
            <w:tcW w:w="573" w:type="dxa"/>
            <w:shd w:val="clear" w:color="auto" w:fill="A7B1D3"/>
          </w:tcPr>
          <w:p>
            <w:pPr>
              <w:pStyle w:val="TableParagraph"/>
              <w:spacing w:before="70"/>
              <w:ind w:right="23"/>
              <w:rPr>
                <w:b/>
                <w:sz w:val="15"/>
              </w:rPr>
            </w:pPr>
            <w:r>
              <w:rPr>
                <w:b/>
                <w:sz w:val="15"/>
              </w:rPr>
              <w:t>260</w:t>
            </w:r>
          </w:p>
        </w:tc>
        <w:tc>
          <w:tcPr>
            <w:tcW w:w="575" w:type="dxa"/>
            <w:shd w:val="clear" w:color="auto" w:fill="A7B1D3"/>
          </w:tcPr>
          <w:p>
            <w:pPr>
              <w:pStyle w:val="TableParagraph"/>
              <w:spacing w:before="70"/>
              <w:ind w:right="23"/>
              <w:rPr>
                <w:b/>
                <w:sz w:val="15"/>
              </w:rPr>
            </w:pPr>
            <w:r>
              <w:rPr>
                <w:b/>
                <w:w w:val="100"/>
                <w:sz w:val="15"/>
              </w:rPr>
              <w:t>-</w:t>
            </w:r>
          </w:p>
        </w:tc>
        <w:tc>
          <w:tcPr>
            <w:tcW w:w="573" w:type="dxa"/>
            <w:shd w:val="clear" w:color="auto" w:fill="A7B1D3"/>
          </w:tcPr>
          <w:p>
            <w:pPr>
              <w:pStyle w:val="TableParagraph"/>
              <w:spacing w:before="70"/>
              <w:ind w:right="23"/>
              <w:rPr>
                <w:b/>
                <w:sz w:val="15"/>
              </w:rPr>
            </w:pPr>
            <w:r>
              <w:rPr>
                <w:b/>
                <w:w w:val="100"/>
                <w:sz w:val="15"/>
              </w:rPr>
              <w:t>-</w:t>
            </w:r>
          </w:p>
        </w:tc>
        <w:tc>
          <w:tcPr>
            <w:tcW w:w="573" w:type="dxa"/>
            <w:shd w:val="clear" w:color="auto" w:fill="A7B1D3"/>
          </w:tcPr>
          <w:p>
            <w:pPr>
              <w:pStyle w:val="TableParagraph"/>
              <w:spacing w:before="70"/>
              <w:ind w:right="22"/>
              <w:rPr>
                <w:b/>
                <w:sz w:val="15"/>
              </w:rPr>
            </w:pPr>
            <w:r>
              <w:rPr>
                <w:b/>
                <w:w w:val="100"/>
                <w:sz w:val="15"/>
              </w:rPr>
              <w:t>-</w:t>
            </w:r>
          </w:p>
        </w:tc>
        <w:tc>
          <w:tcPr>
            <w:tcW w:w="573" w:type="dxa"/>
            <w:shd w:val="clear" w:color="auto" w:fill="A7B1D3"/>
          </w:tcPr>
          <w:p>
            <w:pPr>
              <w:pStyle w:val="TableParagraph"/>
              <w:spacing w:before="70"/>
              <w:ind w:right="22"/>
              <w:rPr>
                <w:b/>
                <w:sz w:val="15"/>
              </w:rPr>
            </w:pPr>
            <w:r>
              <w:rPr>
                <w:b/>
                <w:w w:val="100"/>
                <w:sz w:val="15"/>
              </w:rPr>
              <w:t>-</w:t>
            </w:r>
          </w:p>
        </w:tc>
        <w:tc>
          <w:tcPr>
            <w:tcW w:w="573" w:type="dxa"/>
            <w:shd w:val="clear" w:color="auto" w:fill="A7B1D3"/>
          </w:tcPr>
          <w:p>
            <w:pPr>
              <w:pStyle w:val="TableParagraph"/>
              <w:spacing w:before="70"/>
              <w:ind w:right="21"/>
              <w:rPr>
                <w:b/>
                <w:sz w:val="15"/>
              </w:rPr>
            </w:pPr>
            <w:r>
              <w:rPr>
                <w:b/>
                <w:w w:val="100"/>
                <w:sz w:val="15"/>
              </w:rPr>
              <w:t>-</w:t>
            </w:r>
          </w:p>
        </w:tc>
        <w:tc>
          <w:tcPr>
            <w:tcW w:w="573" w:type="dxa"/>
            <w:shd w:val="clear" w:color="auto" w:fill="A7B1D3"/>
          </w:tcPr>
          <w:p>
            <w:pPr>
              <w:pStyle w:val="TableParagraph"/>
              <w:spacing w:before="70"/>
              <w:ind w:right="20"/>
              <w:rPr>
                <w:b/>
                <w:sz w:val="15"/>
              </w:rPr>
            </w:pPr>
            <w:r>
              <w:rPr>
                <w:b/>
                <w:w w:val="100"/>
                <w:sz w:val="15"/>
              </w:rPr>
              <w:t>-</w:t>
            </w:r>
          </w:p>
        </w:tc>
        <w:tc>
          <w:tcPr>
            <w:tcW w:w="710" w:type="dxa"/>
            <w:shd w:val="clear" w:color="auto" w:fill="A7B1D3"/>
          </w:tcPr>
          <w:p>
            <w:pPr>
              <w:pStyle w:val="TableParagraph"/>
              <w:spacing w:before="70"/>
              <w:ind w:right="18"/>
              <w:rPr>
                <w:b/>
                <w:sz w:val="15"/>
              </w:rPr>
            </w:pPr>
            <w:r>
              <w:rPr>
                <w:b/>
                <w:sz w:val="15"/>
              </w:rPr>
              <w:t>-6,590</w:t>
            </w:r>
          </w:p>
        </w:tc>
        <w:tc>
          <w:tcPr>
            <w:tcW w:w="698" w:type="dxa"/>
            <w:shd w:val="clear" w:color="auto" w:fill="A7B1D3"/>
          </w:tcPr>
          <w:p>
            <w:pPr>
              <w:pStyle w:val="TableParagraph"/>
              <w:spacing w:before="70"/>
              <w:ind w:right="18"/>
              <w:rPr>
                <w:b/>
                <w:sz w:val="15"/>
              </w:rPr>
            </w:pPr>
            <w:r>
              <w:rPr>
                <w:b/>
                <w:sz w:val="15"/>
              </w:rPr>
              <w:t>-6,330</w:t>
            </w:r>
          </w:p>
        </w:tc>
      </w:tr>
    </w:tbl>
    <w:p>
      <w:pPr>
        <w:pStyle w:val="ListParagraph"/>
        <w:numPr>
          <w:ilvl w:val="0"/>
          <w:numId w:val="9"/>
        </w:numPr>
        <w:tabs>
          <w:tab w:pos="515" w:val="left" w:leader="none"/>
        </w:tabs>
        <w:spacing w:line="319" w:lineRule="auto" w:before="63" w:after="0"/>
        <w:ind w:left="514" w:right="718" w:hanging="284"/>
        <w:jc w:val="left"/>
        <w:rPr>
          <w:sz w:val="16"/>
        </w:rPr>
      </w:pPr>
      <w:r>
        <w:rPr>
          <w:sz w:val="16"/>
        </w:rPr>
        <w:t>A</w:t>
      </w:r>
      <w:r>
        <w:rPr>
          <w:spacing w:val="-8"/>
          <w:sz w:val="16"/>
        </w:rPr>
        <w:t> </w:t>
      </w:r>
      <w:r>
        <w:rPr>
          <w:sz w:val="16"/>
        </w:rPr>
        <w:t>positive</w:t>
      </w:r>
      <w:r>
        <w:rPr>
          <w:spacing w:val="-9"/>
          <w:sz w:val="16"/>
        </w:rPr>
        <w:t> </w:t>
      </w:r>
      <w:r>
        <w:rPr>
          <w:sz w:val="16"/>
        </w:rPr>
        <w:t>number</w:t>
      </w:r>
      <w:r>
        <w:rPr>
          <w:spacing w:val="-9"/>
          <w:sz w:val="16"/>
        </w:rPr>
        <w:t> </w:t>
      </w:r>
      <w:r>
        <w:rPr>
          <w:sz w:val="16"/>
        </w:rPr>
        <w:t>for</w:t>
      </w:r>
      <w:r>
        <w:rPr>
          <w:spacing w:val="-7"/>
          <w:sz w:val="16"/>
        </w:rPr>
        <w:t> </w:t>
      </w:r>
      <w:r>
        <w:rPr>
          <w:sz w:val="16"/>
        </w:rPr>
        <w:t>the</w:t>
      </w:r>
      <w:r>
        <w:rPr>
          <w:spacing w:val="-6"/>
          <w:sz w:val="16"/>
        </w:rPr>
        <w:t> </w:t>
      </w:r>
      <w:r>
        <w:rPr>
          <w:sz w:val="16"/>
        </w:rPr>
        <w:t>fiscal</w:t>
      </w:r>
      <w:r>
        <w:rPr>
          <w:spacing w:val="-7"/>
          <w:sz w:val="16"/>
        </w:rPr>
        <w:t> </w:t>
      </w:r>
      <w:r>
        <w:rPr>
          <w:sz w:val="16"/>
        </w:rPr>
        <w:t>balance</w:t>
      </w:r>
      <w:r>
        <w:rPr>
          <w:spacing w:val="-6"/>
          <w:sz w:val="16"/>
        </w:rPr>
        <w:t> </w:t>
      </w:r>
      <w:r>
        <w:rPr>
          <w:sz w:val="16"/>
        </w:rPr>
        <w:t>indicates</w:t>
      </w:r>
      <w:r>
        <w:rPr>
          <w:spacing w:val="-9"/>
          <w:sz w:val="16"/>
        </w:rPr>
        <w:t> </w:t>
      </w:r>
      <w:r>
        <w:rPr>
          <w:sz w:val="16"/>
        </w:rPr>
        <w:t>an</w:t>
      </w:r>
      <w:r>
        <w:rPr>
          <w:spacing w:val="-8"/>
          <w:sz w:val="16"/>
        </w:rPr>
        <w:t> </w:t>
      </w:r>
      <w:r>
        <w:rPr>
          <w:sz w:val="16"/>
        </w:rPr>
        <w:t>increase</w:t>
      </w:r>
      <w:r>
        <w:rPr>
          <w:spacing w:val="-7"/>
          <w:sz w:val="16"/>
        </w:rPr>
        <w:t> </w:t>
      </w:r>
      <w:r>
        <w:rPr>
          <w:sz w:val="16"/>
        </w:rPr>
        <w:t>in</w:t>
      </w:r>
      <w:r>
        <w:rPr>
          <w:spacing w:val="-6"/>
          <w:sz w:val="16"/>
        </w:rPr>
        <w:t> </w:t>
      </w:r>
      <w:r>
        <w:rPr>
          <w:sz w:val="16"/>
        </w:rPr>
        <w:t>revenue</w:t>
      </w:r>
      <w:r>
        <w:rPr>
          <w:spacing w:val="-8"/>
          <w:sz w:val="16"/>
        </w:rPr>
        <w:t> </w:t>
      </w:r>
      <w:r>
        <w:rPr>
          <w:sz w:val="16"/>
        </w:rPr>
        <w:t>or</w:t>
      </w:r>
      <w:r>
        <w:rPr>
          <w:spacing w:val="-9"/>
          <w:sz w:val="16"/>
        </w:rPr>
        <w:t> </w:t>
      </w:r>
      <w:r>
        <w:rPr>
          <w:sz w:val="16"/>
        </w:rPr>
        <w:t>a</w:t>
      </w:r>
      <w:r>
        <w:rPr>
          <w:spacing w:val="-6"/>
          <w:sz w:val="16"/>
        </w:rPr>
        <w:t> </w:t>
      </w:r>
      <w:r>
        <w:rPr>
          <w:sz w:val="16"/>
        </w:rPr>
        <w:t>decrease</w:t>
      </w:r>
      <w:r>
        <w:rPr>
          <w:spacing w:val="-9"/>
          <w:sz w:val="16"/>
        </w:rPr>
        <w:t> </w:t>
      </w:r>
      <w:r>
        <w:rPr>
          <w:sz w:val="16"/>
        </w:rPr>
        <w:t>in</w:t>
      </w:r>
      <w:r>
        <w:rPr>
          <w:spacing w:val="-9"/>
          <w:sz w:val="16"/>
        </w:rPr>
        <w:t> </w:t>
      </w:r>
      <w:r>
        <w:rPr>
          <w:sz w:val="16"/>
        </w:rPr>
        <w:t>expenses</w:t>
      </w:r>
      <w:r>
        <w:rPr>
          <w:spacing w:val="-8"/>
          <w:sz w:val="16"/>
        </w:rPr>
        <w:t> </w:t>
      </w:r>
      <w:r>
        <w:rPr>
          <w:sz w:val="16"/>
        </w:rPr>
        <w:t>or</w:t>
      </w:r>
      <w:r>
        <w:rPr>
          <w:spacing w:val="-9"/>
          <w:sz w:val="16"/>
        </w:rPr>
        <w:t> </w:t>
      </w:r>
      <w:r>
        <w:rPr>
          <w:sz w:val="16"/>
        </w:rPr>
        <w:t>net</w:t>
      </w:r>
      <w:r>
        <w:rPr>
          <w:spacing w:val="-7"/>
          <w:sz w:val="16"/>
        </w:rPr>
        <w:t> </w:t>
      </w:r>
      <w:r>
        <w:rPr>
          <w:sz w:val="16"/>
        </w:rPr>
        <w:t>capital</w:t>
      </w:r>
      <w:r>
        <w:rPr>
          <w:spacing w:val="-9"/>
          <w:sz w:val="16"/>
        </w:rPr>
        <w:t> </w:t>
      </w:r>
      <w:r>
        <w:rPr>
          <w:sz w:val="16"/>
        </w:rPr>
        <w:t>investment</w:t>
      </w:r>
      <w:r>
        <w:rPr>
          <w:spacing w:val="-8"/>
          <w:sz w:val="16"/>
        </w:rPr>
        <w:t> </w:t>
      </w:r>
      <w:r>
        <w:rPr>
          <w:sz w:val="16"/>
        </w:rPr>
        <w:t>in</w:t>
      </w:r>
      <w:r>
        <w:rPr>
          <w:spacing w:val="-9"/>
          <w:sz w:val="16"/>
        </w:rPr>
        <w:t> </w:t>
      </w:r>
      <w:r>
        <w:rPr>
          <w:sz w:val="16"/>
        </w:rPr>
        <w:t>accrual</w:t>
      </w:r>
      <w:r>
        <w:rPr>
          <w:spacing w:val="-7"/>
          <w:sz w:val="16"/>
        </w:rPr>
        <w:t> </w:t>
      </w:r>
      <w:r>
        <w:rPr>
          <w:sz w:val="16"/>
        </w:rPr>
        <w:t>terms. A</w:t>
      </w:r>
      <w:r>
        <w:rPr>
          <w:spacing w:val="-8"/>
          <w:sz w:val="16"/>
        </w:rPr>
        <w:t> </w:t>
      </w:r>
      <w:r>
        <w:rPr>
          <w:sz w:val="16"/>
        </w:rPr>
        <w:t>negative</w:t>
      </w:r>
      <w:r>
        <w:rPr>
          <w:spacing w:val="-9"/>
          <w:sz w:val="16"/>
        </w:rPr>
        <w:t> </w:t>
      </w:r>
      <w:r>
        <w:rPr>
          <w:sz w:val="16"/>
        </w:rPr>
        <w:t>number</w:t>
      </w:r>
      <w:r>
        <w:rPr>
          <w:spacing w:val="-8"/>
          <w:sz w:val="16"/>
        </w:rPr>
        <w:t> </w:t>
      </w:r>
      <w:r>
        <w:rPr>
          <w:sz w:val="16"/>
        </w:rPr>
        <w:t>for</w:t>
      </w:r>
      <w:r>
        <w:rPr>
          <w:spacing w:val="-7"/>
          <w:sz w:val="16"/>
        </w:rPr>
        <w:t> </w:t>
      </w:r>
      <w:r>
        <w:rPr>
          <w:sz w:val="16"/>
        </w:rPr>
        <w:t>the</w:t>
      </w:r>
      <w:r>
        <w:rPr>
          <w:spacing w:val="-6"/>
          <w:sz w:val="16"/>
        </w:rPr>
        <w:t> </w:t>
      </w:r>
      <w:r>
        <w:rPr>
          <w:sz w:val="16"/>
        </w:rPr>
        <w:t>fiscal</w:t>
      </w:r>
      <w:r>
        <w:rPr>
          <w:spacing w:val="-7"/>
          <w:sz w:val="16"/>
        </w:rPr>
        <w:t> </w:t>
      </w:r>
      <w:r>
        <w:rPr>
          <w:sz w:val="16"/>
        </w:rPr>
        <w:t>balance</w:t>
      </w:r>
      <w:r>
        <w:rPr>
          <w:spacing w:val="-7"/>
          <w:sz w:val="16"/>
        </w:rPr>
        <w:t> </w:t>
      </w:r>
      <w:r>
        <w:rPr>
          <w:sz w:val="16"/>
        </w:rPr>
        <w:t>indicates</w:t>
      </w:r>
      <w:r>
        <w:rPr>
          <w:spacing w:val="-8"/>
          <w:sz w:val="16"/>
        </w:rPr>
        <w:t> </w:t>
      </w:r>
      <w:r>
        <w:rPr>
          <w:sz w:val="16"/>
        </w:rPr>
        <w:t>a</w:t>
      </w:r>
      <w:r>
        <w:rPr>
          <w:spacing w:val="-7"/>
          <w:sz w:val="16"/>
        </w:rPr>
        <w:t> </w:t>
      </w:r>
      <w:r>
        <w:rPr>
          <w:sz w:val="16"/>
        </w:rPr>
        <w:t>decrease</w:t>
      </w:r>
      <w:r>
        <w:rPr>
          <w:spacing w:val="-6"/>
          <w:sz w:val="16"/>
        </w:rPr>
        <w:t> </w:t>
      </w:r>
      <w:r>
        <w:rPr>
          <w:sz w:val="16"/>
        </w:rPr>
        <w:t>in</w:t>
      </w:r>
      <w:r>
        <w:rPr>
          <w:spacing w:val="-6"/>
          <w:sz w:val="16"/>
        </w:rPr>
        <w:t> </w:t>
      </w:r>
      <w:r>
        <w:rPr>
          <w:sz w:val="16"/>
        </w:rPr>
        <w:t>revenue</w:t>
      </w:r>
      <w:r>
        <w:rPr>
          <w:spacing w:val="-6"/>
          <w:sz w:val="16"/>
        </w:rPr>
        <w:t> </w:t>
      </w:r>
      <w:r>
        <w:rPr>
          <w:sz w:val="16"/>
        </w:rPr>
        <w:t>or</w:t>
      </w:r>
      <w:r>
        <w:rPr>
          <w:spacing w:val="-9"/>
          <w:sz w:val="16"/>
        </w:rPr>
        <w:t> </w:t>
      </w:r>
      <w:r>
        <w:rPr>
          <w:sz w:val="16"/>
        </w:rPr>
        <w:t>an</w:t>
      </w:r>
      <w:r>
        <w:rPr>
          <w:spacing w:val="-6"/>
          <w:sz w:val="16"/>
        </w:rPr>
        <w:t> </w:t>
      </w:r>
      <w:r>
        <w:rPr>
          <w:sz w:val="16"/>
        </w:rPr>
        <w:t>increase</w:t>
      </w:r>
      <w:r>
        <w:rPr>
          <w:spacing w:val="-8"/>
          <w:sz w:val="16"/>
        </w:rPr>
        <w:t> </w:t>
      </w:r>
      <w:r>
        <w:rPr>
          <w:sz w:val="16"/>
        </w:rPr>
        <w:t>in</w:t>
      </w:r>
      <w:r>
        <w:rPr>
          <w:spacing w:val="-9"/>
          <w:sz w:val="16"/>
        </w:rPr>
        <w:t> </w:t>
      </w:r>
      <w:r>
        <w:rPr>
          <w:sz w:val="16"/>
        </w:rPr>
        <w:t>expenses</w:t>
      </w:r>
      <w:r>
        <w:rPr>
          <w:spacing w:val="-7"/>
          <w:sz w:val="16"/>
        </w:rPr>
        <w:t> </w:t>
      </w:r>
      <w:r>
        <w:rPr>
          <w:sz w:val="16"/>
        </w:rPr>
        <w:t>or</w:t>
      </w:r>
      <w:r>
        <w:rPr>
          <w:spacing w:val="-9"/>
          <w:sz w:val="16"/>
        </w:rPr>
        <w:t> </w:t>
      </w:r>
      <w:r>
        <w:rPr>
          <w:sz w:val="16"/>
        </w:rPr>
        <w:t>net</w:t>
      </w:r>
      <w:r>
        <w:rPr>
          <w:spacing w:val="-9"/>
          <w:sz w:val="16"/>
        </w:rPr>
        <w:t> </w:t>
      </w:r>
      <w:r>
        <w:rPr>
          <w:sz w:val="16"/>
        </w:rPr>
        <w:t>capital</w:t>
      </w:r>
      <w:r>
        <w:rPr>
          <w:spacing w:val="-11"/>
          <w:sz w:val="16"/>
        </w:rPr>
        <w:t> </w:t>
      </w:r>
      <w:r>
        <w:rPr>
          <w:sz w:val="16"/>
        </w:rPr>
        <w:t>investment</w:t>
      </w:r>
      <w:r>
        <w:rPr>
          <w:spacing w:val="-8"/>
          <w:sz w:val="16"/>
        </w:rPr>
        <w:t> </w:t>
      </w:r>
      <w:r>
        <w:rPr>
          <w:sz w:val="16"/>
        </w:rPr>
        <w:t>in</w:t>
      </w:r>
      <w:r>
        <w:rPr>
          <w:spacing w:val="-9"/>
          <w:sz w:val="16"/>
        </w:rPr>
        <w:t> </w:t>
      </w:r>
      <w:r>
        <w:rPr>
          <w:sz w:val="16"/>
        </w:rPr>
        <w:t>accrual</w:t>
      </w:r>
      <w:r>
        <w:rPr>
          <w:spacing w:val="-7"/>
          <w:sz w:val="16"/>
        </w:rPr>
        <w:t> </w:t>
      </w:r>
      <w:r>
        <w:rPr>
          <w:spacing w:val="-2"/>
          <w:sz w:val="16"/>
        </w:rPr>
        <w:t>terms.</w:t>
      </w:r>
    </w:p>
    <w:p>
      <w:pPr>
        <w:spacing w:line="321" w:lineRule="auto" w:before="0"/>
        <w:ind w:left="514" w:right="185" w:firstLine="0"/>
        <w:jc w:val="left"/>
        <w:rPr>
          <w:sz w:val="16"/>
        </w:rPr>
      </w:pPr>
      <w:r>
        <w:rPr>
          <w:sz w:val="16"/>
        </w:rPr>
        <w:t>A</w:t>
      </w:r>
      <w:r>
        <w:rPr>
          <w:spacing w:val="-8"/>
          <w:sz w:val="16"/>
        </w:rPr>
        <w:t> </w:t>
      </w:r>
      <w:r>
        <w:rPr>
          <w:sz w:val="16"/>
        </w:rPr>
        <w:t>positive</w:t>
      </w:r>
      <w:r>
        <w:rPr>
          <w:spacing w:val="-9"/>
          <w:sz w:val="16"/>
        </w:rPr>
        <w:t> </w:t>
      </w:r>
      <w:r>
        <w:rPr>
          <w:sz w:val="16"/>
        </w:rPr>
        <w:t>number</w:t>
      </w:r>
      <w:r>
        <w:rPr>
          <w:spacing w:val="-8"/>
          <w:sz w:val="16"/>
        </w:rPr>
        <w:t> </w:t>
      </w:r>
      <w:r>
        <w:rPr>
          <w:sz w:val="16"/>
        </w:rPr>
        <w:t>for</w:t>
      </w:r>
      <w:r>
        <w:rPr>
          <w:spacing w:val="-7"/>
          <w:sz w:val="16"/>
        </w:rPr>
        <w:t> </w:t>
      </w:r>
      <w:r>
        <w:rPr>
          <w:sz w:val="16"/>
        </w:rPr>
        <w:t>the</w:t>
      </w:r>
      <w:r>
        <w:rPr>
          <w:spacing w:val="-9"/>
          <w:sz w:val="16"/>
        </w:rPr>
        <w:t> </w:t>
      </w:r>
      <w:r>
        <w:rPr>
          <w:sz w:val="16"/>
        </w:rPr>
        <w:t>underlying</w:t>
      </w:r>
      <w:r>
        <w:rPr>
          <w:spacing w:val="-7"/>
          <w:sz w:val="16"/>
        </w:rPr>
        <w:t> </w:t>
      </w:r>
      <w:r>
        <w:rPr>
          <w:sz w:val="16"/>
        </w:rPr>
        <w:t>cash</w:t>
      </w:r>
      <w:r>
        <w:rPr>
          <w:spacing w:val="-8"/>
          <w:sz w:val="16"/>
        </w:rPr>
        <w:t> </w:t>
      </w:r>
      <w:r>
        <w:rPr>
          <w:sz w:val="16"/>
        </w:rPr>
        <w:t>balance</w:t>
      </w:r>
      <w:r>
        <w:rPr>
          <w:spacing w:val="-9"/>
          <w:sz w:val="16"/>
        </w:rPr>
        <w:t> </w:t>
      </w:r>
      <w:r>
        <w:rPr>
          <w:sz w:val="16"/>
        </w:rPr>
        <w:t>indicates</w:t>
      </w:r>
      <w:r>
        <w:rPr>
          <w:spacing w:val="-8"/>
          <w:sz w:val="16"/>
        </w:rPr>
        <w:t> </w:t>
      </w:r>
      <w:r>
        <w:rPr>
          <w:sz w:val="16"/>
        </w:rPr>
        <w:t>an</w:t>
      </w:r>
      <w:r>
        <w:rPr>
          <w:spacing w:val="-9"/>
          <w:sz w:val="16"/>
        </w:rPr>
        <w:t> </w:t>
      </w:r>
      <w:r>
        <w:rPr>
          <w:sz w:val="16"/>
        </w:rPr>
        <w:t>increase</w:t>
      </w:r>
      <w:r>
        <w:rPr>
          <w:spacing w:val="-6"/>
          <w:sz w:val="16"/>
        </w:rPr>
        <w:t> </w:t>
      </w:r>
      <w:r>
        <w:rPr>
          <w:sz w:val="16"/>
        </w:rPr>
        <w:t>in</w:t>
      </w:r>
      <w:r>
        <w:rPr>
          <w:spacing w:val="-9"/>
          <w:sz w:val="16"/>
        </w:rPr>
        <w:t> </w:t>
      </w:r>
      <w:r>
        <w:rPr>
          <w:sz w:val="16"/>
        </w:rPr>
        <w:t>receipts</w:t>
      </w:r>
      <w:r>
        <w:rPr>
          <w:spacing w:val="-6"/>
          <w:sz w:val="16"/>
        </w:rPr>
        <w:t> </w:t>
      </w:r>
      <w:r>
        <w:rPr>
          <w:sz w:val="16"/>
        </w:rPr>
        <w:t>or</w:t>
      </w:r>
      <w:r>
        <w:rPr>
          <w:spacing w:val="-8"/>
          <w:sz w:val="16"/>
        </w:rPr>
        <w:t> </w:t>
      </w:r>
      <w:r>
        <w:rPr>
          <w:sz w:val="16"/>
        </w:rPr>
        <w:t>a</w:t>
      </w:r>
      <w:r>
        <w:rPr>
          <w:spacing w:val="-8"/>
          <w:sz w:val="16"/>
        </w:rPr>
        <w:t> </w:t>
      </w:r>
      <w:r>
        <w:rPr>
          <w:sz w:val="16"/>
        </w:rPr>
        <w:t>decrease</w:t>
      </w:r>
      <w:r>
        <w:rPr>
          <w:spacing w:val="-6"/>
          <w:sz w:val="16"/>
        </w:rPr>
        <w:t> </w:t>
      </w:r>
      <w:r>
        <w:rPr>
          <w:sz w:val="16"/>
        </w:rPr>
        <w:t>in</w:t>
      </w:r>
      <w:r>
        <w:rPr>
          <w:spacing w:val="-9"/>
          <w:sz w:val="16"/>
        </w:rPr>
        <w:t> </w:t>
      </w:r>
      <w:r>
        <w:rPr>
          <w:sz w:val="16"/>
        </w:rPr>
        <w:t>payments</w:t>
      </w:r>
      <w:r>
        <w:rPr>
          <w:spacing w:val="-8"/>
          <w:sz w:val="16"/>
        </w:rPr>
        <w:t> </w:t>
      </w:r>
      <w:r>
        <w:rPr>
          <w:sz w:val="16"/>
        </w:rPr>
        <w:t>or</w:t>
      </w:r>
      <w:r>
        <w:rPr>
          <w:spacing w:val="-10"/>
          <w:sz w:val="16"/>
        </w:rPr>
        <w:t> </w:t>
      </w:r>
      <w:r>
        <w:rPr>
          <w:sz w:val="16"/>
        </w:rPr>
        <w:t>net</w:t>
      </w:r>
      <w:r>
        <w:rPr>
          <w:spacing w:val="-7"/>
          <w:sz w:val="16"/>
        </w:rPr>
        <w:t> </w:t>
      </w:r>
      <w:r>
        <w:rPr>
          <w:sz w:val="16"/>
        </w:rPr>
        <w:t>capital</w:t>
      </w:r>
      <w:r>
        <w:rPr>
          <w:spacing w:val="-7"/>
          <w:sz w:val="16"/>
        </w:rPr>
        <w:t> </w:t>
      </w:r>
      <w:r>
        <w:rPr>
          <w:sz w:val="16"/>
        </w:rPr>
        <w:t>investment</w:t>
      </w:r>
      <w:r>
        <w:rPr>
          <w:spacing w:val="-7"/>
          <w:sz w:val="16"/>
        </w:rPr>
        <w:t> </w:t>
      </w:r>
      <w:r>
        <w:rPr>
          <w:sz w:val="16"/>
        </w:rPr>
        <w:t>in</w:t>
      </w:r>
      <w:r>
        <w:rPr>
          <w:spacing w:val="-6"/>
          <w:sz w:val="16"/>
        </w:rPr>
        <w:t> </w:t>
      </w:r>
      <w:r>
        <w:rPr>
          <w:sz w:val="16"/>
        </w:rPr>
        <w:t>cash</w:t>
      </w:r>
      <w:r>
        <w:rPr>
          <w:spacing w:val="-9"/>
          <w:sz w:val="16"/>
        </w:rPr>
        <w:t> </w:t>
      </w:r>
      <w:r>
        <w:rPr>
          <w:sz w:val="16"/>
        </w:rPr>
        <w:t>terms. A</w:t>
      </w:r>
      <w:r>
        <w:rPr>
          <w:spacing w:val="-9"/>
          <w:sz w:val="16"/>
        </w:rPr>
        <w:t> </w:t>
      </w:r>
      <w:r>
        <w:rPr>
          <w:sz w:val="16"/>
        </w:rPr>
        <w:t>negative</w:t>
      </w:r>
      <w:r>
        <w:rPr>
          <w:spacing w:val="-9"/>
          <w:sz w:val="16"/>
        </w:rPr>
        <w:t> </w:t>
      </w:r>
      <w:r>
        <w:rPr>
          <w:sz w:val="16"/>
        </w:rPr>
        <w:t>number</w:t>
      </w:r>
      <w:r>
        <w:rPr>
          <w:spacing w:val="-9"/>
          <w:sz w:val="16"/>
        </w:rPr>
        <w:t> </w:t>
      </w:r>
      <w:r>
        <w:rPr>
          <w:sz w:val="16"/>
        </w:rPr>
        <w:t>for</w:t>
      </w:r>
      <w:r>
        <w:rPr>
          <w:spacing w:val="-8"/>
          <w:sz w:val="16"/>
        </w:rPr>
        <w:t> </w:t>
      </w:r>
      <w:r>
        <w:rPr>
          <w:sz w:val="16"/>
        </w:rPr>
        <w:t>the</w:t>
      </w:r>
      <w:r>
        <w:rPr>
          <w:spacing w:val="-9"/>
          <w:sz w:val="16"/>
        </w:rPr>
        <w:t> </w:t>
      </w:r>
      <w:r>
        <w:rPr>
          <w:sz w:val="16"/>
        </w:rPr>
        <w:t>underlying</w:t>
      </w:r>
      <w:r>
        <w:rPr>
          <w:spacing w:val="-7"/>
          <w:sz w:val="16"/>
        </w:rPr>
        <w:t> </w:t>
      </w:r>
      <w:r>
        <w:rPr>
          <w:sz w:val="16"/>
        </w:rPr>
        <w:t>cash</w:t>
      </w:r>
      <w:r>
        <w:rPr>
          <w:spacing w:val="-9"/>
          <w:sz w:val="16"/>
        </w:rPr>
        <w:t> </w:t>
      </w:r>
      <w:r>
        <w:rPr>
          <w:sz w:val="16"/>
        </w:rPr>
        <w:t>balance</w:t>
      </w:r>
      <w:r>
        <w:rPr>
          <w:spacing w:val="-10"/>
          <w:sz w:val="16"/>
        </w:rPr>
        <w:t> </w:t>
      </w:r>
      <w:r>
        <w:rPr>
          <w:sz w:val="16"/>
        </w:rPr>
        <w:t>indicates</w:t>
      </w:r>
      <w:r>
        <w:rPr>
          <w:spacing w:val="-9"/>
          <w:sz w:val="16"/>
        </w:rPr>
        <w:t> </w:t>
      </w:r>
      <w:r>
        <w:rPr>
          <w:sz w:val="16"/>
        </w:rPr>
        <w:t>a</w:t>
      </w:r>
      <w:r>
        <w:rPr>
          <w:spacing w:val="-6"/>
          <w:sz w:val="16"/>
        </w:rPr>
        <w:t> </w:t>
      </w:r>
      <w:r>
        <w:rPr>
          <w:sz w:val="16"/>
        </w:rPr>
        <w:t>decrease</w:t>
      </w:r>
      <w:r>
        <w:rPr>
          <w:spacing w:val="-9"/>
          <w:sz w:val="16"/>
        </w:rPr>
        <w:t> </w:t>
      </w:r>
      <w:r>
        <w:rPr>
          <w:sz w:val="16"/>
        </w:rPr>
        <w:t>in</w:t>
      </w:r>
      <w:r>
        <w:rPr>
          <w:spacing w:val="-10"/>
          <w:sz w:val="16"/>
        </w:rPr>
        <w:t> </w:t>
      </w:r>
      <w:r>
        <w:rPr>
          <w:sz w:val="16"/>
        </w:rPr>
        <w:t>receipts</w:t>
      </w:r>
      <w:r>
        <w:rPr>
          <w:spacing w:val="-6"/>
          <w:sz w:val="16"/>
        </w:rPr>
        <w:t> </w:t>
      </w:r>
      <w:r>
        <w:rPr>
          <w:sz w:val="16"/>
        </w:rPr>
        <w:t>or</w:t>
      </w:r>
      <w:r>
        <w:rPr>
          <w:spacing w:val="-9"/>
          <w:sz w:val="16"/>
        </w:rPr>
        <w:t> </w:t>
      </w:r>
      <w:r>
        <w:rPr>
          <w:sz w:val="16"/>
        </w:rPr>
        <w:t>an</w:t>
      </w:r>
      <w:r>
        <w:rPr>
          <w:spacing w:val="-7"/>
          <w:sz w:val="16"/>
        </w:rPr>
        <w:t> </w:t>
      </w:r>
      <w:r>
        <w:rPr>
          <w:sz w:val="16"/>
        </w:rPr>
        <w:t>increase</w:t>
      </w:r>
      <w:r>
        <w:rPr>
          <w:spacing w:val="-9"/>
          <w:sz w:val="16"/>
        </w:rPr>
        <w:t> </w:t>
      </w:r>
      <w:r>
        <w:rPr>
          <w:sz w:val="16"/>
        </w:rPr>
        <w:t>in</w:t>
      </w:r>
      <w:r>
        <w:rPr>
          <w:spacing w:val="-9"/>
          <w:sz w:val="16"/>
        </w:rPr>
        <w:t> </w:t>
      </w:r>
      <w:r>
        <w:rPr>
          <w:sz w:val="16"/>
        </w:rPr>
        <w:t>payments</w:t>
      </w:r>
      <w:r>
        <w:rPr>
          <w:spacing w:val="-7"/>
          <w:sz w:val="16"/>
        </w:rPr>
        <w:t> </w:t>
      </w:r>
      <w:r>
        <w:rPr>
          <w:sz w:val="16"/>
        </w:rPr>
        <w:t>or</w:t>
      </w:r>
      <w:r>
        <w:rPr>
          <w:spacing w:val="-11"/>
          <w:sz w:val="16"/>
        </w:rPr>
        <w:t> </w:t>
      </w:r>
      <w:r>
        <w:rPr>
          <w:sz w:val="16"/>
        </w:rPr>
        <w:t>net</w:t>
      </w:r>
      <w:r>
        <w:rPr>
          <w:spacing w:val="-7"/>
          <w:sz w:val="16"/>
        </w:rPr>
        <w:t> </w:t>
      </w:r>
      <w:r>
        <w:rPr>
          <w:sz w:val="16"/>
        </w:rPr>
        <w:t>capital</w:t>
      </w:r>
      <w:r>
        <w:rPr>
          <w:spacing w:val="-8"/>
          <w:sz w:val="16"/>
        </w:rPr>
        <w:t> </w:t>
      </w:r>
      <w:r>
        <w:rPr>
          <w:sz w:val="16"/>
        </w:rPr>
        <w:t>investment</w:t>
      </w:r>
      <w:r>
        <w:rPr>
          <w:spacing w:val="-7"/>
          <w:sz w:val="16"/>
        </w:rPr>
        <w:t> </w:t>
      </w:r>
      <w:r>
        <w:rPr>
          <w:sz w:val="16"/>
        </w:rPr>
        <w:t>in</w:t>
      </w:r>
      <w:r>
        <w:rPr>
          <w:spacing w:val="-7"/>
          <w:sz w:val="16"/>
        </w:rPr>
        <w:t> </w:t>
      </w:r>
      <w:r>
        <w:rPr>
          <w:sz w:val="16"/>
        </w:rPr>
        <w:t>cash</w:t>
      </w:r>
      <w:r>
        <w:rPr>
          <w:spacing w:val="-8"/>
          <w:sz w:val="16"/>
        </w:rPr>
        <w:t> </w:t>
      </w:r>
      <w:r>
        <w:rPr>
          <w:sz w:val="16"/>
        </w:rPr>
        <w:t>terms.</w:t>
      </w:r>
    </w:p>
    <w:p>
      <w:pPr>
        <w:pStyle w:val="ListParagraph"/>
        <w:numPr>
          <w:ilvl w:val="0"/>
          <w:numId w:val="9"/>
        </w:numPr>
        <w:tabs>
          <w:tab w:pos="515" w:val="left" w:leader="none"/>
        </w:tabs>
        <w:spacing w:line="193" w:lineRule="exact" w:before="0" w:after="0"/>
        <w:ind w:left="514" w:right="0" w:hanging="284"/>
        <w:jc w:val="left"/>
        <w:rPr>
          <w:sz w:val="16"/>
        </w:rPr>
      </w:pPr>
      <w:r>
        <w:rPr>
          <w:sz w:val="16"/>
        </w:rPr>
        <w:t>Figures may not sum to totals due to</w:t>
      </w:r>
      <w:r>
        <w:rPr>
          <w:spacing w:val="-5"/>
          <w:sz w:val="16"/>
        </w:rPr>
        <w:t> </w:t>
      </w:r>
      <w:r>
        <w:rPr>
          <w:sz w:val="16"/>
        </w:rPr>
        <w:t>rounding.</w:t>
      </w:r>
    </w:p>
    <w:p>
      <w:pPr>
        <w:pStyle w:val="ListParagraph"/>
        <w:numPr>
          <w:ilvl w:val="0"/>
          <w:numId w:val="7"/>
        </w:numPr>
        <w:tabs>
          <w:tab w:pos="514" w:val="left" w:leader="none"/>
          <w:tab w:pos="515" w:val="left" w:leader="none"/>
        </w:tabs>
        <w:spacing w:line="240" w:lineRule="auto" w:before="63" w:after="0"/>
        <w:ind w:left="514" w:right="0" w:hanging="284"/>
        <w:jc w:val="left"/>
        <w:rPr>
          <w:sz w:val="16"/>
        </w:rPr>
      </w:pPr>
      <w:r>
        <w:rPr>
          <w:sz w:val="16"/>
        </w:rPr>
        <w:t>Indicates</w:t>
      </w:r>
      <w:r>
        <w:rPr>
          <w:spacing w:val="-2"/>
          <w:sz w:val="16"/>
        </w:rPr>
        <w:t> </w:t>
      </w:r>
      <w:r>
        <w:rPr>
          <w:sz w:val="16"/>
        </w:rPr>
        <w:t>nil.</w:t>
      </w:r>
    </w:p>
    <w:p>
      <w:pPr>
        <w:pStyle w:val="BodyText"/>
        <w:rPr>
          <w:sz w:val="16"/>
        </w:rPr>
      </w:pPr>
    </w:p>
    <w:p>
      <w:pPr>
        <w:pStyle w:val="BodyText"/>
        <w:rPr>
          <w:sz w:val="16"/>
        </w:rPr>
      </w:pPr>
    </w:p>
    <w:p>
      <w:pPr>
        <w:pStyle w:val="BodyText"/>
        <w:rPr>
          <w:sz w:val="16"/>
        </w:rPr>
      </w:pPr>
    </w:p>
    <w:p>
      <w:pPr>
        <w:pStyle w:val="BodyText"/>
        <w:spacing w:before="7"/>
        <w:rPr>
          <w:sz w:val="18"/>
        </w:rPr>
      </w:pPr>
    </w:p>
    <w:p>
      <w:pPr>
        <w:pStyle w:val="Heading2"/>
        <w:spacing w:line="268" w:lineRule="auto" w:before="1"/>
        <w:ind w:left="231" w:right="185" w:hanging="1"/>
      </w:pPr>
      <w:r>
        <w:rPr>
          <w:color w:val="3C4D7C"/>
          <w:spacing w:val="-4"/>
        </w:rPr>
        <w:t>Table </w:t>
      </w:r>
      <w:r>
        <w:rPr>
          <w:color w:val="3C4D7C"/>
          <w:spacing w:val="-3"/>
        </w:rPr>
        <w:t>A4: </w:t>
      </w:r>
      <w:r>
        <w:rPr>
          <w:color w:val="3C4D7C"/>
          <w:spacing w:val="-5"/>
        </w:rPr>
        <w:t>Impact </w:t>
      </w:r>
      <w:r>
        <w:rPr>
          <w:color w:val="3C4D7C"/>
          <w:spacing w:val="-3"/>
        </w:rPr>
        <w:t>of </w:t>
      </w:r>
      <w:r>
        <w:rPr>
          <w:color w:val="3C4D7C"/>
          <w:spacing w:val="-5"/>
        </w:rPr>
        <w:t>accelerating </w:t>
      </w:r>
      <w:r>
        <w:rPr>
          <w:color w:val="3C4D7C"/>
          <w:spacing w:val="-4"/>
        </w:rPr>
        <w:t>Stage </w:t>
      </w:r>
      <w:r>
        <w:rPr>
          <w:color w:val="3C4D7C"/>
        </w:rPr>
        <w:t>2 </w:t>
      </w:r>
      <w:r>
        <w:rPr>
          <w:color w:val="3C4D7C"/>
          <w:spacing w:val="-5"/>
        </w:rPr>
        <w:t>personal </w:t>
      </w:r>
      <w:r>
        <w:rPr>
          <w:color w:val="3C4D7C"/>
          <w:spacing w:val="-4"/>
        </w:rPr>
        <w:t>income </w:t>
      </w:r>
      <w:r>
        <w:rPr>
          <w:color w:val="3C4D7C"/>
          <w:spacing w:val="-3"/>
        </w:rPr>
        <w:t>tax </w:t>
      </w:r>
      <w:r>
        <w:rPr>
          <w:color w:val="3C4D7C"/>
          <w:spacing w:val="-4"/>
        </w:rPr>
        <w:t>cuts </w:t>
      </w:r>
      <w:r>
        <w:rPr>
          <w:color w:val="3C4D7C"/>
        </w:rPr>
        <w:t>– </w:t>
      </w:r>
      <w:r>
        <w:rPr>
          <w:color w:val="3C4D7C"/>
          <w:spacing w:val="-4"/>
        </w:rPr>
        <w:t>Option </w:t>
      </w:r>
      <w:r>
        <w:rPr>
          <w:color w:val="3C4D7C"/>
        </w:rPr>
        <w:t>4: </w:t>
      </w:r>
      <w:r>
        <w:rPr>
          <w:color w:val="3C4D7C"/>
          <w:spacing w:val="-4"/>
        </w:rPr>
        <w:t>Bring </w:t>
      </w:r>
      <w:r>
        <w:rPr>
          <w:color w:val="3C4D7C"/>
          <w:spacing w:val="-5"/>
        </w:rPr>
        <w:t>forward </w:t>
      </w:r>
      <w:r>
        <w:rPr>
          <w:color w:val="3C4D7C"/>
          <w:spacing w:val="-3"/>
        </w:rPr>
        <w:t>the </w:t>
      </w:r>
      <w:r>
        <w:rPr>
          <w:color w:val="3C4D7C"/>
          <w:spacing w:val="-5"/>
        </w:rPr>
        <w:t>scheduled personal </w:t>
      </w:r>
      <w:r>
        <w:rPr>
          <w:color w:val="3C4D7C"/>
          <w:spacing w:val="-4"/>
        </w:rPr>
        <w:t>income </w:t>
      </w:r>
      <w:r>
        <w:rPr>
          <w:color w:val="3C4D7C"/>
          <w:spacing w:val="-3"/>
        </w:rPr>
        <w:t>tax </w:t>
      </w:r>
      <w:r>
        <w:rPr>
          <w:color w:val="3C4D7C"/>
          <w:spacing w:val="-4"/>
        </w:rPr>
        <w:t>cuts </w:t>
      </w:r>
      <w:r>
        <w:rPr>
          <w:color w:val="3C4D7C"/>
          <w:spacing w:val="-5"/>
        </w:rPr>
        <w:t>beginning</w:t>
      </w:r>
      <w:r>
        <w:rPr>
          <w:color w:val="3C4D7C"/>
          <w:spacing w:val="-3"/>
        </w:rPr>
        <w:t> on </w:t>
      </w:r>
      <w:r>
        <w:rPr>
          <w:color w:val="3C4D7C"/>
        </w:rPr>
        <w:t>1 </w:t>
      </w:r>
      <w:r>
        <w:rPr>
          <w:color w:val="3C4D7C"/>
          <w:spacing w:val="-4"/>
        </w:rPr>
        <w:t>July </w:t>
      </w:r>
      <w:r>
        <w:rPr>
          <w:color w:val="3C4D7C"/>
          <w:spacing w:val="-3"/>
        </w:rPr>
        <w:t>2022 to </w:t>
      </w:r>
      <w:r>
        <w:rPr>
          <w:color w:val="3C4D7C"/>
        </w:rPr>
        <w:t>1 </w:t>
      </w:r>
      <w:r>
        <w:rPr>
          <w:color w:val="3C4D7C"/>
          <w:spacing w:val="-4"/>
        </w:rPr>
        <w:t>July 2020, and remove </w:t>
      </w:r>
      <w:r>
        <w:rPr>
          <w:color w:val="3C4D7C"/>
          <w:spacing w:val="-3"/>
        </w:rPr>
        <w:t>the </w:t>
      </w:r>
      <w:r>
        <w:rPr>
          <w:color w:val="3C4D7C"/>
          <w:spacing w:val="-2"/>
        </w:rPr>
        <w:t>low </w:t>
      </w:r>
      <w:r>
        <w:rPr>
          <w:color w:val="3C4D7C"/>
          <w:spacing w:val="-4"/>
        </w:rPr>
        <w:t>and Middle Income </w:t>
      </w:r>
      <w:r>
        <w:rPr>
          <w:color w:val="3C4D7C"/>
          <w:spacing w:val="-3"/>
        </w:rPr>
        <w:t>Tax </w:t>
      </w:r>
      <w:r>
        <w:rPr>
          <w:color w:val="3C4D7C"/>
          <w:spacing w:val="-5"/>
        </w:rPr>
        <w:t>Offset </w:t>
      </w:r>
      <w:r>
        <w:rPr>
          <w:color w:val="3C4D7C"/>
          <w:spacing w:val="-3"/>
        </w:rPr>
        <w:t>for the </w:t>
      </w:r>
      <w:r>
        <w:rPr>
          <w:color w:val="3C4D7C"/>
          <w:spacing w:val="-4"/>
        </w:rPr>
        <w:t>2020-21 and 2021-22 </w:t>
      </w:r>
      <w:r>
        <w:rPr>
          <w:color w:val="3C4D7C"/>
          <w:spacing w:val="-5"/>
        </w:rPr>
        <w:t>income years </w:t>
      </w:r>
      <w:r>
        <w:rPr>
          <w:color w:val="3C4D7C"/>
        </w:rPr>
        <w:t>–</w:t>
      </w:r>
      <w:r>
        <w:rPr>
          <w:color w:val="3C4D7C"/>
          <w:spacing w:val="-5"/>
        </w:rPr>
        <w:t> Fiscal </w:t>
      </w:r>
      <w:r>
        <w:rPr>
          <w:color w:val="3C4D7C"/>
          <w:spacing w:val="-4"/>
        </w:rPr>
        <w:t>and </w:t>
      </w:r>
      <w:r>
        <w:rPr>
          <w:color w:val="3C4D7C"/>
          <w:spacing w:val="-5"/>
        </w:rPr>
        <w:t>underlying </w:t>
      </w:r>
      <w:r>
        <w:rPr>
          <w:color w:val="3C4D7C"/>
          <w:spacing w:val="-3"/>
        </w:rPr>
        <w:t>cash </w:t>
      </w:r>
      <w:r>
        <w:rPr>
          <w:color w:val="3C4D7C"/>
          <w:spacing w:val="-5"/>
        </w:rPr>
        <w:t>balances </w:t>
      </w:r>
      <w:r>
        <w:rPr>
          <w:color w:val="3C4D7C"/>
          <w:spacing w:val="-4"/>
        </w:rPr>
        <w:t>($m)</w:t>
      </w:r>
      <w:r>
        <w:rPr>
          <w:color w:val="3C4D7C"/>
          <w:spacing w:val="-4"/>
          <w:vertAlign w:val="superscript"/>
        </w:rPr>
        <w:t>(a)(b)</w:t>
      </w:r>
    </w:p>
    <w:p>
      <w:pPr>
        <w:pStyle w:val="BodyText"/>
        <w:spacing w:before="1"/>
        <w:rPr>
          <w:b/>
          <w:sz w:val="7"/>
        </w:rPr>
      </w:pPr>
    </w:p>
    <w:tbl>
      <w:tblPr>
        <w:tblW w:w="0" w:type="auto"/>
        <w:jc w:val="left"/>
        <w:tblInd w:w="133" w:type="dxa"/>
        <w:tblBorders>
          <w:top w:val="single" w:sz="8" w:space="0" w:color="788183"/>
          <w:left w:val="single" w:sz="8" w:space="0" w:color="788183"/>
          <w:bottom w:val="single" w:sz="8" w:space="0" w:color="788183"/>
          <w:right w:val="single" w:sz="8" w:space="0" w:color="788183"/>
          <w:insideH w:val="single" w:sz="8" w:space="0" w:color="788183"/>
          <w:insideV w:val="single" w:sz="8" w:space="0" w:color="788183"/>
        </w:tblBorders>
        <w:tblLayout w:type="fixed"/>
        <w:tblCellMar>
          <w:top w:w="0" w:type="dxa"/>
          <w:left w:w="0" w:type="dxa"/>
          <w:bottom w:w="0" w:type="dxa"/>
          <w:right w:w="0" w:type="dxa"/>
        </w:tblCellMar>
        <w:tblLook w:val="01E0"/>
      </w:tblPr>
      <w:tblGrid>
        <w:gridCol w:w="2347"/>
        <w:gridCol w:w="573"/>
        <w:gridCol w:w="573"/>
        <w:gridCol w:w="573"/>
        <w:gridCol w:w="573"/>
        <w:gridCol w:w="573"/>
        <w:gridCol w:w="575"/>
        <w:gridCol w:w="573"/>
        <w:gridCol w:w="573"/>
        <w:gridCol w:w="573"/>
        <w:gridCol w:w="573"/>
        <w:gridCol w:w="573"/>
        <w:gridCol w:w="710"/>
        <w:gridCol w:w="698"/>
      </w:tblGrid>
      <w:tr>
        <w:trPr>
          <w:trHeight w:val="505" w:hRule="atLeast"/>
        </w:trPr>
        <w:tc>
          <w:tcPr>
            <w:tcW w:w="2347" w:type="dxa"/>
            <w:shd w:val="clear" w:color="auto" w:fill="A7B1D3"/>
          </w:tcPr>
          <w:p>
            <w:pPr>
              <w:pStyle w:val="TableParagraph"/>
              <w:jc w:val="left"/>
              <w:rPr>
                <w:rFonts w:ascii="Times New Roman"/>
                <w:sz w:val="16"/>
              </w:rPr>
            </w:pPr>
          </w:p>
        </w:tc>
        <w:tc>
          <w:tcPr>
            <w:tcW w:w="573" w:type="dxa"/>
            <w:shd w:val="clear" w:color="auto" w:fill="A7B1D3"/>
          </w:tcPr>
          <w:p>
            <w:pPr>
              <w:pStyle w:val="TableParagraph"/>
              <w:spacing w:line="183" w:lineRule="exact" w:before="68"/>
              <w:ind w:left="119" w:right="2"/>
              <w:jc w:val="center"/>
              <w:rPr>
                <w:sz w:val="15"/>
              </w:rPr>
            </w:pPr>
            <w:r>
              <w:rPr>
                <w:sz w:val="15"/>
              </w:rPr>
              <w:t>2019–</w:t>
            </w:r>
          </w:p>
          <w:p>
            <w:pPr>
              <w:pStyle w:val="TableParagraph"/>
              <w:spacing w:line="183" w:lineRule="exact"/>
              <w:ind w:left="115" w:right="2"/>
              <w:jc w:val="center"/>
              <w:rPr>
                <w:sz w:val="15"/>
              </w:rPr>
            </w:pPr>
            <w:r>
              <w:rPr>
                <w:sz w:val="15"/>
              </w:rPr>
              <w:t>20</w:t>
            </w:r>
          </w:p>
        </w:tc>
        <w:tc>
          <w:tcPr>
            <w:tcW w:w="573" w:type="dxa"/>
            <w:shd w:val="clear" w:color="auto" w:fill="A7B1D3"/>
          </w:tcPr>
          <w:p>
            <w:pPr>
              <w:pStyle w:val="TableParagraph"/>
              <w:spacing w:line="183" w:lineRule="exact" w:before="68"/>
              <w:ind w:left="120" w:right="2"/>
              <w:jc w:val="center"/>
              <w:rPr>
                <w:sz w:val="15"/>
              </w:rPr>
            </w:pPr>
            <w:r>
              <w:rPr>
                <w:sz w:val="15"/>
              </w:rPr>
              <w:t>2020–</w:t>
            </w:r>
          </w:p>
          <w:p>
            <w:pPr>
              <w:pStyle w:val="TableParagraph"/>
              <w:spacing w:line="183" w:lineRule="exact"/>
              <w:ind w:left="117" w:right="2"/>
              <w:jc w:val="center"/>
              <w:rPr>
                <w:sz w:val="15"/>
              </w:rPr>
            </w:pPr>
            <w:r>
              <w:rPr>
                <w:sz w:val="15"/>
              </w:rPr>
              <w:t>21</w:t>
            </w:r>
          </w:p>
        </w:tc>
        <w:tc>
          <w:tcPr>
            <w:tcW w:w="573" w:type="dxa"/>
            <w:shd w:val="clear" w:color="auto" w:fill="A7B1D3"/>
          </w:tcPr>
          <w:p>
            <w:pPr>
              <w:pStyle w:val="TableParagraph"/>
              <w:spacing w:line="183" w:lineRule="exact" w:before="68"/>
              <w:ind w:left="121" w:right="2"/>
              <w:jc w:val="center"/>
              <w:rPr>
                <w:sz w:val="15"/>
              </w:rPr>
            </w:pPr>
            <w:r>
              <w:rPr>
                <w:sz w:val="15"/>
              </w:rPr>
              <w:t>2021–</w:t>
            </w:r>
          </w:p>
          <w:p>
            <w:pPr>
              <w:pStyle w:val="TableParagraph"/>
              <w:spacing w:line="183" w:lineRule="exact"/>
              <w:ind w:left="118" w:right="2"/>
              <w:jc w:val="center"/>
              <w:rPr>
                <w:sz w:val="15"/>
              </w:rPr>
            </w:pPr>
            <w:r>
              <w:rPr>
                <w:sz w:val="15"/>
              </w:rPr>
              <w:t>22</w:t>
            </w:r>
          </w:p>
        </w:tc>
        <w:tc>
          <w:tcPr>
            <w:tcW w:w="573" w:type="dxa"/>
            <w:shd w:val="clear" w:color="auto" w:fill="A7B1D3"/>
          </w:tcPr>
          <w:p>
            <w:pPr>
              <w:pStyle w:val="TableParagraph"/>
              <w:spacing w:line="183" w:lineRule="exact" w:before="68"/>
              <w:ind w:left="122" w:right="2"/>
              <w:jc w:val="center"/>
              <w:rPr>
                <w:sz w:val="15"/>
              </w:rPr>
            </w:pPr>
            <w:r>
              <w:rPr>
                <w:sz w:val="15"/>
              </w:rPr>
              <w:t>2022–</w:t>
            </w:r>
          </w:p>
          <w:p>
            <w:pPr>
              <w:pStyle w:val="TableParagraph"/>
              <w:spacing w:line="183" w:lineRule="exact"/>
              <w:ind w:left="119" w:right="2"/>
              <w:jc w:val="center"/>
              <w:rPr>
                <w:sz w:val="15"/>
              </w:rPr>
            </w:pPr>
            <w:r>
              <w:rPr>
                <w:sz w:val="15"/>
              </w:rPr>
              <w:t>23</w:t>
            </w:r>
          </w:p>
        </w:tc>
        <w:tc>
          <w:tcPr>
            <w:tcW w:w="573" w:type="dxa"/>
            <w:shd w:val="clear" w:color="auto" w:fill="A7B1D3"/>
          </w:tcPr>
          <w:p>
            <w:pPr>
              <w:pStyle w:val="TableParagraph"/>
              <w:spacing w:line="183" w:lineRule="exact" w:before="68"/>
              <w:ind w:left="123" w:right="2"/>
              <w:jc w:val="center"/>
              <w:rPr>
                <w:sz w:val="15"/>
              </w:rPr>
            </w:pPr>
            <w:r>
              <w:rPr>
                <w:sz w:val="15"/>
              </w:rPr>
              <w:t>2023–</w:t>
            </w:r>
          </w:p>
          <w:p>
            <w:pPr>
              <w:pStyle w:val="TableParagraph"/>
              <w:spacing w:line="183" w:lineRule="exact"/>
              <w:ind w:left="120" w:right="2"/>
              <w:jc w:val="center"/>
              <w:rPr>
                <w:sz w:val="15"/>
              </w:rPr>
            </w:pPr>
            <w:r>
              <w:rPr>
                <w:sz w:val="15"/>
              </w:rPr>
              <w:t>24</w:t>
            </w:r>
          </w:p>
        </w:tc>
        <w:tc>
          <w:tcPr>
            <w:tcW w:w="575" w:type="dxa"/>
            <w:shd w:val="clear" w:color="auto" w:fill="A7B1D3"/>
          </w:tcPr>
          <w:p>
            <w:pPr>
              <w:pStyle w:val="TableParagraph"/>
              <w:spacing w:line="183" w:lineRule="exact" w:before="68"/>
              <w:ind w:left="130" w:right="5"/>
              <w:jc w:val="center"/>
              <w:rPr>
                <w:sz w:val="15"/>
              </w:rPr>
            </w:pPr>
            <w:r>
              <w:rPr>
                <w:sz w:val="15"/>
              </w:rPr>
              <w:t>2024–</w:t>
            </w:r>
          </w:p>
          <w:p>
            <w:pPr>
              <w:pStyle w:val="TableParagraph"/>
              <w:spacing w:line="183" w:lineRule="exact"/>
              <w:ind w:left="127" w:right="5"/>
              <w:jc w:val="center"/>
              <w:rPr>
                <w:sz w:val="15"/>
              </w:rPr>
            </w:pPr>
            <w:r>
              <w:rPr>
                <w:sz w:val="15"/>
              </w:rPr>
              <w:t>25</w:t>
            </w:r>
          </w:p>
        </w:tc>
        <w:tc>
          <w:tcPr>
            <w:tcW w:w="573" w:type="dxa"/>
            <w:shd w:val="clear" w:color="auto" w:fill="A7B1D3"/>
          </w:tcPr>
          <w:p>
            <w:pPr>
              <w:pStyle w:val="TableParagraph"/>
              <w:spacing w:line="183" w:lineRule="exact" w:before="68"/>
              <w:ind w:left="125"/>
              <w:jc w:val="center"/>
              <w:rPr>
                <w:sz w:val="15"/>
              </w:rPr>
            </w:pPr>
            <w:r>
              <w:rPr>
                <w:sz w:val="15"/>
              </w:rPr>
              <w:t>2025–</w:t>
            </w:r>
          </w:p>
          <w:p>
            <w:pPr>
              <w:pStyle w:val="TableParagraph"/>
              <w:spacing w:line="183" w:lineRule="exact"/>
              <w:ind w:left="123" w:right="2"/>
              <w:jc w:val="center"/>
              <w:rPr>
                <w:sz w:val="15"/>
              </w:rPr>
            </w:pPr>
            <w:r>
              <w:rPr>
                <w:sz w:val="15"/>
              </w:rPr>
              <w:t>26</w:t>
            </w:r>
          </w:p>
        </w:tc>
        <w:tc>
          <w:tcPr>
            <w:tcW w:w="573" w:type="dxa"/>
            <w:shd w:val="clear" w:color="auto" w:fill="A7B1D3"/>
          </w:tcPr>
          <w:p>
            <w:pPr>
              <w:pStyle w:val="TableParagraph"/>
              <w:spacing w:line="183" w:lineRule="exact" w:before="68"/>
              <w:ind w:left="128" w:right="2"/>
              <w:jc w:val="center"/>
              <w:rPr>
                <w:sz w:val="15"/>
              </w:rPr>
            </w:pPr>
            <w:r>
              <w:rPr>
                <w:sz w:val="15"/>
              </w:rPr>
              <w:t>2026–</w:t>
            </w:r>
          </w:p>
          <w:p>
            <w:pPr>
              <w:pStyle w:val="TableParagraph"/>
              <w:spacing w:line="183" w:lineRule="exact"/>
              <w:ind w:left="125" w:right="2"/>
              <w:jc w:val="center"/>
              <w:rPr>
                <w:sz w:val="15"/>
              </w:rPr>
            </w:pPr>
            <w:r>
              <w:rPr>
                <w:sz w:val="15"/>
              </w:rPr>
              <w:t>27</w:t>
            </w:r>
          </w:p>
        </w:tc>
        <w:tc>
          <w:tcPr>
            <w:tcW w:w="573" w:type="dxa"/>
            <w:shd w:val="clear" w:color="auto" w:fill="A7B1D3"/>
          </w:tcPr>
          <w:p>
            <w:pPr>
              <w:pStyle w:val="TableParagraph"/>
              <w:spacing w:line="183" w:lineRule="exact" w:before="68"/>
              <w:ind w:left="129" w:right="2"/>
              <w:jc w:val="center"/>
              <w:rPr>
                <w:sz w:val="15"/>
              </w:rPr>
            </w:pPr>
            <w:r>
              <w:rPr>
                <w:sz w:val="15"/>
              </w:rPr>
              <w:t>2027–</w:t>
            </w:r>
          </w:p>
          <w:p>
            <w:pPr>
              <w:pStyle w:val="TableParagraph"/>
              <w:spacing w:line="183" w:lineRule="exact"/>
              <w:ind w:left="125" w:right="1"/>
              <w:jc w:val="center"/>
              <w:rPr>
                <w:sz w:val="15"/>
              </w:rPr>
            </w:pPr>
            <w:r>
              <w:rPr>
                <w:sz w:val="15"/>
              </w:rPr>
              <w:t>28</w:t>
            </w:r>
          </w:p>
        </w:tc>
        <w:tc>
          <w:tcPr>
            <w:tcW w:w="573" w:type="dxa"/>
            <w:shd w:val="clear" w:color="auto" w:fill="A7B1D3"/>
          </w:tcPr>
          <w:p>
            <w:pPr>
              <w:pStyle w:val="TableParagraph"/>
              <w:spacing w:line="183" w:lineRule="exact" w:before="68"/>
              <w:ind w:left="130" w:right="2"/>
              <w:jc w:val="center"/>
              <w:rPr>
                <w:sz w:val="15"/>
              </w:rPr>
            </w:pPr>
            <w:r>
              <w:rPr>
                <w:sz w:val="15"/>
              </w:rPr>
              <w:t>2028–</w:t>
            </w:r>
          </w:p>
          <w:p>
            <w:pPr>
              <w:pStyle w:val="TableParagraph"/>
              <w:spacing w:line="183" w:lineRule="exact"/>
              <w:ind w:left="125"/>
              <w:jc w:val="center"/>
              <w:rPr>
                <w:sz w:val="15"/>
              </w:rPr>
            </w:pPr>
            <w:r>
              <w:rPr>
                <w:sz w:val="15"/>
              </w:rPr>
              <w:t>29</w:t>
            </w:r>
          </w:p>
        </w:tc>
        <w:tc>
          <w:tcPr>
            <w:tcW w:w="573" w:type="dxa"/>
            <w:shd w:val="clear" w:color="auto" w:fill="A7B1D3"/>
          </w:tcPr>
          <w:p>
            <w:pPr>
              <w:pStyle w:val="TableParagraph"/>
              <w:spacing w:line="183" w:lineRule="exact" w:before="68"/>
              <w:ind w:left="130" w:right="1"/>
              <w:jc w:val="center"/>
              <w:rPr>
                <w:sz w:val="15"/>
              </w:rPr>
            </w:pPr>
            <w:r>
              <w:rPr>
                <w:sz w:val="15"/>
              </w:rPr>
              <w:t>2029–</w:t>
            </w:r>
          </w:p>
          <w:p>
            <w:pPr>
              <w:pStyle w:val="TableParagraph"/>
              <w:spacing w:line="183" w:lineRule="exact"/>
              <w:ind w:left="128" w:right="2"/>
              <w:jc w:val="center"/>
              <w:rPr>
                <w:sz w:val="15"/>
              </w:rPr>
            </w:pPr>
            <w:r>
              <w:rPr>
                <w:sz w:val="15"/>
              </w:rPr>
              <w:t>30</w:t>
            </w:r>
          </w:p>
        </w:tc>
        <w:tc>
          <w:tcPr>
            <w:tcW w:w="710" w:type="dxa"/>
            <w:shd w:val="clear" w:color="auto" w:fill="A7B1D3"/>
          </w:tcPr>
          <w:p>
            <w:pPr>
              <w:pStyle w:val="TableParagraph"/>
              <w:spacing w:before="68"/>
              <w:ind w:left="136" w:right="3" w:firstLine="43"/>
              <w:jc w:val="left"/>
              <w:rPr>
                <w:b/>
                <w:sz w:val="15"/>
              </w:rPr>
            </w:pPr>
            <w:r>
              <w:rPr>
                <w:b/>
                <w:sz w:val="15"/>
              </w:rPr>
              <w:t>Total to 2022–23</w:t>
            </w:r>
          </w:p>
        </w:tc>
        <w:tc>
          <w:tcPr>
            <w:tcW w:w="698" w:type="dxa"/>
            <w:shd w:val="clear" w:color="auto" w:fill="A7B1D3"/>
          </w:tcPr>
          <w:p>
            <w:pPr>
              <w:pStyle w:val="TableParagraph"/>
              <w:spacing w:before="68"/>
              <w:ind w:left="124" w:right="3" w:firstLine="43"/>
              <w:jc w:val="left"/>
              <w:rPr>
                <w:b/>
                <w:sz w:val="15"/>
              </w:rPr>
            </w:pPr>
            <w:r>
              <w:rPr>
                <w:b/>
                <w:sz w:val="15"/>
              </w:rPr>
              <w:t>Total to 2029–30</w:t>
            </w:r>
          </w:p>
        </w:tc>
      </w:tr>
      <w:tr>
        <w:trPr>
          <w:trHeight w:val="323" w:hRule="atLeast"/>
        </w:trPr>
        <w:tc>
          <w:tcPr>
            <w:tcW w:w="10060" w:type="dxa"/>
            <w:gridSpan w:val="14"/>
            <w:shd w:val="clear" w:color="auto" w:fill="D2D7E9"/>
          </w:tcPr>
          <w:p>
            <w:pPr>
              <w:pStyle w:val="TableParagraph"/>
              <w:spacing w:before="68"/>
              <w:ind w:left="50"/>
              <w:jc w:val="left"/>
              <w:rPr>
                <w:b/>
                <w:sz w:val="15"/>
              </w:rPr>
            </w:pPr>
            <w:r>
              <w:rPr>
                <w:b/>
                <w:sz w:val="15"/>
              </w:rPr>
              <w:t>Tax revenue</w:t>
            </w:r>
          </w:p>
        </w:tc>
      </w:tr>
      <w:tr>
        <w:trPr>
          <w:trHeight w:val="323" w:hRule="atLeast"/>
        </w:trPr>
        <w:tc>
          <w:tcPr>
            <w:tcW w:w="10060" w:type="dxa"/>
            <w:gridSpan w:val="14"/>
            <w:shd w:val="clear" w:color="auto" w:fill="F1F1F1"/>
          </w:tcPr>
          <w:p>
            <w:pPr>
              <w:pStyle w:val="TableParagraph"/>
              <w:spacing w:before="68"/>
              <w:ind w:left="50"/>
              <w:jc w:val="left"/>
              <w:rPr>
                <w:i/>
                <w:sz w:val="15"/>
              </w:rPr>
            </w:pPr>
            <w:r>
              <w:rPr>
                <w:i/>
                <w:sz w:val="15"/>
              </w:rPr>
              <w:t>Administered tax</w:t>
            </w:r>
          </w:p>
        </w:tc>
      </w:tr>
      <w:tr>
        <w:trPr>
          <w:trHeight w:val="505" w:hRule="atLeast"/>
        </w:trPr>
        <w:tc>
          <w:tcPr>
            <w:tcW w:w="2347" w:type="dxa"/>
          </w:tcPr>
          <w:p>
            <w:pPr>
              <w:pStyle w:val="TableParagraph"/>
              <w:spacing w:before="68"/>
              <w:ind w:left="50"/>
              <w:jc w:val="left"/>
              <w:rPr>
                <w:i/>
                <w:sz w:val="15"/>
              </w:rPr>
            </w:pPr>
            <w:r>
              <w:rPr>
                <w:i/>
                <w:sz w:val="15"/>
              </w:rPr>
              <w:t>Increase the tax threshold from</w:t>
            </w:r>
          </w:p>
          <w:p>
            <w:pPr>
              <w:pStyle w:val="TableParagraph"/>
              <w:spacing w:before="1"/>
              <w:ind w:left="50"/>
              <w:jc w:val="left"/>
              <w:rPr>
                <w:i/>
                <w:sz w:val="15"/>
              </w:rPr>
            </w:pPr>
            <w:r>
              <w:rPr>
                <w:i/>
                <w:sz w:val="15"/>
              </w:rPr>
              <w:t>$90,000 to $120,000</w:t>
            </w:r>
          </w:p>
        </w:tc>
        <w:tc>
          <w:tcPr>
            <w:tcW w:w="573" w:type="dxa"/>
          </w:tcPr>
          <w:p>
            <w:pPr>
              <w:pStyle w:val="TableParagraph"/>
              <w:jc w:val="left"/>
              <w:rPr>
                <w:b/>
                <w:sz w:val="13"/>
              </w:rPr>
            </w:pPr>
          </w:p>
          <w:p>
            <w:pPr>
              <w:pStyle w:val="TableParagraph"/>
              <w:ind w:right="27"/>
              <w:rPr>
                <w:i/>
                <w:sz w:val="15"/>
              </w:rPr>
            </w:pPr>
            <w:r>
              <w:rPr>
                <w:i/>
                <w:w w:val="100"/>
                <w:sz w:val="15"/>
              </w:rPr>
              <w:t>-</w:t>
            </w:r>
          </w:p>
        </w:tc>
        <w:tc>
          <w:tcPr>
            <w:tcW w:w="573" w:type="dxa"/>
          </w:tcPr>
          <w:p>
            <w:pPr>
              <w:pStyle w:val="TableParagraph"/>
              <w:jc w:val="left"/>
              <w:rPr>
                <w:b/>
                <w:sz w:val="13"/>
              </w:rPr>
            </w:pPr>
          </w:p>
          <w:p>
            <w:pPr>
              <w:pStyle w:val="TableParagraph"/>
              <w:ind w:right="25"/>
              <w:rPr>
                <w:i/>
                <w:sz w:val="15"/>
              </w:rPr>
            </w:pPr>
            <w:r>
              <w:rPr>
                <w:i/>
                <w:sz w:val="15"/>
              </w:rPr>
              <w:t>-3,110</w:t>
            </w:r>
          </w:p>
        </w:tc>
        <w:tc>
          <w:tcPr>
            <w:tcW w:w="573" w:type="dxa"/>
          </w:tcPr>
          <w:p>
            <w:pPr>
              <w:pStyle w:val="TableParagraph"/>
              <w:jc w:val="left"/>
              <w:rPr>
                <w:b/>
                <w:sz w:val="13"/>
              </w:rPr>
            </w:pPr>
          </w:p>
          <w:p>
            <w:pPr>
              <w:pStyle w:val="TableParagraph"/>
              <w:ind w:right="24"/>
              <w:rPr>
                <w:i/>
                <w:sz w:val="15"/>
              </w:rPr>
            </w:pPr>
            <w:r>
              <w:rPr>
                <w:i/>
                <w:sz w:val="15"/>
              </w:rPr>
              <w:t>-3,630</w:t>
            </w:r>
          </w:p>
        </w:tc>
        <w:tc>
          <w:tcPr>
            <w:tcW w:w="573" w:type="dxa"/>
          </w:tcPr>
          <w:p>
            <w:pPr>
              <w:pStyle w:val="TableParagraph"/>
              <w:jc w:val="left"/>
              <w:rPr>
                <w:b/>
                <w:sz w:val="13"/>
              </w:rPr>
            </w:pPr>
          </w:p>
          <w:p>
            <w:pPr>
              <w:pStyle w:val="TableParagraph"/>
              <w:ind w:right="23"/>
              <w:rPr>
                <w:i/>
                <w:sz w:val="15"/>
              </w:rPr>
            </w:pPr>
            <w:r>
              <w:rPr>
                <w:i/>
                <w:sz w:val="15"/>
              </w:rPr>
              <w:t>-330</w:t>
            </w:r>
          </w:p>
        </w:tc>
        <w:tc>
          <w:tcPr>
            <w:tcW w:w="573" w:type="dxa"/>
          </w:tcPr>
          <w:p>
            <w:pPr>
              <w:pStyle w:val="TableParagraph"/>
              <w:jc w:val="left"/>
              <w:rPr>
                <w:b/>
                <w:sz w:val="13"/>
              </w:rPr>
            </w:pPr>
          </w:p>
          <w:p>
            <w:pPr>
              <w:pStyle w:val="TableParagraph"/>
              <w:ind w:right="23"/>
              <w:rPr>
                <w:i/>
                <w:sz w:val="15"/>
              </w:rPr>
            </w:pPr>
            <w:r>
              <w:rPr>
                <w:i/>
                <w:sz w:val="15"/>
              </w:rPr>
              <w:t>-40</w:t>
            </w:r>
          </w:p>
        </w:tc>
        <w:tc>
          <w:tcPr>
            <w:tcW w:w="575" w:type="dxa"/>
          </w:tcPr>
          <w:p>
            <w:pPr>
              <w:pStyle w:val="TableParagraph"/>
              <w:jc w:val="left"/>
              <w:rPr>
                <w:b/>
                <w:sz w:val="13"/>
              </w:rPr>
            </w:pPr>
          </w:p>
          <w:p>
            <w:pPr>
              <w:pStyle w:val="TableParagraph"/>
              <w:ind w:right="24"/>
              <w:rPr>
                <w:i/>
                <w:sz w:val="15"/>
              </w:rPr>
            </w:pPr>
            <w:r>
              <w:rPr>
                <w:i/>
                <w:sz w:val="15"/>
              </w:rPr>
              <w:t>..</w:t>
            </w:r>
          </w:p>
        </w:tc>
        <w:tc>
          <w:tcPr>
            <w:tcW w:w="573" w:type="dxa"/>
          </w:tcPr>
          <w:p>
            <w:pPr>
              <w:pStyle w:val="TableParagraph"/>
              <w:jc w:val="left"/>
              <w:rPr>
                <w:b/>
                <w:sz w:val="13"/>
              </w:rPr>
            </w:pPr>
          </w:p>
          <w:p>
            <w:pPr>
              <w:pStyle w:val="TableParagraph"/>
              <w:ind w:right="23"/>
              <w:rPr>
                <w:i/>
                <w:sz w:val="15"/>
              </w:rPr>
            </w:pPr>
            <w:r>
              <w:rPr>
                <w:i/>
                <w:w w:val="100"/>
                <w:sz w:val="15"/>
              </w:rPr>
              <w:t>-</w:t>
            </w:r>
          </w:p>
        </w:tc>
        <w:tc>
          <w:tcPr>
            <w:tcW w:w="573" w:type="dxa"/>
          </w:tcPr>
          <w:p>
            <w:pPr>
              <w:pStyle w:val="TableParagraph"/>
              <w:jc w:val="left"/>
              <w:rPr>
                <w:b/>
                <w:sz w:val="13"/>
              </w:rPr>
            </w:pPr>
          </w:p>
          <w:p>
            <w:pPr>
              <w:pStyle w:val="TableParagraph"/>
              <w:ind w:right="22"/>
              <w:rPr>
                <w:i/>
                <w:sz w:val="15"/>
              </w:rPr>
            </w:pPr>
            <w:r>
              <w:rPr>
                <w:i/>
                <w:w w:val="100"/>
                <w:sz w:val="15"/>
              </w:rPr>
              <w:t>-</w:t>
            </w:r>
          </w:p>
        </w:tc>
        <w:tc>
          <w:tcPr>
            <w:tcW w:w="573" w:type="dxa"/>
          </w:tcPr>
          <w:p>
            <w:pPr>
              <w:pStyle w:val="TableParagraph"/>
              <w:jc w:val="left"/>
              <w:rPr>
                <w:b/>
                <w:sz w:val="13"/>
              </w:rPr>
            </w:pPr>
          </w:p>
          <w:p>
            <w:pPr>
              <w:pStyle w:val="TableParagraph"/>
              <w:ind w:right="22"/>
              <w:rPr>
                <w:i/>
                <w:sz w:val="15"/>
              </w:rPr>
            </w:pPr>
            <w:r>
              <w:rPr>
                <w:i/>
                <w:w w:val="100"/>
                <w:sz w:val="15"/>
              </w:rPr>
              <w:t>-</w:t>
            </w:r>
          </w:p>
        </w:tc>
        <w:tc>
          <w:tcPr>
            <w:tcW w:w="573" w:type="dxa"/>
          </w:tcPr>
          <w:p>
            <w:pPr>
              <w:pStyle w:val="TableParagraph"/>
              <w:jc w:val="left"/>
              <w:rPr>
                <w:b/>
                <w:sz w:val="13"/>
              </w:rPr>
            </w:pPr>
          </w:p>
          <w:p>
            <w:pPr>
              <w:pStyle w:val="TableParagraph"/>
              <w:ind w:right="21"/>
              <w:rPr>
                <w:i/>
                <w:sz w:val="15"/>
              </w:rPr>
            </w:pPr>
            <w:r>
              <w:rPr>
                <w:i/>
                <w:w w:val="100"/>
                <w:sz w:val="15"/>
              </w:rPr>
              <w:t>-</w:t>
            </w:r>
          </w:p>
        </w:tc>
        <w:tc>
          <w:tcPr>
            <w:tcW w:w="573" w:type="dxa"/>
          </w:tcPr>
          <w:p>
            <w:pPr>
              <w:pStyle w:val="TableParagraph"/>
              <w:jc w:val="left"/>
              <w:rPr>
                <w:b/>
                <w:sz w:val="13"/>
              </w:rPr>
            </w:pPr>
          </w:p>
          <w:p>
            <w:pPr>
              <w:pStyle w:val="TableParagraph"/>
              <w:ind w:right="20"/>
              <w:rPr>
                <w:i/>
                <w:sz w:val="15"/>
              </w:rPr>
            </w:pPr>
            <w:r>
              <w:rPr>
                <w:i/>
                <w:w w:val="100"/>
                <w:sz w:val="15"/>
              </w:rPr>
              <w:t>-</w:t>
            </w:r>
          </w:p>
        </w:tc>
        <w:tc>
          <w:tcPr>
            <w:tcW w:w="710" w:type="dxa"/>
          </w:tcPr>
          <w:p>
            <w:pPr>
              <w:pStyle w:val="TableParagraph"/>
              <w:jc w:val="left"/>
              <w:rPr>
                <w:b/>
                <w:sz w:val="13"/>
              </w:rPr>
            </w:pPr>
          </w:p>
          <w:p>
            <w:pPr>
              <w:pStyle w:val="TableParagraph"/>
              <w:ind w:right="18"/>
              <w:rPr>
                <w:b/>
                <w:i/>
                <w:sz w:val="15"/>
              </w:rPr>
            </w:pPr>
            <w:r>
              <w:rPr>
                <w:b/>
                <w:i/>
                <w:sz w:val="15"/>
              </w:rPr>
              <w:t>-7,070</w:t>
            </w:r>
          </w:p>
        </w:tc>
        <w:tc>
          <w:tcPr>
            <w:tcW w:w="698" w:type="dxa"/>
          </w:tcPr>
          <w:p>
            <w:pPr>
              <w:pStyle w:val="TableParagraph"/>
              <w:jc w:val="left"/>
              <w:rPr>
                <w:b/>
                <w:sz w:val="13"/>
              </w:rPr>
            </w:pPr>
          </w:p>
          <w:p>
            <w:pPr>
              <w:pStyle w:val="TableParagraph"/>
              <w:ind w:right="18"/>
              <w:rPr>
                <w:b/>
                <w:i/>
                <w:sz w:val="15"/>
              </w:rPr>
            </w:pPr>
            <w:r>
              <w:rPr>
                <w:b/>
                <w:i/>
                <w:sz w:val="15"/>
              </w:rPr>
              <w:t>-7,100</w:t>
            </w:r>
          </w:p>
        </w:tc>
      </w:tr>
      <w:tr>
        <w:trPr>
          <w:trHeight w:val="505" w:hRule="atLeast"/>
        </w:trPr>
        <w:tc>
          <w:tcPr>
            <w:tcW w:w="2347" w:type="dxa"/>
          </w:tcPr>
          <w:p>
            <w:pPr>
              <w:pStyle w:val="TableParagraph"/>
              <w:spacing w:before="68"/>
              <w:ind w:left="50"/>
              <w:jc w:val="left"/>
              <w:rPr>
                <w:i/>
                <w:sz w:val="15"/>
              </w:rPr>
            </w:pPr>
            <w:r>
              <w:rPr>
                <w:i/>
                <w:sz w:val="15"/>
              </w:rPr>
              <w:t>Increase the tax threshold from</w:t>
            </w:r>
          </w:p>
          <w:p>
            <w:pPr>
              <w:pStyle w:val="TableParagraph"/>
              <w:spacing w:before="1"/>
              <w:ind w:left="50"/>
              <w:jc w:val="left"/>
              <w:rPr>
                <w:i/>
                <w:sz w:val="15"/>
              </w:rPr>
            </w:pPr>
            <w:r>
              <w:rPr>
                <w:i/>
                <w:sz w:val="15"/>
              </w:rPr>
              <w:t>$37,000 to $45,000</w:t>
            </w:r>
          </w:p>
        </w:tc>
        <w:tc>
          <w:tcPr>
            <w:tcW w:w="573" w:type="dxa"/>
          </w:tcPr>
          <w:p>
            <w:pPr>
              <w:pStyle w:val="TableParagraph"/>
              <w:spacing w:before="2"/>
              <w:jc w:val="left"/>
              <w:rPr>
                <w:b/>
                <w:sz w:val="13"/>
              </w:rPr>
            </w:pPr>
          </w:p>
          <w:p>
            <w:pPr>
              <w:pStyle w:val="TableParagraph"/>
              <w:spacing w:before="1"/>
              <w:ind w:right="27"/>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5"/>
              <w:rPr>
                <w:i/>
                <w:sz w:val="15"/>
              </w:rPr>
            </w:pPr>
            <w:r>
              <w:rPr>
                <w:i/>
                <w:sz w:val="15"/>
              </w:rPr>
              <w:t>-9,100</w:t>
            </w:r>
          </w:p>
        </w:tc>
        <w:tc>
          <w:tcPr>
            <w:tcW w:w="573" w:type="dxa"/>
          </w:tcPr>
          <w:p>
            <w:pPr>
              <w:pStyle w:val="TableParagraph"/>
              <w:spacing w:before="2"/>
              <w:jc w:val="left"/>
              <w:rPr>
                <w:b/>
                <w:sz w:val="13"/>
              </w:rPr>
            </w:pPr>
          </w:p>
          <w:p>
            <w:pPr>
              <w:pStyle w:val="TableParagraph"/>
              <w:spacing w:before="1"/>
              <w:ind w:right="24"/>
              <w:rPr>
                <w:i/>
                <w:sz w:val="15"/>
              </w:rPr>
            </w:pPr>
            <w:r>
              <w:rPr>
                <w:i/>
                <w:sz w:val="15"/>
              </w:rPr>
              <w:t>-10,200</w:t>
            </w:r>
          </w:p>
        </w:tc>
        <w:tc>
          <w:tcPr>
            <w:tcW w:w="573" w:type="dxa"/>
          </w:tcPr>
          <w:p>
            <w:pPr>
              <w:pStyle w:val="TableParagraph"/>
              <w:spacing w:before="2"/>
              <w:jc w:val="left"/>
              <w:rPr>
                <w:b/>
                <w:sz w:val="13"/>
              </w:rPr>
            </w:pPr>
          </w:p>
          <w:p>
            <w:pPr>
              <w:pStyle w:val="TableParagraph"/>
              <w:spacing w:before="1"/>
              <w:ind w:right="23"/>
              <w:rPr>
                <w:i/>
                <w:sz w:val="15"/>
              </w:rPr>
            </w:pPr>
            <w:r>
              <w:rPr>
                <w:i/>
                <w:sz w:val="15"/>
              </w:rPr>
              <w:t>-900</w:t>
            </w:r>
          </w:p>
        </w:tc>
        <w:tc>
          <w:tcPr>
            <w:tcW w:w="573" w:type="dxa"/>
          </w:tcPr>
          <w:p>
            <w:pPr>
              <w:pStyle w:val="TableParagraph"/>
              <w:spacing w:before="2"/>
              <w:jc w:val="left"/>
              <w:rPr>
                <w:b/>
                <w:sz w:val="13"/>
              </w:rPr>
            </w:pPr>
          </w:p>
          <w:p>
            <w:pPr>
              <w:pStyle w:val="TableParagraph"/>
              <w:spacing w:before="1"/>
              <w:ind w:right="23"/>
              <w:rPr>
                <w:i/>
                <w:sz w:val="15"/>
              </w:rPr>
            </w:pPr>
            <w:r>
              <w:rPr>
                <w:i/>
                <w:sz w:val="15"/>
              </w:rPr>
              <w:t>-100</w:t>
            </w:r>
          </w:p>
        </w:tc>
        <w:tc>
          <w:tcPr>
            <w:tcW w:w="575" w:type="dxa"/>
          </w:tcPr>
          <w:p>
            <w:pPr>
              <w:pStyle w:val="TableParagraph"/>
              <w:spacing w:before="2"/>
              <w:jc w:val="left"/>
              <w:rPr>
                <w:b/>
                <w:sz w:val="13"/>
              </w:rPr>
            </w:pPr>
          </w:p>
          <w:p>
            <w:pPr>
              <w:pStyle w:val="TableParagraph"/>
              <w:spacing w:before="1"/>
              <w:ind w:right="24"/>
              <w:rPr>
                <w:i/>
                <w:sz w:val="15"/>
              </w:rPr>
            </w:pPr>
            <w:r>
              <w:rPr>
                <w:i/>
                <w:sz w:val="15"/>
              </w:rPr>
              <w:t>..</w:t>
            </w:r>
          </w:p>
        </w:tc>
        <w:tc>
          <w:tcPr>
            <w:tcW w:w="573" w:type="dxa"/>
          </w:tcPr>
          <w:p>
            <w:pPr>
              <w:pStyle w:val="TableParagraph"/>
              <w:spacing w:before="2"/>
              <w:jc w:val="left"/>
              <w:rPr>
                <w:b/>
                <w:sz w:val="13"/>
              </w:rPr>
            </w:pPr>
          </w:p>
          <w:p>
            <w:pPr>
              <w:pStyle w:val="TableParagraph"/>
              <w:spacing w:before="1"/>
              <w:ind w:right="23"/>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2"/>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2"/>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1"/>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0"/>
              <w:rPr>
                <w:i/>
                <w:sz w:val="15"/>
              </w:rPr>
            </w:pPr>
            <w:r>
              <w:rPr>
                <w:i/>
                <w:w w:val="100"/>
                <w:sz w:val="15"/>
              </w:rPr>
              <w:t>-</w:t>
            </w:r>
          </w:p>
        </w:tc>
        <w:tc>
          <w:tcPr>
            <w:tcW w:w="710" w:type="dxa"/>
          </w:tcPr>
          <w:p>
            <w:pPr>
              <w:pStyle w:val="TableParagraph"/>
              <w:spacing w:before="2"/>
              <w:jc w:val="left"/>
              <w:rPr>
                <w:b/>
                <w:sz w:val="13"/>
              </w:rPr>
            </w:pPr>
          </w:p>
          <w:p>
            <w:pPr>
              <w:pStyle w:val="TableParagraph"/>
              <w:spacing w:before="1"/>
              <w:ind w:right="18"/>
              <w:rPr>
                <w:b/>
                <w:i/>
                <w:sz w:val="15"/>
              </w:rPr>
            </w:pPr>
            <w:r>
              <w:rPr>
                <w:b/>
                <w:i/>
                <w:sz w:val="15"/>
              </w:rPr>
              <w:t>-20,100</w:t>
            </w:r>
          </w:p>
        </w:tc>
        <w:tc>
          <w:tcPr>
            <w:tcW w:w="698" w:type="dxa"/>
          </w:tcPr>
          <w:p>
            <w:pPr>
              <w:pStyle w:val="TableParagraph"/>
              <w:spacing w:before="2"/>
              <w:jc w:val="left"/>
              <w:rPr>
                <w:b/>
                <w:sz w:val="13"/>
              </w:rPr>
            </w:pPr>
          </w:p>
          <w:p>
            <w:pPr>
              <w:pStyle w:val="TableParagraph"/>
              <w:spacing w:before="1"/>
              <w:ind w:right="18"/>
              <w:rPr>
                <w:b/>
                <w:i/>
                <w:sz w:val="15"/>
              </w:rPr>
            </w:pPr>
            <w:r>
              <w:rPr>
                <w:b/>
                <w:i/>
                <w:sz w:val="15"/>
              </w:rPr>
              <w:t>-20,200</w:t>
            </w:r>
          </w:p>
        </w:tc>
      </w:tr>
      <w:tr>
        <w:trPr>
          <w:trHeight w:val="508" w:hRule="atLeast"/>
        </w:trPr>
        <w:tc>
          <w:tcPr>
            <w:tcW w:w="2347" w:type="dxa"/>
          </w:tcPr>
          <w:p>
            <w:pPr>
              <w:pStyle w:val="TableParagraph"/>
              <w:spacing w:line="183" w:lineRule="exact" w:before="70"/>
              <w:ind w:left="50"/>
              <w:jc w:val="left"/>
              <w:rPr>
                <w:i/>
                <w:sz w:val="15"/>
              </w:rPr>
            </w:pPr>
            <w:r>
              <w:rPr>
                <w:i/>
                <w:sz w:val="15"/>
              </w:rPr>
              <w:t>Increase low income tax offset from</w:t>
            </w:r>
          </w:p>
          <w:p>
            <w:pPr>
              <w:pStyle w:val="TableParagraph"/>
              <w:spacing w:line="183" w:lineRule="exact"/>
              <w:ind w:left="50"/>
              <w:jc w:val="left"/>
              <w:rPr>
                <w:i/>
                <w:sz w:val="15"/>
              </w:rPr>
            </w:pPr>
            <w:r>
              <w:rPr>
                <w:i/>
                <w:sz w:val="15"/>
              </w:rPr>
              <w:t>$445 to $700</w:t>
            </w:r>
          </w:p>
        </w:tc>
        <w:tc>
          <w:tcPr>
            <w:tcW w:w="573" w:type="dxa"/>
          </w:tcPr>
          <w:p>
            <w:pPr>
              <w:pStyle w:val="TableParagraph"/>
              <w:spacing w:before="2"/>
              <w:jc w:val="left"/>
              <w:rPr>
                <w:b/>
                <w:sz w:val="13"/>
              </w:rPr>
            </w:pPr>
          </w:p>
          <w:p>
            <w:pPr>
              <w:pStyle w:val="TableParagraph"/>
              <w:spacing w:before="1"/>
              <w:ind w:right="27"/>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4"/>
              <w:rPr>
                <w:i/>
                <w:sz w:val="15"/>
              </w:rPr>
            </w:pPr>
            <w:r>
              <w:rPr>
                <w:i/>
                <w:sz w:val="15"/>
              </w:rPr>
              <w:t>-70</w:t>
            </w:r>
          </w:p>
        </w:tc>
        <w:tc>
          <w:tcPr>
            <w:tcW w:w="573" w:type="dxa"/>
          </w:tcPr>
          <w:p>
            <w:pPr>
              <w:pStyle w:val="TableParagraph"/>
              <w:spacing w:before="2"/>
              <w:jc w:val="left"/>
              <w:rPr>
                <w:b/>
                <w:sz w:val="13"/>
              </w:rPr>
            </w:pPr>
          </w:p>
          <w:p>
            <w:pPr>
              <w:pStyle w:val="TableParagraph"/>
              <w:spacing w:before="1"/>
              <w:ind w:right="24"/>
              <w:rPr>
                <w:i/>
                <w:sz w:val="15"/>
              </w:rPr>
            </w:pPr>
            <w:r>
              <w:rPr>
                <w:i/>
                <w:sz w:val="15"/>
              </w:rPr>
              <w:t>-300</w:t>
            </w:r>
          </w:p>
        </w:tc>
        <w:tc>
          <w:tcPr>
            <w:tcW w:w="573" w:type="dxa"/>
          </w:tcPr>
          <w:p>
            <w:pPr>
              <w:pStyle w:val="TableParagraph"/>
              <w:spacing w:before="2"/>
              <w:jc w:val="left"/>
              <w:rPr>
                <w:b/>
                <w:sz w:val="13"/>
              </w:rPr>
            </w:pPr>
          </w:p>
          <w:p>
            <w:pPr>
              <w:pStyle w:val="TableParagraph"/>
              <w:spacing w:before="1"/>
              <w:ind w:right="23"/>
              <w:rPr>
                <w:i/>
                <w:sz w:val="15"/>
              </w:rPr>
            </w:pPr>
            <w:r>
              <w:rPr>
                <w:i/>
                <w:sz w:val="15"/>
              </w:rPr>
              <w:t>-230</w:t>
            </w:r>
          </w:p>
        </w:tc>
        <w:tc>
          <w:tcPr>
            <w:tcW w:w="573" w:type="dxa"/>
          </w:tcPr>
          <w:p>
            <w:pPr>
              <w:pStyle w:val="TableParagraph"/>
              <w:spacing w:before="2"/>
              <w:jc w:val="left"/>
              <w:rPr>
                <w:b/>
                <w:sz w:val="13"/>
              </w:rPr>
            </w:pPr>
          </w:p>
          <w:p>
            <w:pPr>
              <w:pStyle w:val="TableParagraph"/>
              <w:spacing w:before="1"/>
              <w:ind w:right="25"/>
              <w:rPr>
                <w:i/>
                <w:sz w:val="15"/>
              </w:rPr>
            </w:pPr>
            <w:r>
              <w:rPr>
                <w:i/>
                <w:sz w:val="15"/>
              </w:rPr>
              <w:t>..</w:t>
            </w:r>
          </w:p>
        </w:tc>
        <w:tc>
          <w:tcPr>
            <w:tcW w:w="575" w:type="dxa"/>
          </w:tcPr>
          <w:p>
            <w:pPr>
              <w:pStyle w:val="TableParagraph"/>
              <w:spacing w:before="2"/>
              <w:jc w:val="left"/>
              <w:rPr>
                <w:b/>
                <w:sz w:val="13"/>
              </w:rPr>
            </w:pPr>
          </w:p>
          <w:p>
            <w:pPr>
              <w:pStyle w:val="TableParagraph"/>
              <w:spacing w:before="1"/>
              <w:ind w:right="24"/>
              <w:rPr>
                <w:i/>
                <w:sz w:val="15"/>
              </w:rPr>
            </w:pPr>
            <w:r>
              <w:rPr>
                <w:i/>
                <w:sz w:val="15"/>
              </w:rPr>
              <w:t>..</w:t>
            </w:r>
          </w:p>
        </w:tc>
        <w:tc>
          <w:tcPr>
            <w:tcW w:w="573" w:type="dxa"/>
          </w:tcPr>
          <w:p>
            <w:pPr>
              <w:pStyle w:val="TableParagraph"/>
              <w:spacing w:before="2"/>
              <w:jc w:val="left"/>
              <w:rPr>
                <w:b/>
                <w:sz w:val="13"/>
              </w:rPr>
            </w:pPr>
          </w:p>
          <w:p>
            <w:pPr>
              <w:pStyle w:val="TableParagraph"/>
              <w:spacing w:before="1"/>
              <w:ind w:right="23"/>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2"/>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2"/>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1"/>
              <w:rPr>
                <w:i/>
                <w:sz w:val="15"/>
              </w:rPr>
            </w:pPr>
            <w:r>
              <w:rPr>
                <w:i/>
                <w:w w:val="100"/>
                <w:sz w:val="15"/>
              </w:rPr>
              <w:t>-</w:t>
            </w:r>
          </w:p>
        </w:tc>
        <w:tc>
          <w:tcPr>
            <w:tcW w:w="573" w:type="dxa"/>
          </w:tcPr>
          <w:p>
            <w:pPr>
              <w:pStyle w:val="TableParagraph"/>
              <w:spacing w:before="2"/>
              <w:jc w:val="left"/>
              <w:rPr>
                <w:b/>
                <w:sz w:val="13"/>
              </w:rPr>
            </w:pPr>
          </w:p>
          <w:p>
            <w:pPr>
              <w:pStyle w:val="TableParagraph"/>
              <w:spacing w:before="1"/>
              <w:ind w:right="20"/>
              <w:rPr>
                <w:i/>
                <w:sz w:val="15"/>
              </w:rPr>
            </w:pPr>
            <w:r>
              <w:rPr>
                <w:i/>
                <w:w w:val="100"/>
                <w:sz w:val="15"/>
              </w:rPr>
              <w:t>-</w:t>
            </w:r>
          </w:p>
        </w:tc>
        <w:tc>
          <w:tcPr>
            <w:tcW w:w="710" w:type="dxa"/>
          </w:tcPr>
          <w:p>
            <w:pPr>
              <w:pStyle w:val="TableParagraph"/>
              <w:spacing w:before="2"/>
              <w:jc w:val="left"/>
              <w:rPr>
                <w:b/>
                <w:sz w:val="13"/>
              </w:rPr>
            </w:pPr>
          </w:p>
          <w:p>
            <w:pPr>
              <w:pStyle w:val="TableParagraph"/>
              <w:spacing w:before="1"/>
              <w:ind w:right="18"/>
              <w:rPr>
                <w:b/>
                <w:i/>
                <w:sz w:val="15"/>
              </w:rPr>
            </w:pPr>
            <w:r>
              <w:rPr>
                <w:b/>
                <w:i/>
                <w:sz w:val="15"/>
              </w:rPr>
              <w:t>-600</w:t>
            </w:r>
          </w:p>
        </w:tc>
        <w:tc>
          <w:tcPr>
            <w:tcW w:w="698" w:type="dxa"/>
          </w:tcPr>
          <w:p>
            <w:pPr>
              <w:pStyle w:val="TableParagraph"/>
              <w:spacing w:before="2"/>
              <w:jc w:val="left"/>
              <w:rPr>
                <w:b/>
                <w:sz w:val="13"/>
              </w:rPr>
            </w:pPr>
          </w:p>
          <w:p>
            <w:pPr>
              <w:pStyle w:val="TableParagraph"/>
              <w:spacing w:before="1"/>
              <w:ind w:right="18"/>
              <w:rPr>
                <w:b/>
                <w:i/>
                <w:sz w:val="15"/>
              </w:rPr>
            </w:pPr>
            <w:r>
              <w:rPr>
                <w:b/>
                <w:i/>
                <w:sz w:val="15"/>
              </w:rPr>
              <w:t>-600</w:t>
            </w:r>
          </w:p>
        </w:tc>
      </w:tr>
      <w:tr>
        <w:trPr>
          <w:trHeight w:val="323" w:hRule="atLeast"/>
        </w:trPr>
        <w:tc>
          <w:tcPr>
            <w:tcW w:w="2347" w:type="dxa"/>
          </w:tcPr>
          <w:p>
            <w:pPr>
              <w:pStyle w:val="TableParagraph"/>
              <w:spacing w:before="68"/>
              <w:ind w:left="50"/>
              <w:jc w:val="left"/>
              <w:rPr>
                <w:i/>
                <w:sz w:val="15"/>
              </w:rPr>
            </w:pPr>
            <w:r>
              <w:rPr>
                <w:i/>
                <w:sz w:val="15"/>
              </w:rPr>
              <w:t>Low and middle income tax offset</w:t>
            </w:r>
          </w:p>
        </w:tc>
        <w:tc>
          <w:tcPr>
            <w:tcW w:w="573" w:type="dxa"/>
          </w:tcPr>
          <w:p>
            <w:pPr>
              <w:pStyle w:val="TableParagraph"/>
              <w:spacing w:before="68"/>
              <w:ind w:right="27"/>
              <w:rPr>
                <w:i/>
                <w:sz w:val="15"/>
              </w:rPr>
            </w:pPr>
            <w:r>
              <w:rPr>
                <w:i/>
                <w:w w:val="100"/>
                <w:sz w:val="15"/>
              </w:rPr>
              <w:t>-</w:t>
            </w:r>
          </w:p>
        </w:tc>
        <w:tc>
          <w:tcPr>
            <w:tcW w:w="573" w:type="dxa"/>
          </w:tcPr>
          <w:p>
            <w:pPr>
              <w:pStyle w:val="TableParagraph"/>
              <w:spacing w:before="68"/>
              <w:ind w:right="26"/>
              <w:rPr>
                <w:i/>
                <w:sz w:val="15"/>
              </w:rPr>
            </w:pPr>
            <w:r>
              <w:rPr>
                <w:i/>
                <w:w w:val="100"/>
                <w:sz w:val="15"/>
              </w:rPr>
              <w:t>-</w:t>
            </w:r>
          </w:p>
        </w:tc>
        <w:tc>
          <w:tcPr>
            <w:tcW w:w="573" w:type="dxa"/>
          </w:tcPr>
          <w:p>
            <w:pPr>
              <w:pStyle w:val="TableParagraph"/>
              <w:spacing w:before="68"/>
              <w:ind w:right="24"/>
              <w:rPr>
                <w:i/>
                <w:sz w:val="15"/>
              </w:rPr>
            </w:pPr>
            <w:r>
              <w:rPr>
                <w:i/>
                <w:sz w:val="15"/>
              </w:rPr>
              <w:t>7,420</w:t>
            </w:r>
          </w:p>
        </w:tc>
        <w:tc>
          <w:tcPr>
            <w:tcW w:w="573" w:type="dxa"/>
          </w:tcPr>
          <w:p>
            <w:pPr>
              <w:pStyle w:val="TableParagraph"/>
              <w:spacing w:before="68"/>
              <w:ind w:right="23"/>
              <w:rPr>
                <w:i/>
                <w:sz w:val="15"/>
              </w:rPr>
            </w:pPr>
            <w:r>
              <w:rPr>
                <w:i/>
                <w:sz w:val="15"/>
              </w:rPr>
              <w:t>7,940</w:t>
            </w:r>
          </w:p>
        </w:tc>
        <w:tc>
          <w:tcPr>
            <w:tcW w:w="573" w:type="dxa"/>
          </w:tcPr>
          <w:p>
            <w:pPr>
              <w:pStyle w:val="TableParagraph"/>
              <w:spacing w:before="68"/>
              <w:ind w:right="23"/>
              <w:rPr>
                <w:i/>
                <w:sz w:val="15"/>
              </w:rPr>
            </w:pPr>
            <w:r>
              <w:rPr>
                <w:i/>
                <w:sz w:val="15"/>
              </w:rPr>
              <w:t>400</w:t>
            </w:r>
          </w:p>
        </w:tc>
        <w:tc>
          <w:tcPr>
            <w:tcW w:w="575" w:type="dxa"/>
          </w:tcPr>
          <w:p>
            <w:pPr>
              <w:pStyle w:val="TableParagraph"/>
              <w:spacing w:before="68"/>
              <w:ind w:right="24"/>
              <w:rPr>
                <w:i/>
                <w:sz w:val="15"/>
              </w:rPr>
            </w:pPr>
            <w:r>
              <w:rPr>
                <w:i/>
                <w:sz w:val="15"/>
              </w:rPr>
              <w:t>..</w:t>
            </w:r>
          </w:p>
        </w:tc>
        <w:tc>
          <w:tcPr>
            <w:tcW w:w="573" w:type="dxa"/>
          </w:tcPr>
          <w:p>
            <w:pPr>
              <w:pStyle w:val="TableParagraph"/>
              <w:spacing w:before="68"/>
              <w:ind w:right="23"/>
              <w:rPr>
                <w:i/>
                <w:sz w:val="15"/>
              </w:rPr>
            </w:pPr>
            <w:r>
              <w:rPr>
                <w:i/>
                <w:w w:val="100"/>
                <w:sz w:val="15"/>
              </w:rPr>
              <w:t>-</w:t>
            </w:r>
          </w:p>
        </w:tc>
        <w:tc>
          <w:tcPr>
            <w:tcW w:w="573" w:type="dxa"/>
          </w:tcPr>
          <w:p>
            <w:pPr>
              <w:pStyle w:val="TableParagraph"/>
              <w:spacing w:before="68"/>
              <w:ind w:right="22"/>
              <w:rPr>
                <w:i/>
                <w:sz w:val="15"/>
              </w:rPr>
            </w:pPr>
            <w:r>
              <w:rPr>
                <w:i/>
                <w:w w:val="100"/>
                <w:sz w:val="15"/>
              </w:rPr>
              <w:t>-</w:t>
            </w:r>
          </w:p>
        </w:tc>
        <w:tc>
          <w:tcPr>
            <w:tcW w:w="573" w:type="dxa"/>
          </w:tcPr>
          <w:p>
            <w:pPr>
              <w:pStyle w:val="TableParagraph"/>
              <w:spacing w:before="68"/>
              <w:ind w:right="22"/>
              <w:rPr>
                <w:i/>
                <w:sz w:val="15"/>
              </w:rPr>
            </w:pPr>
            <w:r>
              <w:rPr>
                <w:i/>
                <w:w w:val="100"/>
                <w:sz w:val="15"/>
              </w:rPr>
              <w:t>-</w:t>
            </w:r>
          </w:p>
        </w:tc>
        <w:tc>
          <w:tcPr>
            <w:tcW w:w="573" w:type="dxa"/>
          </w:tcPr>
          <w:p>
            <w:pPr>
              <w:pStyle w:val="TableParagraph"/>
              <w:spacing w:before="68"/>
              <w:ind w:right="21"/>
              <w:rPr>
                <w:i/>
                <w:sz w:val="15"/>
              </w:rPr>
            </w:pPr>
            <w:r>
              <w:rPr>
                <w:i/>
                <w:w w:val="100"/>
                <w:sz w:val="15"/>
              </w:rPr>
              <w:t>-</w:t>
            </w:r>
          </w:p>
        </w:tc>
        <w:tc>
          <w:tcPr>
            <w:tcW w:w="573" w:type="dxa"/>
          </w:tcPr>
          <w:p>
            <w:pPr>
              <w:pStyle w:val="TableParagraph"/>
              <w:spacing w:before="68"/>
              <w:ind w:right="20"/>
              <w:rPr>
                <w:i/>
                <w:sz w:val="15"/>
              </w:rPr>
            </w:pPr>
            <w:r>
              <w:rPr>
                <w:i/>
                <w:w w:val="100"/>
                <w:sz w:val="15"/>
              </w:rPr>
              <w:t>-</w:t>
            </w:r>
          </w:p>
        </w:tc>
        <w:tc>
          <w:tcPr>
            <w:tcW w:w="710" w:type="dxa"/>
          </w:tcPr>
          <w:p>
            <w:pPr>
              <w:pStyle w:val="TableParagraph"/>
              <w:spacing w:before="68"/>
              <w:ind w:right="18"/>
              <w:rPr>
                <w:b/>
                <w:i/>
                <w:sz w:val="15"/>
              </w:rPr>
            </w:pPr>
            <w:r>
              <w:rPr>
                <w:b/>
                <w:i/>
                <w:sz w:val="15"/>
              </w:rPr>
              <w:t>15,360</w:t>
            </w:r>
          </w:p>
        </w:tc>
        <w:tc>
          <w:tcPr>
            <w:tcW w:w="698" w:type="dxa"/>
          </w:tcPr>
          <w:p>
            <w:pPr>
              <w:pStyle w:val="TableParagraph"/>
              <w:spacing w:before="68"/>
              <w:ind w:right="18"/>
              <w:rPr>
                <w:b/>
                <w:i/>
                <w:sz w:val="15"/>
              </w:rPr>
            </w:pPr>
            <w:r>
              <w:rPr>
                <w:b/>
                <w:i/>
                <w:sz w:val="15"/>
              </w:rPr>
              <w:t>15,760</w:t>
            </w:r>
          </w:p>
        </w:tc>
      </w:tr>
      <w:tr>
        <w:trPr>
          <w:trHeight w:val="323" w:hRule="atLeast"/>
        </w:trPr>
        <w:tc>
          <w:tcPr>
            <w:tcW w:w="2347" w:type="dxa"/>
            <w:shd w:val="clear" w:color="auto" w:fill="A7B1D3"/>
          </w:tcPr>
          <w:p>
            <w:pPr>
              <w:pStyle w:val="TableParagraph"/>
              <w:spacing w:before="68"/>
              <w:ind w:left="50"/>
              <w:jc w:val="left"/>
              <w:rPr>
                <w:b/>
                <w:sz w:val="15"/>
              </w:rPr>
            </w:pPr>
            <w:r>
              <w:rPr>
                <w:b/>
                <w:sz w:val="15"/>
              </w:rPr>
              <w:t>Total revenue</w:t>
            </w:r>
          </w:p>
        </w:tc>
        <w:tc>
          <w:tcPr>
            <w:tcW w:w="573" w:type="dxa"/>
            <w:shd w:val="clear" w:color="auto" w:fill="A7B1D3"/>
          </w:tcPr>
          <w:p>
            <w:pPr>
              <w:pStyle w:val="TableParagraph"/>
              <w:spacing w:before="68"/>
              <w:ind w:right="27"/>
              <w:rPr>
                <w:b/>
                <w:sz w:val="15"/>
              </w:rPr>
            </w:pPr>
            <w:r>
              <w:rPr>
                <w:b/>
                <w:w w:val="100"/>
                <w:sz w:val="15"/>
              </w:rPr>
              <w:t>-</w:t>
            </w:r>
          </w:p>
        </w:tc>
        <w:tc>
          <w:tcPr>
            <w:tcW w:w="573" w:type="dxa"/>
            <w:shd w:val="clear" w:color="auto" w:fill="A7B1D3"/>
          </w:tcPr>
          <w:p>
            <w:pPr>
              <w:pStyle w:val="TableParagraph"/>
              <w:spacing w:before="68"/>
              <w:ind w:right="24"/>
              <w:rPr>
                <w:b/>
                <w:sz w:val="15"/>
              </w:rPr>
            </w:pPr>
            <w:r>
              <w:rPr>
                <w:b/>
                <w:sz w:val="15"/>
              </w:rPr>
              <w:t>-12,280</w:t>
            </w:r>
          </w:p>
        </w:tc>
        <w:tc>
          <w:tcPr>
            <w:tcW w:w="573" w:type="dxa"/>
            <w:shd w:val="clear" w:color="auto" w:fill="A7B1D3"/>
          </w:tcPr>
          <w:p>
            <w:pPr>
              <w:pStyle w:val="TableParagraph"/>
              <w:spacing w:before="68"/>
              <w:ind w:right="24"/>
              <w:rPr>
                <w:b/>
                <w:sz w:val="15"/>
              </w:rPr>
            </w:pPr>
            <w:r>
              <w:rPr>
                <w:b/>
                <w:sz w:val="15"/>
              </w:rPr>
              <w:t>-6,710</w:t>
            </w:r>
          </w:p>
        </w:tc>
        <w:tc>
          <w:tcPr>
            <w:tcW w:w="573" w:type="dxa"/>
            <w:shd w:val="clear" w:color="auto" w:fill="A7B1D3"/>
          </w:tcPr>
          <w:p>
            <w:pPr>
              <w:pStyle w:val="TableParagraph"/>
              <w:spacing w:before="68"/>
              <w:ind w:right="23"/>
              <w:rPr>
                <w:b/>
                <w:sz w:val="15"/>
              </w:rPr>
            </w:pPr>
            <w:r>
              <w:rPr>
                <w:b/>
                <w:sz w:val="15"/>
              </w:rPr>
              <w:t>6,480</w:t>
            </w:r>
          </w:p>
        </w:tc>
        <w:tc>
          <w:tcPr>
            <w:tcW w:w="573" w:type="dxa"/>
            <w:shd w:val="clear" w:color="auto" w:fill="A7B1D3"/>
          </w:tcPr>
          <w:p>
            <w:pPr>
              <w:pStyle w:val="TableParagraph"/>
              <w:spacing w:before="68"/>
              <w:ind w:right="23"/>
              <w:rPr>
                <w:b/>
                <w:sz w:val="15"/>
              </w:rPr>
            </w:pPr>
            <w:r>
              <w:rPr>
                <w:b/>
                <w:sz w:val="15"/>
              </w:rPr>
              <w:t>260</w:t>
            </w:r>
          </w:p>
        </w:tc>
        <w:tc>
          <w:tcPr>
            <w:tcW w:w="575" w:type="dxa"/>
            <w:shd w:val="clear" w:color="auto" w:fill="A7B1D3"/>
          </w:tcPr>
          <w:p>
            <w:pPr>
              <w:pStyle w:val="TableParagraph"/>
              <w:spacing w:before="68"/>
              <w:ind w:right="23"/>
              <w:rPr>
                <w:b/>
                <w:sz w:val="15"/>
              </w:rPr>
            </w:pPr>
            <w:r>
              <w:rPr>
                <w:b/>
                <w:w w:val="100"/>
                <w:sz w:val="15"/>
              </w:rPr>
              <w:t>-</w:t>
            </w:r>
          </w:p>
        </w:tc>
        <w:tc>
          <w:tcPr>
            <w:tcW w:w="573" w:type="dxa"/>
            <w:shd w:val="clear" w:color="auto" w:fill="A7B1D3"/>
          </w:tcPr>
          <w:p>
            <w:pPr>
              <w:pStyle w:val="TableParagraph"/>
              <w:spacing w:before="68"/>
              <w:ind w:right="23"/>
              <w:rPr>
                <w:b/>
                <w:sz w:val="15"/>
              </w:rPr>
            </w:pPr>
            <w:r>
              <w:rPr>
                <w:b/>
                <w:w w:val="100"/>
                <w:sz w:val="15"/>
              </w:rPr>
              <w:t>-</w:t>
            </w:r>
          </w:p>
        </w:tc>
        <w:tc>
          <w:tcPr>
            <w:tcW w:w="573" w:type="dxa"/>
            <w:shd w:val="clear" w:color="auto" w:fill="A7B1D3"/>
          </w:tcPr>
          <w:p>
            <w:pPr>
              <w:pStyle w:val="TableParagraph"/>
              <w:spacing w:before="68"/>
              <w:ind w:right="22"/>
              <w:rPr>
                <w:b/>
                <w:sz w:val="15"/>
              </w:rPr>
            </w:pPr>
            <w:r>
              <w:rPr>
                <w:b/>
                <w:w w:val="100"/>
                <w:sz w:val="15"/>
              </w:rPr>
              <w:t>-</w:t>
            </w:r>
          </w:p>
        </w:tc>
        <w:tc>
          <w:tcPr>
            <w:tcW w:w="573" w:type="dxa"/>
            <w:shd w:val="clear" w:color="auto" w:fill="A7B1D3"/>
          </w:tcPr>
          <w:p>
            <w:pPr>
              <w:pStyle w:val="TableParagraph"/>
              <w:spacing w:before="68"/>
              <w:ind w:right="22"/>
              <w:rPr>
                <w:b/>
                <w:sz w:val="15"/>
              </w:rPr>
            </w:pPr>
            <w:r>
              <w:rPr>
                <w:b/>
                <w:w w:val="100"/>
                <w:sz w:val="15"/>
              </w:rPr>
              <w:t>-</w:t>
            </w:r>
          </w:p>
        </w:tc>
        <w:tc>
          <w:tcPr>
            <w:tcW w:w="573" w:type="dxa"/>
            <w:shd w:val="clear" w:color="auto" w:fill="A7B1D3"/>
          </w:tcPr>
          <w:p>
            <w:pPr>
              <w:pStyle w:val="TableParagraph"/>
              <w:spacing w:before="68"/>
              <w:ind w:right="21"/>
              <w:rPr>
                <w:b/>
                <w:sz w:val="15"/>
              </w:rPr>
            </w:pPr>
            <w:r>
              <w:rPr>
                <w:b/>
                <w:w w:val="100"/>
                <w:sz w:val="15"/>
              </w:rPr>
              <w:t>-</w:t>
            </w:r>
          </w:p>
        </w:tc>
        <w:tc>
          <w:tcPr>
            <w:tcW w:w="573" w:type="dxa"/>
            <w:shd w:val="clear" w:color="auto" w:fill="A7B1D3"/>
          </w:tcPr>
          <w:p>
            <w:pPr>
              <w:pStyle w:val="TableParagraph"/>
              <w:spacing w:before="68"/>
              <w:ind w:right="20"/>
              <w:rPr>
                <w:b/>
                <w:sz w:val="15"/>
              </w:rPr>
            </w:pPr>
            <w:r>
              <w:rPr>
                <w:b/>
                <w:w w:val="100"/>
                <w:sz w:val="15"/>
              </w:rPr>
              <w:t>-</w:t>
            </w:r>
          </w:p>
        </w:tc>
        <w:tc>
          <w:tcPr>
            <w:tcW w:w="710" w:type="dxa"/>
            <w:shd w:val="clear" w:color="auto" w:fill="A7B1D3"/>
          </w:tcPr>
          <w:p>
            <w:pPr>
              <w:pStyle w:val="TableParagraph"/>
              <w:spacing w:before="68"/>
              <w:ind w:right="18"/>
              <w:rPr>
                <w:b/>
                <w:sz w:val="15"/>
              </w:rPr>
            </w:pPr>
            <w:r>
              <w:rPr>
                <w:b/>
                <w:sz w:val="15"/>
              </w:rPr>
              <w:t>-12,410</w:t>
            </w:r>
          </w:p>
        </w:tc>
        <w:tc>
          <w:tcPr>
            <w:tcW w:w="698" w:type="dxa"/>
            <w:shd w:val="clear" w:color="auto" w:fill="A7B1D3"/>
          </w:tcPr>
          <w:p>
            <w:pPr>
              <w:pStyle w:val="TableParagraph"/>
              <w:spacing w:before="68"/>
              <w:ind w:right="18"/>
              <w:rPr>
                <w:b/>
                <w:sz w:val="15"/>
              </w:rPr>
            </w:pPr>
            <w:r>
              <w:rPr>
                <w:b/>
                <w:sz w:val="15"/>
              </w:rPr>
              <w:t>-12,140</w:t>
            </w:r>
          </w:p>
        </w:tc>
      </w:tr>
    </w:tbl>
    <w:p>
      <w:pPr>
        <w:pStyle w:val="ListParagraph"/>
        <w:numPr>
          <w:ilvl w:val="0"/>
          <w:numId w:val="10"/>
        </w:numPr>
        <w:tabs>
          <w:tab w:pos="515" w:val="left" w:leader="none"/>
        </w:tabs>
        <w:spacing w:line="319" w:lineRule="auto" w:before="64" w:after="0"/>
        <w:ind w:left="514" w:right="718" w:hanging="284"/>
        <w:jc w:val="left"/>
        <w:rPr>
          <w:sz w:val="16"/>
        </w:rPr>
      </w:pPr>
      <w:r>
        <w:rPr>
          <w:sz w:val="16"/>
        </w:rPr>
        <w:t>A</w:t>
      </w:r>
      <w:r>
        <w:rPr>
          <w:spacing w:val="-8"/>
          <w:sz w:val="16"/>
        </w:rPr>
        <w:t> </w:t>
      </w:r>
      <w:r>
        <w:rPr>
          <w:sz w:val="16"/>
        </w:rPr>
        <w:t>positive</w:t>
      </w:r>
      <w:r>
        <w:rPr>
          <w:spacing w:val="-9"/>
          <w:sz w:val="16"/>
        </w:rPr>
        <w:t> </w:t>
      </w:r>
      <w:r>
        <w:rPr>
          <w:sz w:val="16"/>
        </w:rPr>
        <w:t>number</w:t>
      </w:r>
      <w:r>
        <w:rPr>
          <w:spacing w:val="-9"/>
          <w:sz w:val="16"/>
        </w:rPr>
        <w:t> </w:t>
      </w:r>
      <w:r>
        <w:rPr>
          <w:sz w:val="16"/>
        </w:rPr>
        <w:t>for</w:t>
      </w:r>
      <w:r>
        <w:rPr>
          <w:spacing w:val="-7"/>
          <w:sz w:val="16"/>
        </w:rPr>
        <w:t> </w:t>
      </w:r>
      <w:r>
        <w:rPr>
          <w:sz w:val="16"/>
        </w:rPr>
        <w:t>the</w:t>
      </w:r>
      <w:r>
        <w:rPr>
          <w:spacing w:val="-6"/>
          <w:sz w:val="16"/>
        </w:rPr>
        <w:t> </w:t>
      </w:r>
      <w:r>
        <w:rPr>
          <w:sz w:val="16"/>
        </w:rPr>
        <w:t>fiscal</w:t>
      </w:r>
      <w:r>
        <w:rPr>
          <w:spacing w:val="-7"/>
          <w:sz w:val="16"/>
        </w:rPr>
        <w:t> </w:t>
      </w:r>
      <w:r>
        <w:rPr>
          <w:sz w:val="16"/>
        </w:rPr>
        <w:t>balance</w:t>
      </w:r>
      <w:r>
        <w:rPr>
          <w:spacing w:val="-6"/>
          <w:sz w:val="16"/>
        </w:rPr>
        <w:t> </w:t>
      </w:r>
      <w:r>
        <w:rPr>
          <w:sz w:val="16"/>
        </w:rPr>
        <w:t>indicates</w:t>
      </w:r>
      <w:r>
        <w:rPr>
          <w:spacing w:val="-9"/>
          <w:sz w:val="16"/>
        </w:rPr>
        <w:t> </w:t>
      </w:r>
      <w:r>
        <w:rPr>
          <w:sz w:val="16"/>
        </w:rPr>
        <w:t>an</w:t>
      </w:r>
      <w:r>
        <w:rPr>
          <w:spacing w:val="-8"/>
          <w:sz w:val="16"/>
        </w:rPr>
        <w:t> </w:t>
      </w:r>
      <w:r>
        <w:rPr>
          <w:sz w:val="16"/>
        </w:rPr>
        <w:t>increase</w:t>
      </w:r>
      <w:r>
        <w:rPr>
          <w:spacing w:val="-7"/>
          <w:sz w:val="16"/>
        </w:rPr>
        <w:t> </w:t>
      </w:r>
      <w:r>
        <w:rPr>
          <w:sz w:val="16"/>
        </w:rPr>
        <w:t>in</w:t>
      </w:r>
      <w:r>
        <w:rPr>
          <w:spacing w:val="-6"/>
          <w:sz w:val="16"/>
        </w:rPr>
        <w:t> </w:t>
      </w:r>
      <w:r>
        <w:rPr>
          <w:sz w:val="16"/>
        </w:rPr>
        <w:t>revenue</w:t>
      </w:r>
      <w:r>
        <w:rPr>
          <w:spacing w:val="-8"/>
          <w:sz w:val="16"/>
        </w:rPr>
        <w:t> </w:t>
      </w:r>
      <w:r>
        <w:rPr>
          <w:sz w:val="16"/>
        </w:rPr>
        <w:t>or</w:t>
      </w:r>
      <w:r>
        <w:rPr>
          <w:spacing w:val="-9"/>
          <w:sz w:val="16"/>
        </w:rPr>
        <w:t> </w:t>
      </w:r>
      <w:r>
        <w:rPr>
          <w:sz w:val="16"/>
        </w:rPr>
        <w:t>a</w:t>
      </w:r>
      <w:r>
        <w:rPr>
          <w:spacing w:val="-6"/>
          <w:sz w:val="16"/>
        </w:rPr>
        <w:t> </w:t>
      </w:r>
      <w:r>
        <w:rPr>
          <w:sz w:val="16"/>
        </w:rPr>
        <w:t>decrease</w:t>
      </w:r>
      <w:r>
        <w:rPr>
          <w:spacing w:val="-9"/>
          <w:sz w:val="16"/>
        </w:rPr>
        <w:t> </w:t>
      </w:r>
      <w:r>
        <w:rPr>
          <w:sz w:val="16"/>
        </w:rPr>
        <w:t>in</w:t>
      </w:r>
      <w:r>
        <w:rPr>
          <w:spacing w:val="-9"/>
          <w:sz w:val="16"/>
        </w:rPr>
        <w:t> </w:t>
      </w:r>
      <w:r>
        <w:rPr>
          <w:sz w:val="16"/>
        </w:rPr>
        <w:t>expenses</w:t>
      </w:r>
      <w:r>
        <w:rPr>
          <w:spacing w:val="-8"/>
          <w:sz w:val="16"/>
        </w:rPr>
        <w:t> </w:t>
      </w:r>
      <w:r>
        <w:rPr>
          <w:sz w:val="16"/>
        </w:rPr>
        <w:t>or</w:t>
      </w:r>
      <w:r>
        <w:rPr>
          <w:spacing w:val="-9"/>
          <w:sz w:val="16"/>
        </w:rPr>
        <w:t> </w:t>
      </w:r>
      <w:r>
        <w:rPr>
          <w:sz w:val="16"/>
        </w:rPr>
        <w:t>net</w:t>
      </w:r>
      <w:r>
        <w:rPr>
          <w:spacing w:val="-7"/>
          <w:sz w:val="16"/>
        </w:rPr>
        <w:t> </w:t>
      </w:r>
      <w:r>
        <w:rPr>
          <w:sz w:val="16"/>
        </w:rPr>
        <w:t>capital</w:t>
      </w:r>
      <w:r>
        <w:rPr>
          <w:spacing w:val="-9"/>
          <w:sz w:val="16"/>
        </w:rPr>
        <w:t> </w:t>
      </w:r>
      <w:r>
        <w:rPr>
          <w:sz w:val="16"/>
        </w:rPr>
        <w:t>investment</w:t>
      </w:r>
      <w:r>
        <w:rPr>
          <w:spacing w:val="-8"/>
          <w:sz w:val="16"/>
        </w:rPr>
        <w:t> </w:t>
      </w:r>
      <w:r>
        <w:rPr>
          <w:sz w:val="16"/>
        </w:rPr>
        <w:t>in</w:t>
      </w:r>
      <w:r>
        <w:rPr>
          <w:spacing w:val="-9"/>
          <w:sz w:val="16"/>
        </w:rPr>
        <w:t> </w:t>
      </w:r>
      <w:r>
        <w:rPr>
          <w:sz w:val="16"/>
        </w:rPr>
        <w:t>accrual</w:t>
      </w:r>
      <w:r>
        <w:rPr>
          <w:spacing w:val="-7"/>
          <w:sz w:val="16"/>
        </w:rPr>
        <w:t> </w:t>
      </w:r>
      <w:r>
        <w:rPr>
          <w:sz w:val="16"/>
        </w:rPr>
        <w:t>terms. A</w:t>
      </w:r>
      <w:r>
        <w:rPr>
          <w:spacing w:val="-8"/>
          <w:sz w:val="16"/>
        </w:rPr>
        <w:t> </w:t>
      </w:r>
      <w:r>
        <w:rPr>
          <w:sz w:val="16"/>
        </w:rPr>
        <w:t>negative</w:t>
      </w:r>
      <w:r>
        <w:rPr>
          <w:spacing w:val="-9"/>
          <w:sz w:val="16"/>
        </w:rPr>
        <w:t> </w:t>
      </w:r>
      <w:r>
        <w:rPr>
          <w:sz w:val="16"/>
        </w:rPr>
        <w:t>number</w:t>
      </w:r>
      <w:r>
        <w:rPr>
          <w:spacing w:val="-8"/>
          <w:sz w:val="16"/>
        </w:rPr>
        <w:t> </w:t>
      </w:r>
      <w:r>
        <w:rPr>
          <w:sz w:val="16"/>
        </w:rPr>
        <w:t>for</w:t>
      </w:r>
      <w:r>
        <w:rPr>
          <w:spacing w:val="-7"/>
          <w:sz w:val="16"/>
        </w:rPr>
        <w:t> </w:t>
      </w:r>
      <w:r>
        <w:rPr>
          <w:sz w:val="16"/>
        </w:rPr>
        <w:t>the</w:t>
      </w:r>
      <w:r>
        <w:rPr>
          <w:spacing w:val="-6"/>
          <w:sz w:val="16"/>
        </w:rPr>
        <w:t> </w:t>
      </w:r>
      <w:r>
        <w:rPr>
          <w:sz w:val="16"/>
        </w:rPr>
        <w:t>fiscal</w:t>
      </w:r>
      <w:r>
        <w:rPr>
          <w:spacing w:val="-7"/>
          <w:sz w:val="16"/>
        </w:rPr>
        <w:t> </w:t>
      </w:r>
      <w:r>
        <w:rPr>
          <w:sz w:val="16"/>
        </w:rPr>
        <w:t>balance</w:t>
      </w:r>
      <w:r>
        <w:rPr>
          <w:spacing w:val="-7"/>
          <w:sz w:val="16"/>
        </w:rPr>
        <w:t> </w:t>
      </w:r>
      <w:r>
        <w:rPr>
          <w:sz w:val="16"/>
        </w:rPr>
        <w:t>indicates</w:t>
      </w:r>
      <w:r>
        <w:rPr>
          <w:spacing w:val="-8"/>
          <w:sz w:val="16"/>
        </w:rPr>
        <w:t> </w:t>
      </w:r>
      <w:r>
        <w:rPr>
          <w:sz w:val="16"/>
        </w:rPr>
        <w:t>a</w:t>
      </w:r>
      <w:r>
        <w:rPr>
          <w:spacing w:val="-7"/>
          <w:sz w:val="16"/>
        </w:rPr>
        <w:t> </w:t>
      </w:r>
      <w:r>
        <w:rPr>
          <w:sz w:val="16"/>
        </w:rPr>
        <w:t>decrease</w:t>
      </w:r>
      <w:r>
        <w:rPr>
          <w:spacing w:val="-6"/>
          <w:sz w:val="16"/>
        </w:rPr>
        <w:t> </w:t>
      </w:r>
      <w:r>
        <w:rPr>
          <w:sz w:val="16"/>
        </w:rPr>
        <w:t>in</w:t>
      </w:r>
      <w:r>
        <w:rPr>
          <w:spacing w:val="-6"/>
          <w:sz w:val="16"/>
        </w:rPr>
        <w:t> </w:t>
      </w:r>
      <w:r>
        <w:rPr>
          <w:sz w:val="16"/>
        </w:rPr>
        <w:t>revenue</w:t>
      </w:r>
      <w:r>
        <w:rPr>
          <w:spacing w:val="-6"/>
          <w:sz w:val="16"/>
        </w:rPr>
        <w:t> </w:t>
      </w:r>
      <w:r>
        <w:rPr>
          <w:sz w:val="16"/>
        </w:rPr>
        <w:t>or</w:t>
      </w:r>
      <w:r>
        <w:rPr>
          <w:spacing w:val="-9"/>
          <w:sz w:val="16"/>
        </w:rPr>
        <w:t> </w:t>
      </w:r>
      <w:r>
        <w:rPr>
          <w:sz w:val="16"/>
        </w:rPr>
        <w:t>an</w:t>
      </w:r>
      <w:r>
        <w:rPr>
          <w:spacing w:val="-6"/>
          <w:sz w:val="16"/>
        </w:rPr>
        <w:t> </w:t>
      </w:r>
      <w:r>
        <w:rPr>
          <w:sz w:val="16"/>
        </w:rPr>
        <w:t>increase</w:t>
      </w:r>
      <w:r>
        <w:rPr>
          <w:spacing w:val="-8"/>
          <w:sz w:val="16"/>
        </w:rPr>
        <w:t> </w:t>
      </w:r>
      <w:r>
        <w:rPr>
          <w:sz w:val="16"/>
        </w:rPr>
        <w:t>in</w:t>
      </w:r>
      <w:r>
        <w:rPr>
          <w:spacing w:val="-9"/>
          <w:sz w:val="16"/>
        </w:rPr>
        <w:t> </w:t>
      </w:r>
      <w:r>
        <w:rPr>
          <w:sz w:val="16"/>
        </w:rPr>
        <w:t>expenses</w:t>
      </w:r>
      <w:r>
        <w:rPr>
          <w:spacing w:val="-7"/>
          <w:sz w:val="16"/>
        </w:rPr>
        <w:t> </w:t>
      </w:r>
      <w:r>
        <w:rPr>
          <w:sz w:val="16"/>
        </w:rPr>
        <w:t>or</w:t>
      </w:r>
      <w:r>
        <w:rPr>
          <w:spacing w:val="-9"/>
          <w:sz w:val="16"/>
        </w:rPr>
        <w:t> </w:t>
      </w:r>
      <w:r>
        <w:rPr>
          <w:sz w:val="16"/>
        </w:rPr>
        <w:t>net</w:t>
      </w:r>
      <w:r>
        <w:rPr>
          <w:spacing w:val="-9"/>
          <w:sz w:val="16"/>
        </w:rPr>
        <w:t> </w:t>
      </w:r>
      <w:r>
        <w:rPr>
          <w:sz w:val="16"/>
        </w:rPr>
        <w:t>capital</w:t>
      </w:r>
      <w:r>
        <w:rPr>
          <w:spacing w:val="-11"/>
          <w:sz w:val="16"/>
        </w:rPr>
        <w:t> </w:t>
      </w:r>
      <w:r>
        <w:rPr>
          <w:sz w:val="16"/>
        </w:rPr>
        <w:t>investment</w:t>
      </w:r>
      <w:r>
        <w:rPr>
          <w:spacing w:val="-8"/>
          <w:sz w:val="16"/>
        </w:rPr>
        <w:t> </w:t>
      </w:r>
      <w:r>
        <w:rPr>
          <w:sz w:val="16"/>
        </w:rPr>
        <w:t>in</w:t>
      </w:r>
      <w:r>
        <w:rPr>
          <w:spacing w:val="-9"/>
          <w:sz w:val="16"/>
        </w:rPr>
        <w:t> </w:t>
      </w:r>
      <w:r>
        <w:rPr>
          <w:sz w:val="16"/>
        </w:rPr>
        <w:t>accrual</w:t>
      </w:r>
      <w:r>
        <w:rPr>
          <w:spacing w:val="-7"/>
          <w:sz w:val="16"/>
        </w:rPr>
        <w:t> </w:t>
      </w:r>
      <w:r>
        <w:rPr>
          <w:spacing w:val="-2"/>
          <w:sz w:val="16"/>
        </w:rPr>
        <w:t>terms.</w:t>
      </w:r>
    </w:p>
    <w:p>
      <w:pPr>
        <w:spacing w:line="319" w:lineRule="auto" w:before="1"/>
        <w:ind w:left="514" w:right="185" w:firstLine="0"/>
        <w:jc w:val="left"/>
        <w:rPr>
          <w:sz w:val="16"/>
        </w:rPr>
      </w:pPr>
      <w:r>
        <w:rPr>
          <w:sz w:val="16"/>
        </w:rPr>
        <w:t>A</w:t>
      </w:r>
      <w:r>
        <w:rPr>
          <w:spacing w:val="-8"/>
          <w:sz w:val="16"/>
        </w:rPr>
        <w:t> </w:t>
      </w:r>
      <w:r>
        <w:rPr>
          <w:sz w:val="16"/>
        </w:rPr>
        <w:t>positive</w:t>
      </w:r>
      <w:r>
        <w:rPr>
          <w:spacing w:val="-9"/>
          <w:sz w:val="16"/>
        </w:rPr>
        <w:t> </w:t>
      </w:r>
      <w:r>
        <w:rPr>
          <w:sz w:val="16"/>
        </w:rPr>
        <w:t>number</w:t>
      </w:r>
      <w:r>
        <w:rPr>
          <w:spacing w:val="-8"/>
          <w:sz w:val="16"/>
        </w:rPr>
        <w:t> </w:t>
      </w:r>
      <w:r>
        <w:rPr>
          <w:sz w:val="16"/>
        </w:rPr>
        <w:t>for</w:t>
      </w:r>
      <w:r>
        <w:rPr>
          <w:spacing w:val="-7"/>
          <w:sz w:val="16"/>
        </w:rPr>
        <w:t> </w:t>
      </w:r>
      <w:r>
        <w:rPr>
          <w:sz w:val="16"/>
        </w:rPr>
        <w:t>the</w:t>
      </w:r>
      <w:r>
        <w:rPr>
          <w:spacing w:val="-8"/>
          <w:sz w:val="16"/>
        </w:rPr>
        <w:t> </w:t>
      </w:r>
      <w:r>
        <w:rPr>
          <w:sz w:val="16"/>
        </w:rPr>
        <w:t>underlying</w:t>
      </w:r>
      <w:r>
        <w:rPr>
          <w:spacing w:val="-7"/>
          <w:sz w:val="16"/>
        </w:rPr>
        <w:t> </w:t>
      </w:r>
      <w:r>
        <w:rPr>
          <w:sz w:val="16"/>
        </w:rPr>
        <w:t>cash</w:t>
      </w:r>
      <w:r>
        <w:rPr>
          <w:spacing w:val="-9"/>
          <w:sz w:val="16"/>
        </w:rPr>
        <w:t> </w:t>
      </w:r>
      <w:r>
        <w:rPr>
          <w:sz w:val="16"/>
        </w:rPr>
        <w:t>balance</w:t>
      </w:r>
      <w:r>
        <w:rPr>
          <w:spacing w:val="-8"/>
          <w:sz w:val="16"/>
        </w:rPr>
        <w:t> </w:t>
      </w:r>
      <w:r>
        <w:rPr>
          <w:sz w:val="16"/>
        </w:rPr>
        <w:t>indicates</w:t>
      </w:r>
      <w:r>
        <w:rPr>
          <w:spacing w:val="-9"/>
          <w:sz w:val="16"/>
        </w:rPr>
        <w:t> </w:t>
      </w:r>
      <w:r>
        <w:rPr>
          <w:sz w:val="16"/>
        </w:rPr>
        <w:t>an</w:t>
      </w:r>
      <w:r>
        <w:rPr>
          <w:spacing w:val="-8"/>
          <w:sz w:val="16"/>
        </w:rPr>
        <w:t> </w:t>
      </w:r>
      <w:r>
        <w:rPr>
          <w:sz w:val="16"/>
        </w:rPr>
        <w:t>increase</w:t>
      </w:r>
      <w:r>
        <w:rPr>
          <w:spacing w:val="-6"/>
          <w:sz w:val="16"/>
        </w:rPr>
        <w:t> </w:t>
      </w:r>
      <w:r>
        <w:rPr>
          <w:sz w:val="16"/>
        </w:rPr>
        <w:t>in</w:t>
      </w:r>
      <w:r>
        <w:rPr>
          <w:spacing w:val="-9"/>
          <w:sz w:val="16"/>
        </w:rPr>
        <w:t> </w:t>
      </w:r>
      <w:r>
        <w:rPr>
          <w:sz w:val="16"/>
        </w:rPr>
        <w:t>receipts</w:t>
      </w:r>
      <w:r>
        <w:rPr>
          <w:spacing w:val="-6"/>
          <w:sz w:val="16"/>
        </w:rPr>
        <w:t> </w:t>
      </w:r>
      <w:r>
        <w:rPr>
          <w:sz w:val="16"/>
        </w:rPr>
        <w:t>or</w:t>
      </w:r>
      <w:r>
        <w:rPr>
          <w:spacing w:val="-8"/>
          <w:sz w:val="16"/>
        </w:rPr>
        <w:t> </w:t>
      </w:r>
      <w:r>
        <w:rPr>
          <w:sz w:val="16"/>
        </w:rPr>
        <w:t>a</w:t>
      </w:r>
      <w:r>
        <w:rPr>
          <w:spacing w:val="-8"/>
          <w:sz w:val="16"/>
        </w:rPr>
        <w:t> </w:t>
      </w:r>
      <w:r>
        <w:rPr>
          <w:sz w:val="16"/>
        </w:rPr>
        <w:t>decrease</w:t>
      </w:r>
      <w:r>
        <w:rPr>
          <w:spacing w:val="-6"/>
          <w:sz w:val="16"/>
        </w:rPr>
        <w:t> </w:t>
      </w:r>
      <w:r>
        <w:rPr>
          <w:sz w:val="16"/>
        </w:rPr>
        <w:t>in</w:t>
      </w:r>
      <w:r>
        <w:rPr>
          <w:spacing w:val="-8"/>
          <w:sz w:val="16"/>
        </w:rPr>
        <w:t> </w:t>
      </w:r>
      <w:r>
        <w:rPr>
          <w:sz w:val="16"/>
        </w:rPr>
        <w:t>payments</w:t>
      </w:r>
      <w:r>
        <w:rPr>
          <w:spacing w:val="-9"/>
          <w:sz w:val="16"/>
        </w:rPr>
        <w:t> </w:t>
      </w:r>
      <w:r>
        <w:rPr>
          <w:sz w:val="16"/>
        </w:rPr>
        <w:t>or</w:t>
      </w:r>
      <w:r>
        <w:rPr>
          <w:spacing w:val="-11"/>
          <w:sz w:val="16"/>
        </w:rPr>
        <w:t> </w:t>
      </w:r>
      <w:r>
        <w:rPr>
          <w:sz w:val="16"/>
        </w:rPr>
        <w:t>net</w:t>
      </w:r>
      <w:r>
        <w:rPr>
          <w:spacing w:val="-6"/>
          <w:sz w:val="16"/>
        </w:rPr>
        <w:t> </w:t>
      </w:r>
      <w:r>
        <w:rPr>
          <w:sz w:val="16"/>
        </w:rPr>
        <w:t>capital</w:t>
      </w:r>
      <w:r>
        <w:rPr>
          <w:spacing w:val="-7"/>
          <w:sz w:val="16"/>
        </w:rPr>
        <w:t> </w:t>
      </w:r>
      <w:r>
        <w:rPr>
          <w:sz w:val="16"/>
        </w:rPr>
        <w:t>investment</w:t>
      </w:r>
      <w:r>
        <w:rPr>
          <w:spacing w:val="-7"/>
          <w:sz w:val="16"/>
        </w:rPr>
        <w:t> </w:t>
      </w:r>
      <w:r>
        <w:rPr>
          <w:sz w:val="16"/>
        </w:rPr>
        <w:t>in</w:t>
      </w:r>
      <w:r>
        <w:rPr>
          <w:spacing w:val="-6"/>
          <w:sz w:val="16"/>
        </w:rPr>
        <w:t> </w:t>
      </w:r>
      <w:r>
        <w:rPr>
          <w:sz w:val="16"/>
        </w:rPr>
        <w:t>cash</w:t>
      </w:r>
      <w:r>
        <w:rPr>
          <w:spacing w:val="-8"/>
          <w:sz w:val="16"/>
        </w:rPr>
        <w:t> </w:t>
      </w:r>
      <w:r>
        <w:rPr>
          <w:sz w:val="16"/>
        </w:rPr>
        <w:t>terms. A</w:t>
      </w:r>
      <w:r>
        <w:rPr>
          <w:spacing w:val="-9"/>
          <w:sz w:val="16"/>
        </w:rPr>
        <w:t> </w:t>
      </w:r>
      <w:r>
        <w:rPr>
          <w:sz w:val="16"/>
        </w:rPr>
        <w:t>negative</w:t>
      </w:r>
      <w:r>
        <w:rPr>
          <w:spacing w:val="-9"/>
          <w:sz w:val="16"/>
        </w:rPr>
        <w:t> </w:t>
      </w:r>
      <w:r>
        <w:rPr>
          <w:sz w:val="16"/>
        </w:rPr>
        <w:t>number</w:t>
      </w:r>
      <w:r>
        <w:rPr>
          <w:spacing w:val="-9"/>
          <w:sz w:val="16"/>
        </w:rPr>
        <w:t> </w:t>
      </w:r>
      <w:r>
        <w:rPr>
          <w:sz w:val="16"/>
        </w:rPr>
        <w:t>for</w:t>
      </w:r>
      <w:r>
        <w:rPr>
          <w:spacing w:val="-7"/>
          <w:sz w:val="16"/>
        </w:rPr>
        <w:t> </w:t>
      </w:r>
      <w:r>
        <w:rPr>
          <w:sz w:val="16"/>
        </w:rPr>
        <w:t>the</w:t>
      </w:r>
      <w:r>
        <w:rPr>
          <w:spacing w:val="-10"/>
          <w:sz w:val="16"/>
        </w:rPr>
        <w:t> </w:t>
      </w:r>
      <w:r>
        <w:rPr>
          <w:sz w:val="16"/>
        </w:rPr>
        <w:t>underlying</w:t>
      </w:r>
      <w:r>
        <w:rPr>
          <w:spacing w:val="-7"/>
          <w:sz w:val="16"/>
        </w:rPr>
        <w:t> </w:t>
      </w:r>
      <w:r>
        <w:rPr>
          <w:sz w:val="16"/>
        </w:rPr>
        <w:t>cash</w:t>
      </w:r>
      <w:r>
        <w:rPr>
          <w:spacing w:val="-9"/>
          <w:sz w:val="16"/>
        </w:rPr>
        <w:t> </w:t>
      </w:r>
      <w:r>
        <w:rPr>
          <w:sz w:val="16"/>
        </w:rPr>
        <w:t>balance</w:t>
      </w:r>
      <w:r>
        <w:rPr>
          <w:spacing w:val="-9"/>
          <w:sz w:val="16"/>
        </w:rPr>
        <w:t> </w:t>
      </w:r>
      <w:r>
        <w:rPr>
          <w:sz w:val="16"/>
        </w:rPr>
        <w:t>indicates</w:t>
      </w:r>
      <w:r>
        <w:rPr>
          <w:spacing w:val="-9"/>
          <w:sz w:val="16"/>
        </w:rPr>
        <w:t> </w:t>
      </w:r>
      <w:r>
        <w:rPr>
          <w:sz w:val="16"/>
        </w:rPr>
        <w:t>a</w:t>
      </w:r>
      <w:r>
        <w:rPr>
          <w:spacing w:val="-7"/>
          <w:sz w:val="16"/>
        </w:rPr>
        <w:t> </w:t>
      </w:r>
      <w:r>
        <w:rPr>
          <w:sz w:val="16"/>
        </w:rPr>
        <w:t>decrease</w:t>
      </w:r>
      <w:r>
        <w:rPr>
          <w:spacing w:val="-9"/>
          <w:sz w:val="16"/>
        </w:rPr>
        <w:t> </w:t>
      </w:r>
      <w:r>
        <w:rPr>
          <w:sz w:val="16"/>
        </w:rPr>
        <w:t>in</w:t>
      </w:r>
      <w:r>
        <w:rPr>
          <w:spacing w:val="-9"/>
          <w:sz w:val="16"/>
        </w:rPr>
        <w:t> </w:t>
      </w:r>
      <w:r>
        <w:rPr>
          <w:sz w:val="16"/>
        </w:rPr>
        <w:t>receipts</w:t>
      </w:r>
      <w:r>
        <w:rPr>
          <w:spacing w:val="-7"/>
          <w:sz w:val="16"/>
        </w:rPr>
        <w:t> </w:t>
      </w:r>
      <w:r>
        <w:rPr>
          <w:sz w:val="16"/>
        </w:rPr>
        <w:t>or</w:t>
      </w:r>
      <w:r>
        <w:rPr>
          <w:spacing w:val="-9"/>
          <w:sz w:val="16"/>
        </w:rPr>
        <w:t> </w:t>
      </w:r>
      <w:r>
        <w:rPr>
          <w:sz w:val="16"/>
        </w:rPr>
        <w:t>an</w:t>
      </w:r>
      <w:r>
        <w:rPr>
          <w:spacing w:val="-6"/>
          <w:sz w:val="16"/>
        </w:rPr>
        <w:t> </w:t>
      </w:r>
      <w:r>
        <w:rPr>
          <w:sz w:val="16"/>
        </w:rPr>
        <w:t>increase</w:t>
      </w:r>
      <w:r>
        <w:rPr>
          <w:spacing w:val="-10"/>
          <w:sz w:val="16"/>
        </w:rPr>
        <w:t> </w:t>
      </w:r>
      <w:r>
        <w:rPr>
          <w:sz w:val="16"/>
        </w:rPr>
        <w:t>in</w:t>
      </w:r>
      <w:r>
        <w:rPr>
          <w:spacing w:val="-9"/>
          <w:sz w:val="16"/>
        </w:rPr>
        <w:t> </w:t>
      </w:r>
      <w:r>
        <w:rPr>
          <w:sz w:val="16"/>
        </w:rPr>
        <w:t>payments</w:t>
      </w:r>
      <w:r>
        <w:rPr>
          <w:spacing w:val="-6"/>
          <w:sz w:val="16"/>
        </w:rPr>
        <w:t> </w:t>
      </w:r>
      <w:r>
        <w:rPr>
          <w:sz w:val="16"/>
        </w:rPr>
        <w:t>or</w:t>
      </w:r>
      <w:r>
        <w:rPr>
          <w:spacing w:val="-11"/>
          <w:sz w:val="16"/>
        </w:rPr>
        <w:t> </w:t>
      </w:r>
      <w:r>
        <w:rPr>
          <w:sz w:val="16"/>
        </w:rPr>
        <w:t>net</w:t>
      </w:r>
      <w:r>
        <w:rPr>
          <w:spacing w:val="-7"/>
          <w:sz w:val="16"/>
        </w:rPr>
        <w:t> </w:t>
      </w:r>
      <w:r>
        <w:rPr>
          <w:sz w:val="16"/>
        </w:rPr>
        <w:t>capital</w:t>
      </w:r>
      <w:r>
        <w:rPr>
          <w:spacing w:val="-8"/>
          <w:sz w:val="16"/>
        </w:rPr>
        <w:t> </w:t>
      </w:r>
      <w:r>
        <w:rPr>
          <w:sz w:val="16"/>
        </w:rPr>
        <w:t>investment</w:t>
      </w:r>
      <w:r>
        <w:rPr>
          <w:spacing w:val="-7"/>
          <w:sz w:val="16"/>
        </w:rPr>
        <w:t> </w:t>
      </w:r>
      <w:r>
        <w:rPr>
          <w:sz w:val="16"/>
        </w:rPr>
        <w:t>in</w:t>
      </w:r>
      <w:r>
        <w:rPr>
          <w:spacing w:val="-7"/>
          <w:sz w:val="16"/>
        </w:rPr>
        <w:t> </w:t>
      </w:r>
      <w:r>
        <w:rPr>
          <w:sz w:val="16"/>
        </w:rPr>
        <w:t>cash</w:t>
      </w:r>
      <w:r>
        <w:rPr>
          <w:spacing w:val="-9"/>
          <w:sz w:val="16"/>
        </w:rPr>
        <w:t> </w:t>
      </w:r>
      <w:r>
        <w:rPr>
          <w:sz w:val="16"/>
        </w:rPr>
        <w:t>terms.</w:t>
      </w:r>
    </w:p>
    <w:p>
      <w:pPr>
        <w:pStyle w:val="ListParagraph"/>
        <w:numPr>
          <w:ilvl w:val="0"/>
          <w:numId w:val="10"/>
        </w:numPr>
        <w:tabs>
          <w:tab w:pos="515" w:val="left" w:leader="none"/>
        </w:tabs>
        <w:spacing w:line="194" w:lineRule="exact" w:before="0" w:after="0"/>
        <w:ind w:left="514" w:right="0" w:hanging="284"/>
        <w:jc w:val="left"/>
        <w:rPr>
          <w:sz w:val="16"/>
        </w:rPr>
      </w:pPr>
      <w:r>
        <w:rPr>
          <w:sz w:val="16"/>
        </w:rPr>
        <w:t>Figures may not sum to totals due to</w:t>
      </w:r>
      <w:r>
        <w:rPr>
          <w:spacing w:val="-5"/>
          <w:sz w:val="16"/>
        </w:rPr>
        <w:t> </w:t>
      </w:r>
      <w:r>
        <w:rPr>
          <w:sz w:val="16"/>
        </w:rPr>
        <w:t>rounding.</w:t>
      </w:r>
    </w:p>
    <w:p>
      <w:pPr>
        <w:pStyle w:val="ListParagraph"/>
        <w:numPr>
          <w:ilvl w:val="0"/>
          <w:numId w:val="7"/>
        </w:numPr>
        <w:tabs>
          <w:tab w:pos="514" w:val="left" w:leader="none"/>
          <w:tab w:pos="515" w:val="left" w:leader="none"/>
        </w:tabs>
        <w:spacing w:line="240" w:lineRule="auto" w:before="67" w:after="0"/>
        <w:ind w:left="514" w:right="0" w:hanging="284"/>
        <w:jc w:val="left"/>
        <w:rPr>
          <w:sz w:val="16"/>
        </w:rPr>
      </w:pPr>
      <w:r>
        <w:rPr>
          <w:sz w:val="16"/>
        </w:rPr>
        <w:t>Indicates</w:t>
      </w:r>
      <w:r>
        <w:rPr>
          <w:spacing w:val="-2"/>
          <w:sz w:val="16"/>
        </w:rPr>
        <w:t> </w:t>
      </w:r>
      <w:r>
        <w:rPr>
          <w:sz w:val="16"/>
        </w:rPr>
        <w:t>nil.</w:t>
      </w:r>
    </w:p>
    <w:sectPr>
      <w:pgSz w:w="11910" w:h="16840"/>
      <w:pgMar w:header="596" w:footer="620" w:top="1100" w:bottom="800" w:left="76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MS Gothic">
    <w:altName w:val="MS Gothic"/>
    <w:charset w:val="0"/>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5.559998pt;margin-top:799.940002pt;width:144.550pt;height:20pt;mso-position-horizontal-relative:page;mso-position-vertical-relative:page;z-index:-253576192" type="#_x0000_t202" filled="false" stroked="false">
          <v:textbox inset="0,0,0,0">
            <w:txbxContent>
              <w:p>
                <w:pPr>
                  <w:spacing w:line="387" w:lineRule="exact" w:before="0"/>
                  <w:ind w:left="20" w:right="0" w:firstLine="0"/>
                  <w:jc w:val="left"/>
                  <w:rPr>
                    <w:b/>
                    <w:sz w:val="36"/>
                  </w:rPr>
                </w:pPr>
                <w:r>
                  <w:rPr>
                    <w:b/>
                    <w:strike/>
                    <w:color w:val="FF0000"/>
                    <w:sz w:val="36"/>
                  </w:rPr>
                  <w:t>OFFICIAL: Sensitive</w:t>
                </w:r>
              </w:p>
            </w:txbxContent>
          </v:textbox>
          <w10:wrap type="none"/>
        </v:shape>
      </w:pict>
    </w:r>
    <w:r>
      <w:rPr/>
      <w:pict>
        <v:shape style="position:absolute;margin-left:69.919998pt;margin-top:805.159973pt;width:126.2pt;height:13.05pt;mso-position-horizontal-relative:page;mso-position-vertical-relative:page;z-index:-253575168" type="#_x0000_t202" filled="false" stroked="false">
          <v:textbox inset="0,0,0,0">
            <w:txbxContent>
              <w:p>
                <w:pPr>
                  <w:spacing w:line="245" w:lineRule="exact" w:before="0"/>
                  <w:ind w:left="20" w:right="0" w:firstLine="0"/>
                  <w:jc w:val="left"/>
                  <w:rPr>
                    <w:b/>
                    <w:sz w:val="22"/>
                  </w:rPr>
                </w:pPr>
                <w:r>
                  <w:rPr>
                    <w:b/>
                    <w:sz w:val="22"/>
                  </w:rPr>
                  <w:t>PBO reference PR20/00062</w:t>
                </w:r>
              </w:p>
            </w:txbxContent>
          </v:textbox>
          <w10:wrap type="none"/>
        </v:shape>
      </w:pict>
    </w:r>
    <w:r>
      <w:rPr/>
      <w:pict>
        <v:shape style="position:absolute;margin-left:473.480011pt;margin-top:805.159973pt;width:52.15pt;height:13.05pt;mso-position-horizontal-relative:page;mso-position-vertical-relative:page;z-index:-253574144" type="#_x0000_t202" filled="false" stroked="false">
          <v:textbox inset="0,0,0,0">
            <w:txbxContent>
              <w:p>
                <w:pPr>
                  <w:spacing w:line="245" w:lineRule="exact" w:before="0"/>
                  <w:ind w:left="20" w:right="0" w:firstLine="0"/>
                  <w:jc w:val="left"/>
                  <w:rPr>
                    <w:b/>
                    <w:sz w:val="22"/>
                  </w:rPr>
                </w:pPr>
                <w:r>
                  <w:rPr>
                    <w:b/>
                    <w:sz w:val="22"/>
                  </w:rPr>
                  <w:t>Page </w:t>
                </w:r>
                <w:r>
                  <w:rPr/>
                  <w:fldChar w:fldCharType="begin"/>
                </w:r>
                <w:r>
                  <w:rPr>
                    <w:b/>
                    <w:sz w:val="22"/>
                  </w:rPr>
                  <w:instrText> PAGE </w:instrText>
                </w:r>
                <w:r>
                  <w:rPr/>
                  <w:fldChar w:fldCharType="separate"/>
                </w:r>
                <w:r>
                  <w:rPr/>
                  <w:t>1</w:t>
                </w:r>
                <w:r>
                  <w:rPr/>
                  <w:fldChar w:fldCharType="end"/>
                </w:r>
                <w:r>
                  <w:rPr>
                    <w:b/>
                    <w:sz w:val="22"/>
                  </w:rPr>
                  <w:t> of 5</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5.559998pt;margin-top:799.940002pt;width:144.550pt;height:20pt;mso-position-horizontal-relative:page;mso-position-vertical-relative:page;z-index:-253572096" type="#_x0000_t202" filled="false" stroked="false">
          <v:textbox inset="0,0,0,0">
            <w:txbxContent>
              <w:p>
                <w:pPr>
                  <w:spacing w:line="387" w:lineRule="exact" w:before="0"/>
                  <w:ind w:left="20" w:right="0" w:firstLine="0"/>
                  <w:jc w:val="left"/>
                  <w:rPr>
                    <w:b/>
                    <w:sz w:val="36"/>
                  </w:rPr>
                </w:pPr>
                <w:r>
                  <w:rPr>
                    <w:b/>
                    <w:strike/>
                    <w:color w:val="FF0000"/>
                    <w:sz w:val="36"/>
                  </w:rPr>
                  <w:t>OFFICIAL: Sensitive</w:t>
                </w:r>
              </w:p>
            </w:txbxContent>
          </v:textbox>
          <w10:wrap type="none"/>
        </v:shape>
      </w:pict>
    </w:r>
    <w:r>
      <w:rPr/>
      <w:pict>
        <v:shape style="position:absolute;margin-left:473.480011pt;margin-top:805.159973pt;width:52.15pt;height:13.05pt;mso-position-horizontal-relative:page;mso-position-vertical-relative:page;z-index:-253571072" type="#_x0000_t202" filled="false" stroked="false">
          <v:textbox inset="0,0,0,0">
            <w:txbxContent>
              <w:p>
                <w:pPr>
                  <w:spacing w:line="245" w:lineRule="exact" w:before="0"/>
                  <w:ind w:left="20" w:right="0" w:firstLine="0"/>
                  <w:jc w:val="left"/>
                  <w:rPr>
                    <w:b/>
                    <w:sz w:val="22"/>
                  </w:rPr>
                </w:pPr>
                <w:r>
                  <w:rPr>
                    <w:b/>
                    <w:sz w:val="22"/>
                  </w:rPr>
                  <w:t>Page </w:t>
                </w:r>
                <w:r>
                  <w:rPr/>
                  <w:fldChar w:fldCharType="begin"/>
                </w:r>
                <w:r>
                  <w:rPr>
                    <w:b/>
                    <w:sz w:val="22"/>
                  </w:rPr>
                  <w:instrText> PAGE </w:instrText>
                </w:r>
                <w:r>
                  <w:rPr/>
                  <w:fldChar w:fldCharType="separate"/>
                </w:r>
                <w:r>
                  <w:rPr/>
                  <w:t>2</w:t>
                </w:r>
                <w:r>
                  <w:rPr/>
                  <w:fldChar w:fldCharType="end"/>
                </w:r>
                <w:r>
                  <w:rPr>
                    <w:b/>
                    <w:sz w:val="22"/>
                  </w:rPr>
                  <w:t> of 5</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5.559998pt;margin-top:799.940002pt;width:144.550pt;height:20pt;mso-position-horizontal-relative:page;mso-position-vertical-relative:page;z-index:-253569024" type="#_x0000_t202" filled="false" stroked="false">
          <v:textbox inset="0,0,0,0">
            <w:txbxContent>
              <w:p>
                <w:pPr>
                  <w:spacing w:line="387" w:lineRule="exact" w:before="0"/>
                  <w:ind w:left="20" w:right="0" w:firstLine="0"/>
                  <w:jc w:val="left"/>
                  <w:rPr>
                    <w:b/>
                    <w:sz w:val="36"/>
                  </w:rPr>
                </w:pPr>
                <w:r>
                  <w:rPr>
                    <w:b/>
                    <w:strike/>
                    <w:color w:val="FF0000"/>
                    <w:sz w:val="36"/>
                  </w:rPr>
                  <w:t>OFFICIAL: Sensitive</w:t>
                </w:r>
              </w:p>
            </w:txbxContent>
          </v:textbox>
          <w10:wrap type="none"/>
        </v:shape>
      </w:pict>
    </w:r>
    <w:r>
      <w:rPr/>
      <w:pict>
        <v:shape style="position:absolute;margin-left:494.720001pt;margin-top:805.159973pt;width:52.15pt;height:13.05pt;mso-position-horizontal-relative:page;mso-position-vertical-relative:page;z-index:-253568000" type="#_x0000_t202" filled="false" stroked="false">
          <v:textbox inset="0,0,0,0">
            <w:txbxContent>
              <w:p>
                <w:pPr>
                  <w:spacing w:line="245" w:lineRule="exact" w:before="0"/>
                  <w:ind w:left="20" w:right="0" w:firstLine="0"/>
                  <w:jc w:val="left"/>
                  <w:rPr>
                    <w:b/>
                    <w:sz w:val="22"/>
                  </w:rPr>
                </w:pPr>
                <w:r>
                  <w:rPr>
                    <w:b/>
                    <w:sz w:val="22"/>
                  </w:rPr>
                  <w:t>Page </w:t>
                </w:r>
                <w:r>
                  <w:rPr/>
                  <w:fldChar w:fldCharType="begin"/>
                </w:r>
                <w:r>
                  <w:rPr>
                    <w:b/>
                    <w:sz w:val="22"/>
                  </w:rPr>
                  <w:instrText> PAGE </w:instrText>
                </w:r>
                <w:r>
                  <w:rPr/>
                  <w:fldChar w:fldCharType="separate"/>
                </w:r>
                <w:r>
                  <w:rPr/>
                  <w:t>4</w:t>
                </w:r>
                <w:r>
                  <w:rPr/>
                  <w:fldChar w:fldCharType="end"/>
                </w:r>
                <w:r>
                  <w:rPr>
                    <w:b/>
                    <w:sz w:val="22"/>
                  </w:rPr>
                  <w:t> of 5</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25.440002pt;margin-top:28.819983pt;width:144.550pt;height:20pt;mso-position-horizontal-relative:page;mso-position-vertical-relative:page;z-index:-253577216" type="#_x0000_t202" filled="false" stroked="false">
          <v:textbox inset="0,0,0,0">
            <w:txbxContent>
              <w:p>
                <w:pPr>
                  <w:spacing w:line="387" w:lineRule="exact" w:before="0"/>
                  <w:ind w:left="20" w:right="0" w:firstLine="0"/>
                  <w:jc w:val="left"/>
                  <w:rPr>
                    <w:b/>
                    <w:sz w:val="36"/>
                  </w:rPr>
                </w:pPr>
                <w:r>
                  <w:rPr>
                    <w:b/>
                    <w:strike/>
                    <w:color w:val="FF0000"/>
                    <w:sz w:val="36"/>
                  </w:rPr>
                  <w:t>OFFICIAL: Sensitive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5.440002pt;margin-top:28.819983pt;width:144.550pt;height:20pt;mso-position-horizontal-relative:page;mso-position-vertical-relative:page;z-index:-253573120" type="#_x0000_t202" filled="false" stroked="false">
          <v:textbox inset="0,0,0,0">
            <w:txbxContent>
              <w:p>
                <w:pPr>
                  <w:spacing w:line="387" w:lineRule="exact" w:before="0"/>
                  <w:ind w:left="20" w:right="0" w:firstLine="0"/>
                  <w:jc w:val="left"/>
                  <w:rPr>
                    <w:b/>
                    <w:sz w:val="36"/>
                  </w:rPr>
                </w:pPr>
                <w:r>
                  <w:rPr>
                    <w:b/>
                    <w:strike/>
                    <w:color w:val="FF0000"/>
                    <w:sz w:val="36"/>
                  </w:rPr>
                  <w:t>OFFICIAL: Sensitive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5.440002pt;margin-top:28.819983pt;width:144.550pt;height:20pt;mso-position-horizontal-relative:page;mso-position-vertical-relative:page;z-index:-253570048" type="#_x0000_t202" filled="false" stroked="false">
          <v:textbox inset="0,0,0,0">
            <w:txbxContent>
              <w:p>
                <w:pPr>
                  <w:spacing w:line="387" w:lineRule="exact" w:before="0"/>
                  <w:ind w:left="20" w:right="0" w:firstLine="0"/>
                  <w:jc w:val="left"/>
                  <w:rPr>
                    <w:b/>
                    <w:sz w:val="36"/>
                  </w:rPr>
                </w:pPr>
                <w:r>
                  <w:rPr>
                    <w:b/>
                    <w:strike/>
                    <w:color w:val="FF0000"/>
                    <w:sz w:val="36"/>
                  </w:rPr>
                  <w:t>OFFICIAL: Sensitive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lowerLetter"/>
      <w:lvlText w:val="(%1)"/>
      <w:lvlJc w:val="left"/>
      <w:pPr>
        <w:ind w:left="514" w:hanging="284"/>
        <w:jc w:val="left"/>
      </w:pPr>
      <w:rPr>
        <w:rFonts w:hint="default" w:ascii="Calibri" w:hAnsi="Calibri" w:eastAsia="Calibri" w:cs="Calibri"/>
        <w:spacing w:val="-1"/>
        <w:w w:val="100"/>
        <w:sz w:val="16"/>
        <w:szCs w:val="16"/>
      </w:rPr>
    </w:lvl>
    <w:lvl w:ilvl="1">
      <w:start w:val="0"/>
      <w:numFmt w:val="bullet"/>
      <w:lvlText w:val="•"/>
      <w:lvlJc w:val="left"/>
      <w:pPr>
        <w:ind w:left="1500" w:hanging="284"/>
      </w:pPr>
      <w:rPr>
        <w:rFonts w:hint="default"/>
      </w:rPr>
    </w:lvl>
    <w:lvl w:ilvl="2">
      <w:start w:val="0"/>
      <w:numFmt w:val="bullet"/>
      <w:lvlText w:val="•"/>
      <w:lvlJc w:val="left"/>
      <w:pPr>
        <w:ind w:left="2481" w:hanging="284"/>
      </w:pPr>
      <w:rPr>
        <w:rFonts w:hint="default"/>
      </w:rPr>
    </w:lvl>
    <w:lvl w:ilvl="3">
      <w:start w:val="0"/>
      <w:numFmt w:val="bullet"/>
      <w:lvlText w:val="•"/>
      <w:lvlJc w:val="left"/>
      <w:pPr>
        <w:ind w:left="3461" w:hanging="284"/>
      </w:pPr>
      <w:rPr>
        <w:rFonts w:hint="default"/>
      </w:rPr>
    </w:lvl>
    <w:lvl w:ilvl="4">
      <w:start w:val="0"/>
      <w:numFmt w:val="bullet"/>
      <w:lvlText w:val="•"/>
      <w:lvlJc w:val="left"/>
      <w:pPr>
        <w:ind w:left="4442" w:hanging="284"/>
      </w:pPr>
      <w:rPr>
        <w:rFonts w:hint="default"/>
      </w:rPr>
    </w:lvl>
    <w:lvl w:ilvl="5">
      <w:start w:val="0"/>
      <w:numFmt w:val="bullet"/>
      <w:lvlText w:val="•"/>
      <w:lvlJc w:val="left"/>
      <w:pPr>
        <w:ind w:left="5423" w:hanging="284"/>
      </w:pPr>
      <w:rPr>
        <w:rFonts w:hint="default"/>
      </w:rPr>
    </w:lvl>
    <w:lvl w:ilvl="6">
      <w:start w:val="0"/>
      <w:numFmt w:val="bullet"/>
      <w:lvlText w:val="•"/>
      <w:lvlJc w:val="left"/>
      <w:pPr>
        <w:ind w:left="6403" w:hanging="284"/>
      </w:pPr>
      <w:rPr>
        <w:rFonts w:hint="default"/>
      </w:rPr>
    </w:lvl>
    <w:lvl w:ilvl="7">
      <w:start w:val="0"/>
      <w:numFmt w:val="bullet"/>
      <w:lvlText w:val="•"/>
      <w:lvlJc w:val="left"/>
      <w:pPr>
        <w:ind w:left="7384" w:hanging="284"/>
      </w:pPr>
      <w:rPr>
        <w:rFonts w:hint="default"/>
      </w:rPr>
    </w:lvl>
    <w:lvl w:ilvl="8">
      <w:start w:val="0"/>
      <w:numFmt w:val="bullet"/>
      <w:lvlText w:val="•"/>
      <w:lvlJc w:val="left"/>
      <w:pPr>
        <w:ind w:left="8365" w:hanging="284"/>
      </w:pPr>
      <w:rPr>
        <w:rFonts w:hint="default"/>
      </w:rPr>
    </w:lvl>
  </w:abstractNum>
  <w:abstractNum w:abstractNumId="8">
    <w:multiLevelType w:val="hybridMultilevel"/>
    <w:lvl w:ilvl="0">
      <w:start w:val="1"/>
      <w:numFmt w:val="lowerLetter"/>
      <w:lvlText w:val="(%1)"/>
      <w:lvlJc w:val="left"/>
      <w:pPr>
        <w:ind w:left="514" w:hanging="284"/>
        <w:jc w:val="left"/>
      </w:pPr>
      <w:rPr>
        <w:rFonts w:hint="default" w:ascii="Calibri" w:hAnsi="Calibri" w:eastAsia="Calibri" w:cs="Calibri"/>
        <w:spacing w:val="-1"/>
        <w:w w:val="100"/>
        <w:sz w:val="16"/>
        <w:szCs w:val="16"/>
      </w:rPr>
    </w:lvl>
    <w:lvl w:ilvl="1">
      <w:start w:val="0"/>
      <w:numFmt w:val="bullet"/>
      <w:lvlText w:val="•"/>
      <w:lvlJc w:val="left"/>
      <w:pPr>
        <w:ind w:left="1500" w:hanging="284"/>
      </w:pPr>
      <w:rPr>
        <w:rFonts w:hint="default"/>
      </w:rPr>
    </w:lvl>
    <w:lvl w:ilvl="2">
      <w:start w:val="0"/>
      <w:numFmt w:val="bullet"/>
      <w:lvlText w:val="•"/>
      <w:lvlJc w:val="left"/>
      <w:pPr>
        <w:ind w:left="2481" w:hanging="284"/>
      </w:pPr>
      <w:rPr>
        <w:rFonts w:hint="default"/>
      </w:rPr>
    </w:lvl>
    <w:lvl w:ilvl="3">
      <w:start w:val="0"/>
      <w:numFmt w:val="bullet"/>
      <w:lvlText w:val="•"/>
      <w:lvlJc w:val="left"/>
      <w:pPr>
        <w:ind w:left="3461" w:hanging="284"/>
      </w:pPr>
      <w:rPr>
        <w:rFonts w:hint="default"/>
      </w:rPr>
    </w:lvl>
    <w:lvl w:ilvl="4">
      <w:start w:val="0"/>
      <w:numFmt w:val="bullet"/>
      <w:lvlText w:val="•"/>
      <w:lvlJc w:val="left"/>
      <w:pPr>
        <w:ind w:left="4442" w:hanging="284"/>
      </w:pPr>
      <w:rPr>
        <w:rFonts w:hint="default"/>
      </w:rPr>
    </w:lvl>
    <w:lvl w:ilvl="5">
      <w:start w:val="0"/>
      <w:numFmt w:val="bullet"/>
      <w:lvlText w:val="•"/>
      <w:lvlJc w:val="left"/>
      <w:pPr>
        <w:ind w:left="5423" w:hanging="284"/>
      </w:pPr>
      <w:rPr>
        <w:rFonts w:hint="default"/>
      </w:rPr>
    </w:lvl>
    <w:lvl w:ilvl="6">
      <w:start w:val="0"/>
      <w:numFmt w:val="bullet"/>
      <w:lvlText w:val="•"/>
      <w:lvlJc w:val="left"/>
      <w:pPr>
        <w:ind w:left="6403" w:hanging="284"/>
      </w:pPr>
      <w:rPr>
        <w:rFonts w:hint="default"/>
      </w:rPr>
    </w:lvl>
    <w:lvl w:ilvl="7">
      <w:start w:val="0"/>
      <w:numFmt w:val="bullet"/>
      <w:lvlText w:val="•"/>
      <w:lvlJc w:val="left"/>
      <w:pPr>
        <w:ind w:left="7384" w:hanging="284"/>
      </w:pPr>
      <w:rPr>
        <w:rFonts w:hint="default"/>
      </w:rPr>
    </w:lvl>
    <w:lvl w:ilvl="8">
      <w:start w:val="0"/>
      <w:numFmt w:val="bullet"/>
      <w:lvlText w:val="•"/>
      <w:lvlJc w:val="left"/>
      <w:pPr>
        <w:ind w:left="8365" w:hanging="284"/>
      </w:pPr>
      <w:rPr>
        <w:rFonts w:hint="default"/>
      </w:rPr>
    </w:lvl>
  </w:abstractNum>
  <w:abstractNum w:abstractNumId="7">
    <w:multiLevelType w:val="hybridMultilevel"/>
    <w:lvl w:ilvl="0">
      <w:start w:val="1"/>
      <w:numFmt w:val="lowerLetter"/>
      <w:lvlText w:val="(%1)"/>
      <w:lvlJc w:val="left"/>
      <w:pPr>
        <w:ind w:left="514" w:hanging="284"/>
        <w:jc w:val="left"/>
      </w:pPr>
      <w:rPr>
        <w:rFonts w:hint="default" w:ascii="Calibri" w:hAnsi="Calibri" w:eastAsia="Calibri" w:cs="Calibri"/>
        <w:spacing w:val="-1"/>
        <w:w w:val="100"/>
        <w:sz w:val="16"/>
        <w:szCs w:val="16"/>
      </w:rPr>
    </w:lvl>
    <w:lvl w:ilvl="1">
      <w:start w:val="0"/>
      <w:numFmt w:val="bullet"/>
      <w:lvlText w:val="•"/>
      <w:lvlJc w:val="left"/>
      <w:pPr>
        <w:ind w:left="1500" w:hanging="284"/>
      </w:pPr>
      <w:rPr>
        <w:rFonts w:hint="default"/>
      </w:rPr>
    </w:lvl>
    <w:lvl w:ilvl="2">
      <w:start w:val="0"/>
      <w:numFmt w:val="bullet"/>
      <w:lvlText w:val="•"/>
      <w:lvlJc w:val="left"/>
      <w:pPr>
        <w:ind w:left="2481" w:hanging="284"/>
      </w:pPr>
      <w:rPr>
        <w:rFonts w:hint="default"/>
      </w:rPr>
    </w:lvl>
    <w:lvl w:ilvl="3">
      <w:start w:val="0"/>
      <w:numFmt w:val="bullet"/>
      <w:lvlText w:val="•"/>
      <w:lvlJc w:val="left"/>
      <w:pPr>
        <w:ind w:left="3461" w:hanging="284"/>
      </w:pPr>
      <w:rPr>
        <w:rFonts w:hint="default"/>
      </w:rPr>
    </w:lvl>
    <w:lvl w:ilvl="4">
      <w:start w:val="0"/>
      <w:numFmt w:val="bullet"/>
      <w:lvlText w:val="•"/>
      <w:lvlJc w:val="left"/>
      <w:pPr>
        <w:ind w:left="4442" w:hanging="284"/>
      </w:pPr>
      <w:rPr>
        <w:rFonts w:hint="default"/>
      </w:rPr>
    </w:lvl>
    <w:lvl w:ilvl="5">
      <w:start w:val="0"/>
      <w:numFmt w:val="bullet"/>
      <w:lvlText w:val="•"/>
      <w:lvlJc w:val="left"/>
      <w:pPr>
        <w:ind w:left="5423" w:hanging="284"/>
      </w:pPr>
      <w:rPr>
        <w:rFonts w:hint="default"/>
      </w:rPr>
    </w:lvl>
    <w:lvl w:ilvl="6">
      <w:start w:val="0"/>
      <w:numFmt w:val="bullet"/>
      <w:lvlText w:val="•"/>
      <w:lvlJc w:val="left"/>
      <w:pPr>
        <w:ind w:left="6403" w:hanging="284"/>
      </w:pPr>
      <w:rPr>
        <w:rFonts w:hint="default"/>
      </w:rPr>
    </w:lvl>
    <w:lvl w:ilvl="7">
      <w:start w:val="0"/>
      <w:numFmt w:val="bullet"/>
      <w:lvlText w:val="•"/>
      <w:lvlJc w:val="left"/>
      <w:pPr>
        <w:ind w:left="7384" w:hanging="284"/>
      </w:pPr>
      <w:rPr>
        <w:rFonts w:hint="default"/>
      </w:rPr>
    </w:lvl>
    <w:lvl w:ilvl="8">
      <w:start w:val="0"/>
      <w:numFmt w:val="bullet"/>
      <w:lvlText w:val="•"/>
      <w:lvlJc w:val="left"/>
      <w:pPr>
        <w:ind w:left="8365" w:hanging="284"/>
      </w:pPr>
      <w:rPr>
        <w:rFonts w:hint="default"/>
      </w:rPr>
    </w:lvl>
  </w:abstractNum>
  <w:abstractNum w:abstractNumId="6">
    <w:multiLevelType w:val="hybridMultilevel"/>
    <w:lvl w:ilvl="0">
      <w:start w:val="0"/>
      <w:numFmt w:val="bullet"/>
      <w:lvlText w:val="-"/>
      <w:lvlJc w:val="left"/>
      <w:pPr>
        <w:ind w:left="514" w:hanging="284"/>
      </w:pPr>
      <w:rPr>
        <w:rFonts w:hint="default" w:ascii="Calibri" w:hAnsi="Calibri" w:eastAsia="Calibri" w:cs="Calibri"/>
        <w:w w:val="100"/>
        <w:sz w:val="16"/>
        <w:szCs w:val="16"/>
      </w:rPr>
    </w:lvl>
    <w:lvl w:ilvl="1">
      <w:start w:val="0"/>
      <w:numFmt w:val="bullet"/>
      <w:lvlText w:val="•"/>
      <w:lvlJc w:val="left"/>
      <w:pPr>
        <w:ind w:left="1500" w:hanging="284"/>
      </w:pPr>
      <w:rPr>
        <w:rFonts w:hint="default"/>
      </w:rPr>
    </w:lvl>
    <w:lvl w:ilvl="2">
      <w:start w:val="0"/>
      <w:numFmt w:val="bullet"/>
      <w:lvlText w:val="•"/>
      <w:lvlJc w:val="left"/>
      <w:pPr>
        <w:ind w:left="2481" w:hanging="284"/>
      </w:pPr>
      <w:rPr>
        <w:rFonts w:hint="default"/>
      </w:rPr>
    </w:lvl>
    <w:lvl w:ilvl="3">
      <w:start w:val="0"/>
      <w:numFmt w:val="bullet"/>
      <w:lvlText w:val="•"/>
      <w:lvlJc w:val="left"/>
      <w:pPr>
        <w:ind w:left="3461" w:hanging="284"/>
      </w:pPr>
      <w:rPr>
        <w:rFonts w:hint="default"/>
      </w:rPr>
    </w:lvl>
    <w:lvl w:ilvl="4">
      <w:start w:val="0"/>
      <w:numFmt w:val="bullet"/>
      <w:lvlText w:val="•"/>
      <w:lvlJc w:val="left"/>
      <w:pPr>
        <w:ind w:left="4442" w:hanging="284"/>
      </w:pPr>
      <w:rPr>
        <w:rFonts w:hint="default"/>
      </w:rPr>
    </w:lvl>
    <w:lvl w:ilvl="5">
      <w:start w:val="0"/>
      <w:numFmt w:val="bullet"/>
      <w:lvlText w:val="•"/>
      <w:lvlJc w:val="left"/>
      <w:pPr>
        <w:ind w:left="5423" w:hanging="284"/>
      </w:pPr>
      <w:rPr>
        <w:rFonts w:hint="default"/>
      </w:rPr>
    </w:lvl>
    <w:lvl w:ilvl="6">
      <w:start w:val="0"/>
      <w:numFmt w:val="bullet"/>
      <w:lvlText w:val="•"/>
      <w:lvlJc w:val="left"/>
      <w:pPr>
        <w:ind w:left="6403" w:hanging="284"/>
      </w:pPr>
      <w:rPr>
        <w:rFonts w:hint="default"/>
      </w:rPr>
    </w:lvl>
    <w:lvl w:ilvl="7">
      <w:start w:val="0"/>
      <w:numFmt w:val="bullet"/>
      <w:lvlText w:val="•"/>
      <w:lvlJc w:val="left"/>
      <w:pPr>
        <w:ind w:left="7384" w:hanging="284"/>
      </w:pPr>
      <w:rPr>
        <w:rFonts w:hint="default"/>
      </w:rPr>
    </w:lvl>
    <w:lvl w:ilvl="8">
      <w:start w:val="0"/>
      <w:numFmt w:val="bullet"/>
      <w:lvlText w:val="•"/>
      <w:lvlJc w:val="left"/>
      <w:pPr>
        <w:ind w:left="8365" w:hanging="284"/>
      </w:pPr>
      <w:rPr>
        <w:rFonts w:hint="default"/>
      </w:rPr>
    </w:lvl>
  </w:abstractNum>
  <w:abstractNum w:abstractNumId="5">
    <w:multiLevelType w:val="hybridMultilevel"/>
    <w:lvl w:ilvl="0">
      <w:start w:val="1"/>
      <w:numFmt w:val="lowerLetter"/>
      <w:lvlText w:val="(%1)"/>
      <w:lvlJc w:val="left"/>
      <w:pPr>
        <w:ind w:left="514" w:hanging="284"/>
        <w:jc w:val="left"/>
      </w:pPr>
      <w:rPr>
        <w:rFonts w:hint="default" w:ascii="Calibri" w:hAnsi="Calibri" w:eastAsia="Calibri" w:cs="Calibri"/>
        <w:spacing w:val="-1"/>
        <w:w w:val="100"/>
        <w:sz w:val="16"/>
        <w:szCs w:val="16"/>
      </w:rPr>
    </w:lvl>
    <w:lvl w:ilvl="1">
      <w:start w:val="0"/>
      <w:numFmt w:val="bullet"/>
      <w:lvlText w:val="•"/>
      <w:lvlJc w:val="left"/>
      <w:pPr>
        <w:ind w:left="1500" w:hanging="284"/>
      </w:pPr>
      <w:rPr>
        <w:rFonts w:hint="default"/>
      </w:rPr>
    </w:lvl>
    <w:lvl w:ilvl="2">
      <w:start w:val="0"/>
      <w:numFmt w:val="bullet"/>
      <w:lvlText w:val="•"/>
      <w:lvlJc w:val="left"/>
      <w:pPr>
        <w:ind w:left="2481" w:hanging="284"/>
      </w:pPr>
      <w:rPr>
        <w:rFonts w:hint="default"/>
      </w:rPr>
    </w:lvl>
    <w:lvl w:ilvl="3">
      <w:start w:val="0"/>
      <w:numFmt w:val="bullet"/>
      <w:lvlText w:val="•"/>
      <w:lvlJc w:val="left"/>
      <w:pPr>
        <w:ind w:left="3461" w:hanging="284"/>
      </w:pPr>
      <w:rPr>
        <w:rFonts w:hint="default"/>
      </w:rPr>
    </w:lvl>
    <w:lvl w:ilvl="4">
      <w:start w:val="0"/>
      <w:numFmt w:val="bullet"/>
      <w:lvlText w:val="•"/>
      <w:lvlJc w:val="left"/>
      <w:pPr>
        <w:ind w:left="4442" w:hanging="284"/>
      </w:pPr>
      <w:rPr>
        <w:rFonts w:hint="default"/>
      </w:rPr>
    </w:lvl>
    <w:lvl w:ilvl="5">
      <w:start w:val="0"/>
      <w:numFmt w:val="bullet"/>
      <w:lvlText w:val="•"/>
      <w:lvlJc w:val="left"/>
      <w:pPr>
        <w:ind w:left="5423" w:hanging="284"/>
      </w:pPr>
      <w:rPr>
        <w:rFonts w:hint="default"/>
      </w:rPr>
    </w:lvl>
    <w:lvl w:ilvl="6">
      <w:start w:val="0"/>
      <w:numFmt w:val="bullet"/>
      <w:lvlText w:val="•"/>
      <w:lvlJc w:val="left"/>
      <w:pPr>
        <w:ind w:left="6403" w:hanging="284"/>
      </w:pPr>
      <w:rPr>
        <w:rFonts w:hint="default"/>
      </w:rPr>
    </w:lvl>
    <w:lvl w:ilvl="7">
      <w:start w:val="0"/>
      <w:numFmt w:val="bullet"/>
      <w:lvlText w:val="•"/>
      <w:lvlJc w:val="left"/>
      <w:pPr>
        <w:ind w:left="7384" w:hanging="284"/>
      </w:pPr>
      <w:rPr>
        <w:rFonts w:hint="default"/>
      </w:rPr>
    </w:lvl>
    <w:lvl w:ilvl="8">
      <w:start w:val="0"/>
      <w:numFmt w:val="bullet"/>
      <w:lvlText w:val="•"/>
      <w:lvlJc w:val="left"/>
      <w:pPr>
        <w:ind w:left="8365" w:hanging="284"/>
      </w:pPr>
      <w:rPr>
        <w:rFonts w:hint="default"/>
      </w:rPr>
    </w:lvl>
  </w:abstractNum>
  <w:abstractNum w:abstractNumId="4">
    <w:multiLevelType w:val="hybridMultilevel"/>
    <w:lvl w:ilvl="0">
      <w:start w:val="0"/>
      <w:numFmt w:val="bullet"/>
      <w:lvlText w:val=""/>
      <w:lvlJc w:val="left"/>
      <w:pPr>
        <w:ind w:left="941" w:hanging="284"/>
      </w:pPr>
      <w:rPr>
        <w:rFonts w:hint="default" w:ascii="Symbol" w:hAnsi="Symbol" w:eastAsia="Symbol" w:cs="Symbol"/>
        <w:w w:val="100"/>
        <w:sz w:val="22"/>
        <w:szCs w:val="22"/>
      </w:rPr>
    </w:lvl>
    <w:lvl w:ilvl="1">
      <w:start w:val="0"/>
      <w:numFmt w:val="bullet"/>
      <w:lvlText w:val="•"/>
      <w:lvlJc w:val="left"/>
      <w:pPr>
        <w:ind w:left="1878" w:hanging="284"/>
      </w:pPr>
      <w:rPr>
        <w:rFonts w:hint="default"/>
      </w:rPr>
    </w:lvl>
    <w:lvl w:ilvl="2">
      <w:start w:val="0"/>
      <w:numFmt w:val="bullet"/>
      <w:lvlText w:val="•"/>
      <w:lvlJc w:val="left"/>
      <w:pPr>
        <w:ind w:left="2817" w:hanging="284"/>
      </w:pPr>
      <w:rPr>
        <w:rFonts w:hint="default"/>
      </w:rPr>
    </w:lvl>
    <w:lvl w:ilvl="3">
      <w:start w:val="0"/>
      <w:numFmt w:val="bullet"/>
      <w:lvlText w:val="•"/>
      <w:lvlJc w:val="left"/>
      <w:pPr>
        <w:ind w:left="3755" w:hanging="284"/>
      </w:pPr>
      <w:rPr>
        <w:rFonts w:hint="default"/>
      </w:rPr>
    </w:lvl>
    <w:lvl w:ilvl="4">
      <w:start w:val="0"/>
      <w:numFmt w:val="bullet"/>
      <w:lvlText w:val="•"/>
      <w:lvlJc w:val="left"/>
      <w:pPr>
        <w:ind w:left="4694" w:hanging="284"/>
      </w:pPr>
      <w:rPr>
        <w:rFonts w:hint="default"/>
      </w:rPr>
    </w:lvl>
    <w:lvl w:ilvl="5">
      <w:start w:val="0"/>
      <w:numFmt w:val="bullet"/>
      <w:lvlText w:val="•"/>
      <w:lvlJc w:val="left"/>
      <w:pPr>
        <w:ind w:left="5633" w:hanging="284"/>
      </w:pPr>
      <w:rPr>
        <w:rFonts w:hint="default"/>
      </w:rPr>
    </w:lvl>
    <w:lvl w:ilvl="6">
      <w:start w:val="0"/>
      <w:numFmt w:val="bullet"/>
      <w:lvlText w:val="•"/>
      <w:lvlJc w:val="left"/>
      <w:pPr>
        <w:ind w:left="6571" w:hanging="284"/>
      </w:pPr>
      <w:rPr>
        <w:rFonts w:hint="default"/>
      </w:rPr>
    </w:lvl>
    <w:lvl w:ilvl="7">
      <w:start w:val="0"/>
      <w:numFmt w:val="bullet"/>
      <w:lvlText w:val="•"/>
      <w:lvlJc w:val="left"/>
      <w:pPr>
        <w:ind w:left="7510" w:hanging="284"/>
      </w:pPr>
      <w:rPr>
        <w:rFonts w:hint="default"/>
      </w:rPr>
    </w:lvl>
    <w:lvl w:ilvl="8">
      <w:start w:val="0"/>
      <w:numFmt w:val="bullet"/>
      <w:lvlText w:val="•"/>
      <w:lvlJc w:val="left"/>
      <w:pPr>
        <w:ind w:left="8449" w:hanging="284"/>
      </w:pPr>
      <w:rPr>
        <w:rFonts w:hint="default"/>
      </w:rPr>
    </w:lvl>
  </w:abstractNum>
  <w:abstractNum w:abstractNumId="3">
    <w:multiLevelType w:val="hybridMultilevel"/>
    <w:lvl w:ilvl="0">
      <w:start w:val="1"/>
      <w:numFmt w:val="lowerLetter"/>
      <w:lvlText w:val="(%1)"/>
      <w:lvlJc w:val="left"/>
      <w:pPr>
        <w:ind w:left="941" w:hanging="284"/>
        <w:jc w:val="left"/>
      </w:pPr>
      <w:rPr>
        <w:rFonts w:hint="default" w:ascii="Calibri" w:hAnsi="Calibri" w:eastAsia="Calibri" w:cs="Calibri"/>
        <w:spacing w:val="-1"/>
        <w:w w:val="99"/>
        <w:sz w:val="20"/>
        <w:szCs w:val="20"/>
      </w:rPr>
    </w:lvl>
    <w:lvl w:ilvl="1">
      <w:start w:val="0"/>
      <w:numFmt w:val="bullet"/>
      <w:lvlText w:val="•"/>
      <w:lvlJc w:val="left"/>
      <w:pPr>
        <w:ind w:left="1878" w:hanging="284"/>
      </w:pPr>
      <w:rPr>
        <w:rFonts w:hint="default"/>
      </w:rPr>
    </w:lvl>
    <w:lvl w:ilvl="2">
      <w:start w:val="0"/>
      <w:numFmt w:val="bullet"/>
      <w:lvlText w:val="•"/>
      <w:lvlJc w:val="left"/>
      <w:pPr>
        <w:ind w:left="2817" w:hanging="284"/>
      </w:pPr>
      <w:rPr>
        <w:rFonts w:hint="default"/>
      </w:rPr>
    </w:lvl>
    <w:lvl w:ilvl="3">
      <w:start w:val="0"/>
      <w:numFmt w:val="bullet"/>
      <w:lvlText w:val="•"/>
      <w:lvlJc w:val="left"/>
      <w:pPr>
        <w:ind w:left="3755" w:hanging="284"/>
      </w:pPr>
      <w:rPr>
        <w:rFonts w:hint="default"/>
      </w:rPr>
    </w:lvl>
    <w:lvl w:ilvl="4">
      <w:start w:val="0"/>
      <w:numFmt w:val="bullet"/>
      <w:lvlText w:val="•"/>
      <w:lvlJc w:val="left"/>
      <w:pPr>
        <w:ind w:left="4694" w:hanging="284"/>
      </w:pPr>
      <w:rPr>
        <w:rFonts w:hint="default"/>
      </w:rPr>
    </w:lvl>
    <w:lvl w:ilvl="5">
      <w:start w:val="0"/>
      <w:numFmt w:val="bullet"/>
      <w:lvlText w:val="•"/>
      <w:lvlJc w:val="left"/>
      <w:pPr>
        <w:ind w:left="5633" w:hanging="284"/>
      </w:pPr>
      <w:rPr>
        <w:rFonts w:hint="default"/>
      </w:rPr>
    </w:lvl>
    <w:lvl w:ilvl="6">
      <w:start w:val="0"/>
      <w:numFmt w:val="bullet"/>
      <w:lvlText w:val="•"/>
      <w:lvlJc w:val="left"/>
      <w:pPr>
        <w:ind w:left="6571" w:hanging="284"/>
      </w:pPr>
      <w:rPr>
        <w:rFonts w:hint="default"/>
      </w:rPr>
    </w:lvl>
    <w:lvl w:ilvl="7">
      <w:start w:val="0"/>
      <w:numFmt w:val="bullet"/>
      <w:lvlText w:val="•"/>
      <w:lvlJc w:val="left"/>
      <w:pPr>
        <w:ind w:left="7510" w:hanging="284"/>
      </w:pPr>
      <w:rPr>
        <w:rFonts w:hint="default"/>
      </w:rPr>
    </w:lvl>
    <w:lvl w:ilvl="8">
      <w:start w:val="0"/>
      <w:numFmt w:val="bullet"/>
      <w:lvlText w:val="•"/>
      <w:lvlJc w:val="left"/>
      <w:pPr>
        <w:ind w:left="8449" w:hanging="284"/>
      </w:pPr>
      <w:rPr>
        <w:rFonts w:hint="default"/>
      </w:rPr>
    </w:lvl>
  </w:abstractNum>
  <w:abstractNum w:abstractNumId="2">
    <w:multiLevelType w:val="hybridMultilevel"/>
    <w:lvl w:ilvl="0">
      <w:start w:val="0"/>
      <w:numFmt w:val="bullet"/>
      <w:lvlText w:val="•"/>
      <w:lvlJc w:val="left"/>
      <w:pPr>
        <w:ind w:left="941" w:hanging="284"/>
      </w:pPr>
      <w:rPr>
        <w:rFonts w:hint="default" w:ascii="Calibri" w:hAnsi="Calibri" w:eastAsia="Calibri" w:cs="Calibri"/>
        <w:w w:val="100"/>
        <w:sz w:val="22"/>
        <w:szCs w:val="22"/>
      </w:rPr>
    </w:lvl>
    <w:lvl w:ilvl="1">
      <w:start w:val="0"/>
      <w:numFmt w:val="bullet"/>
      <w:lvlText w:val="–"/>
      <w:lvlJc w:val="left"/>
      <w:pPr>
        <w:ind w:left="1224" w:hanging="284"/>
      </w:pPr>
      <w:rPr>
        <w:rFonts w:hint="default" w:ascii="Calibri" w:hAnsi="Calibri" w:eastAsia="Calibri" w:cs="Calibri"/>
        <w:w w:val="100"/>
        <w:sz w:val="22"/>
        <w:szCs w:val="22"/>
      </w:rPr>
    </w:lvl>
    <w:lvl w:ilvl="2">
      <w:start w:val="0"/>
      <w:numFmt w:val="bullet"/>
      <w:lvlText w:val="•"/>
      <w:lvlJc w:val="left"/>
      <w:pPr>
        <w:ind w:left="2231" w:hanging="284"/>
      </w:pPr>
      <w:rPr>
        <w:rFonts w:hint="default"/>
      </w:rPr>
    </w:lvl>
    <w:lvl w:ilvl="3">
      <w:start w:val="0"/>
      <w:numFmt w:val="bullet"/>
      <w:lvlText w:val="•"/>
      <w:lvlJc w:val="left"/>
      <w:pPr>
        <w:ind w:left="3243" w:hanging="284"/>
      </w:pPr>
      <w:rPr>
        <w:rFonts w:hint="default"/>
      </w:rPr>
    </w:lvl>
    <w:lvl w:ilvl="4">
      <w:start w:val="0"/>
      <w:numFmt w:val="bullet"/>
      <w:lvlText w:val="•"/>
      <w:lvlJc w:val="left"/>
      <w:pPr>
        <w:ind w:left="4255" w:hanging="284"/>
      </w:pPr>
      <w:rPr>
        <w:rFonts w:hint="default"/>
      </w:rPr>
    </w:lvl>
    <w:lvl w:ilvl="5">
      <w:start w:val="0"/>
      <w:numFmt w:val="bullet"/>
      <w:lvlText w:val="•"/>
      <w:lvlJc w:val="left"/>
      <w:pPr>
        <w:ind w:left="5267" w:hanging="284"/>
      </w:pPr>
      <w:rPr>
        <w:rFonts w:hint="default"/>
      </w:rPr>
    </w:lvl>
    <w:lvl w:ilvl="6">
      <w:start w:val="0"/>
      <w:numFmt w:val="bullet"/>
      <w:lvlText w:val="•"/>
      <w:lvlJc w:val="left"/>
      <w:pPr>
        <w:ind w:left="6279" w:hanging="284"/>
      </w:pPr>
      <w:rPr>
        <w:rFonts w:hint="default"/>
      </w:rPr>
    </w:lvl>
    <w:lvl w:ilvl="7">
      <w:start w:val="0"/>
      <w:numFmt w:val="bullet"/>
      <w:lvlText w:val="•"/>
      <w:lvlJc w:val="left"/>
      <w:pPr>
        <w:ind w:left="7290" w:hanging="284"/>
      </w:pPr>
      <w:rPr>
        <w:rFonts w:hint="default"/>
      </w:rPr>
    </w:lvl>
    <w:lvl w:ilvl="8">
      <w:start w:val="0"/>
      <w:numFmt w:val="bullet"/>
      <w:lvlText w:val="•"/>
      <w:lvlJc w:val="left"/>
      <w:pPr>
        <w:ind w:left="8302" w:hanging="284"/>
      </w:pPr>
      <w:rPr>
        <w:rFonts w:hint="default"/>
      </w:rPr>
    </w:lvl>
  </w:abstractNum>
  <w:abstractNum w:abstractNumId="1">
    <w:multiLevelType w:val="hybridMultilevel"/>
    <w:lvl w:ilvl="0">
      <w:start w:val="0"/>
      <w:numFmt w:val="bullet"/>
      <w:lvlText w:val="•"/>
      <w:lvlJc w:val="left"/>
      <w:pPr>
        <w:ind w:left="390" w:hanging="284"/>
      </w:pPr>
      <w:rPr>
        <w:rFonts w:hint="default" w:ascii="Calibri" w:hAnsi="Calibri" w:eastAsia="Calibri" w:cs="Calibri"/>
        <w:w w:val="100"/>
        <w:sz w:val="22"/>
        <w:szCs w:val="22"/>
      </w:rPr>
    </w:lvl>
    <w:lvl w:ilvl="1">
      <w:start w:val="0"/>
      <w:numFmt w:val="bullet"/>
      <w:lvlText w:val="•"/>
      <w:lvlJc w:val="left"/>
      <w:pPr>
        <w:ind w:left="1285" w:hanging="284"/>
      </w:pPr>
      <w:rPr>
        <w:rFonts w:hint="default"/>
      </w:rPr>
    </w:lvl>
    <w:lvl w:ilvl="2">
      <w:start w:val="0"/>
      <w:numFmt w:val="bullet"/>
      <w:lvlText w:val="•"/>
      <w:lvlJc w:val="left"/>
      <w:pPr>
        <w:ind w:left="2170" w:hanging="284"/>
      </w:pPr>
      <w:rPr>
        <w:rFonts w:hint="default"/>
      </w:rPr>
    </w:lvl>
    <w:lvl w:ilvl="3">
      <w:start w:val="0"/>
      <w:numFmt w:val="bullet"/>
      <w:lvlText w:val="•"/>
      <w:lvlJc w:val="left"/>
      <w:pPr>
        <w:ind w:left="3055" w:hanging="284"/>
      </w:pPr>
      <w:rPr>
        <w:rFonts w:hint="default"/>
      </w:rPr>
    </w:lvl>
    <w:lvl w:ilvl="4">
      <w:start w:val="0"/>
      <w:numFmt w:val="bullet"/>
      <w:lvlText w:val="•"/>
      <w:lvlJc w:val="left"/>
      <w:pPr>
        <w:ind w:left="3940" w:hanging="284"/>
      </w:pPr>
      <w:rPr>
        <w:rFonts w:hint="default"/>
      </w:rPr>
    </w:lvl>
    <w:lvl w:ilvl="5">
      <w:start w:val="0"/>
      <w:numFmt w:val="bullet"/>
      <w:lvlText w:val="•"/>
      <w:lvlJc w:val="left"/>
      <w:pPr>
        <w:ind w:left="4825" w:hanging="284"/>
      </w:pPr>
      <w:rPr>
        <w:rFonts w:hint="default"/>
      </w:rPr>
    </w:lvl>
    <w:lvl w:ilvl="6">
      <w:start w:val="0"/>
      <w:numFmt w:val="bullet"/>
      <w:lvlText w:val="•"/>
      <w:lvlJc w:val="left"/>
      <w:pPr>
        <w:ind w:left="5710" w:hanging="284"/>
      </w:pPr>
      <w:rPr>
        <w:rFonts w:hint="default"/>
      </w:rPr>
    </w:lvl>
    <w:lvl w:ilvl="7">
      <w:start w:val="0"/>
      <w:numFmt w:val="bullet"/>
      <w:lvlText w:val="•"/>
      <w:lvlJc w:val="left"/>
      <w:pPr>
        <w:ind w:left="6595" w:hanging="284"/>
      </w:pPr>
      <w:rPr>
        <w:rFonts w:hint="default"/>
      </w:rPr>
    </w:lvl>
    <w:lvl w:ilvl="8">
      <w:start w:val="0"/>
      <w:numFmt w:val="bullet"/>
      <w:lvlText w:val="•"/>
      <w:lvlJc w:val="left"/>
      <w:pPr>
        <w:ind w:left="7480" w:hanging="284"/>
      </w:pPr>
      <w:rPr>
        <w:rFonts w:hint="default"/>
      </w:rPr>
    </w:lvl>
  </w:abstractNum>
  <w:abstractNum w:abstractNumId="0">
    <w:multiLevelType w:val="hybridMultilevel"/>
    <w:lvl w:ilvl="0">
      <w:start w:val="0"/>
      <w:numFmt w:val="bullet"/>
      <w:lvlText w:val="☐"/>
      <w:lvlJc w:val="left"/>
      <w:pPr>
        <w:ind w:left="1022" w:hanging="269"/>
      </w:pPr>
      <w:rPr>
        <w:rFonts w:hint="default" w:ascii="MS Gothic" w:hAnsi="MS Gothic" w:eastAsia="MS Gothic" w:cs="MS Gothic"/>
        <w:w w:val="100"/>
        <w:sz w:val="22"/>
        <w:szCs w:val="22"/>
      </w:rPr>
    </w:lvl>
    <w:lvl w:ilvl="1">
      <w:start w:val="0"/>
      <w:numFmt w:val="bullet"/>
      <w:lvlText w:val="•"/>
      <w:lvlJc w:val="left"/>
      <w:pPr>
        <w:ind w:left="1261" w:hanging="269"/>
      </w:pPr>
      <w:rPr>
        <w:rFonts w:hint="default"/>
      </w:rPr>
    </w:lvl>
    <w:lvl w:ilvl="2">
      <w:start w:val="0"/>
      <w:numFmt w:val="bullet"/>
      <w:lvlText w:val="•"/>
      <w:lvlJc w:val="left"/>
      <w:pPr>
        <w:ind w:left="1502" w:hanging="269"/>
      </w:pPr>
      <w:rPr>
        <w:rFonts w:hint="default"/>
      </w:rPr>
    </w:lvl>
    <w:lvl w:ilvl="3">
      <w:start w:val="0"/>
      <w:numFmt w:val="bullet"/>
      <w:lvlText w:val="•"/>
      <w:lvlJc w:val="left"/>
      <w:pPr>
        <w:ind w:left="1744" w:hanging="269"/>
      </w:pPr>
      <w:rPr>
        <w:rFonts w:hint="default"/>
      </w:rPr>
    </w:lvl>
    <w:lvl w:ilvl="4">
      <w:start w:val="0"/>
      <w:numFmt w:val="bullet"/>
      <w:lvlText w:val="•"/>
      <w:lvlJc w:val="left"/>
      <w:pPr>
        <w:ind w:left="1985" w:hanging="269"/>
      </w:pPr>
      <w:rPr>
        <w:rFonts w:hint="default"/>
      </w:rPr>
    </w:lvl>
    <w:lvl w:ilvl="5">
      <w:start w:val="0"/>
      <w:numFmt w:val="bullet"/>
      <w:lvlText w:val="•"/>
      <w:lvlJc w:val="left"/>
      <w:pPr>
        <w:ind w:left="2227" w:hanging="269"/>
      </w:pPr>
      <w:rPr>
        <w:rFonts w:hint="default"/>
      </w:rPr>
    </w:lvl>
    <w:lvl w:ilvl="6">
      <w:start w:val="0"/>
      <w:numFmt w:val="bullet"/>
      <w:lvlText w:val="•"/>
      <w:lvlJc w:val="left"/>
      <w:pPr>
        <w:ind w:left="2468" w:hanging="269"/>
      </w:pPr>
      <w:rPr>
        <w:rFonts w:hint="default"/>
      </w:rPr>
    </w:lvl>
    <w:lvl w:ilvl="7">
      <w:start w:val="0"/>
      <w:numFmt w:val="bullet"/>
      <w:lvlText w:val="•"/>
      <w:lvlJc w:val="left"/>
      <w:pPr>
        <w:ind w:left="2709" w:hanging="269"/>
      </w:pPr>
      <w:rPr>
        <w:rFonts w:hint="default"/>
      </w:rPr>
    </w:lvl>
    <w:lvl w:ilvl="8">
      <w:start w:val="0"/>
      <w:numFmt w:val="bullet"/>
      <w:lvlText w:val="•"/>
      <w:lvlJc w:val="left"/>
      <w:pPr>
        <w:ind w:left="2951" w:hanging="269"/>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ind w:left="658"/>
      <w:outlineLvl w:val="1"/>
    </w:pPr>
    <w:rPr>
      <w:rFonts w:ascii="Calibri" w:hAnsi="Calibri" w:eastAsia="Calibri" w:cs="Calibri"/>
      <w:sz w:val="30"/>
      <w:szCs w:val="30"/>
    </w:rPr>
  </w:style>
  <w:style w:styleId="Heading2" w:type="paragraph">
    <w:name w:val="Heading 2"/>
    <w:basedOn w:val="Normal"/>
    <w:uiPriority w:val="1"/>
    <w:qFormat/>
    <w:pPr>
      <w:ind w:left="20"/>
      <w:outlineLvl w:val="2"/>
    </w:pPr>
    <w:rPr>
      <w:rFonts w:ascii="Calibri" w:hAnsi="Calibri" w:eastAsia="Calibri" w:cs="Calibri"/>
      <w:b/>
      <w:bCs/>
      <w:sz w:val="22"/>
      <w:szCs w:val="22"/>
    </w:rPr>
  </w:style>
  <w:style w:styleId="ListParagraph" w:type="paragraph">
    <w:name w:val="List Paragraph"/>
    <w:basedOn w:val="Normal"/>
    <w:uiPriority w:val="1"/>
    <w:qFormat/>
    <w:pPr>
      <w:ind w:left="514" w:hanging="284"/>
    </w:pPr>
    <w:rPr>
      <w:rFonts w:ascii="Calibri" w:hAnsi="Calibri" w:eastAsia="Calibri" w:cs="Calibri"/>
    </w:rPr>
  </w:style>
  <w:style w:styleId="TableParagraph" w:type="paragraph">
    <w:name w:val="Table Paragraph"/>
    <w:basedOn w:val="Normal"/>
    <w:uiPriority w:val="1"/>
    <w:qFormat/>
    <w:pPr>
      <w:jc w:val="righ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SSF119P0120072017111</dc:title>
  <dcterms:created xsi:type="dcterms:W3CDTF">2020-09-18T00:35:44Z</dcterms:created>
  <dcterms:modified xsi:type="dcterms:W3CDTF">2020-09-18T00:35:44Z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Creator">
    <vt:lpwstr>SF119P01</vt:lpwstr>
  </property>
  <property fmtid="{D5CDD505-2E9C-101B-9397-08002B2CF9AE}" pid="4" name="LastSaved">
    <vt:filetime>2020-09-18T00:00:00Z</vt:filetime>
  </property>
</Properties>
</file>